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139D96" w14:textId="1A9FF089" w:rsidR="00B84A25" w:rsidRPr="008F15FB" w:rsidRDefault="00971F8F">
      <w:pPr>
        <w:keepNext/>
        <w:spacing w:after="100"/>
        <w:rPr>
          <w:sz w:val="22"/>
        </w:rPr>
      </w:pPr>
      <w:r>
        <w:rPr>
          <w:b/>
          <w:sz w:val="22"/>
        </w:rPr>
        <w:t>Supplementary Table S1</w:t>
      </w:r>
      <w:r w:rsidR="004048C5" w:rsidRPr="008F15FB">
        <w:rPr>
          <w:b/>
          <w:sz w:val="22"/>
        </w:rPr>
        <w:t xml:space="preserve">. Temporal </w:t>
      </w:r>
      <w:r w:rsidR="00F45B18" w:rsidRPr="008F15FB">
        <w:rPr>
          <w:b/>
          <w:sz w:val="22"/>
        </w:rPr>
        <w:t>trends in clinical course and major outcomes among infants receiving peritoneal dialysis</w:t>
      </w:r>
    </w:p>
    <w:tbl>
      <w:tblPr>
        <w:tblStyle w:val="TabloKlavuzu"/>
        <w:tblW w:w="14112" w:type="dxa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000"/>
        <w:gridCol w:w="2800"/>
        <w:gridCol w:w="2800"/>
        <w:gridCol w:w="1512"/>
      </w:tblGrid>
      <w:tr w:rsidR="00B84A25" w:rsidRPr="008F15FB" w14:paraId="16FD98E9" w14:textId="77777777">
        <w:trPr>
          <w:tblHeader/>
        </w:trPr>
        <w:tc>
          <w:tcPr>
            <w:tcW w:w="7000" w:type="dxa"/>
            <w:shd w:val="clear" w:color="auto" w:fill="D9EAF7"/>
            <w:vAlign w:val="center"/>
          </w:tcPr>
          <w:p w14:paraId="60917575" w14:textId="77777777" w:rsidR="00B84A25" w:rsidRPr="008F15FB" w:rsidRDefault="00B84A25">
            <w:pPr>
              <w:jc w:val="center"/>
              <w:rPr>
                <w:sz w:val="22"/>
              </w:rPr>
            </w:pPr>
          </w:p>
        </w:tc>
        <w:tc>
          <w:tcPr>
            <w:tcW w:w="2800" w:type="dxa"/>
            <w:shd w:val="clear" w:color="auto" w:fill="D9EAF7"/>
            <w:vAlign w:val="center"/>
          </w:tcPr>
          <w:p w14:paraId="4753EDE8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b/>
                <w:sz w:val="22"/>
              </w:rPr>
              <w:t>1998–2012</w:t>
            </w:r>
            <w:r w:rsidRPr="008F15FB">
              <w:rPr>
                <w:b/>
                <w:sz w:val="22"/>
              </w:rPr>
              <w:br/>
              <w:t>(n=26)</w:t>
            </w:r>
          </w:p>
        </w:tc>
        <w:tc>
          <w:tcPr>
            <w:tcW w:w="2800" w:type="dxa"/>
            <w:shd w:val="clear" w:color="auto" w:fill="D9EAF7"/>
            <w:vAlign w:val="center"/>
          </w:tcPr>
          <w:p w14:paraId="79DAC667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b/>
                <w:sz w:val="22"/>
              </w:rPr>
              <w:t>2013–2025</w:t>
            </w:r>
            <w:r w:rsidRPr="008F15FB">
              <w:rPr>
                <w:b/>
                <w:sz w:val="22"/>
              </w:rPr>
              <w:br/>
              <w:t>(n=19)</w:t>
            </w:r>
          </w:p>
        </w:tc>
        <w:tc>
          <w:tcPr>
            <w:tcW w:w="1512" w:type="dxa"/>
            <w:shd w:val="clear" w:color="auto" w:fill="D9EAF7"/>
            <w:vAlign w:val="center"/>
          </w:tcPr>
          <w:p w14:paraId="58FA578D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b/>
                <w:sz w:val="22"/>
              </w:rPr>
              <w:t>p-value</w:t>
            </w:r>
          </w:p>
        </w:tc>
      </w:tr>
      <w:tr w:rsidR="00B84A25" w:rsidRPr="008F15FB" w14:paraId="3F1CE748" w14:textId="77777777" w:rsidTr="00B932FB">
        <w:tc>
          <w:tcPr>
            <w:tcW w:w="14112" w:type="dxa"/>
            <w:gridSpan w:val="4"/>
            <w:shd w:val="clear" w:color="auto" w:fill="E8EEF5"/>
            <w:vAlign w:val="center"/>
          </w:tcPr>
          <w:p w14:paraId="19DFF093" w14:textId="77777777" w:rsidR="00B84A25" w:rsidRPr="008F15FB" w:rsidRDefault="004048C5">
            <w:pPr>
              <w:rPr>
                <w:sz w:val="22"/>
              </w:rPr>
            </w:pPr>
            <w:r w:rsidRPr="008F15FB">
              <w:rPr>
                <w:b/>
                <w:sz w:val="22"/>
              </w:rPr>
              <w:t>Patient characteristics</w:t>
            </w:r>
          </w:p>
        </w:tc>
      </w:tr>
      <w:tr w:rsidR="00B84A25" w:rsidRPr="008F15FB" w14:paraId="3A6017CC" w14:textId="77777777">
        <w:tc>
          <w:tcPr>
            <w:tcW w:w="7000" w:type="dxa"/>
            <w:vAlign w:val="center"/>
          </w:tcPr>
          <w:p w14:paraId="52E1919E" w14:textId="77777777" w:rsidR="00B84A25" w:rsidRPr="008F15FB" w:rsidRDefault="004048C5">
            <w:pPr>
              <w:rPr>
                <w:sz w:val="22"/>
              </w:rPr>
            </w:pPr>
            <w:r w:rsidRPr="008F15FB">
              <w:rPr>
                <w:sz w:val="22"/>
              </w:rPr>
              <w:t>Male sex, n (%)</w:t>
            </w:r>
          </w:p>
        </w:tc>
        <w:tc>
          <w:tcPr>
            <w:tcW w:w="2800" w:type="dxa"/>
            <w:vAlign w:val="center"/>
          </w:tcPr>
          <w:p w14:paraId="329C39C9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20 (76.9)</w:t>
            </w:r>
          </w:p>
        </w:tc>
        <w:tc>
          <w:tcPr>
            <w:tcW w:w="2800" w:type="dxa"/>
            <w:vAlign w:val="center"/>
          </w:tcPr>
          <w:p w14:paraId="2E619043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10 (52.6)</w:t>
            </w:r>
          </w:p>
        </w:tc>
        <w:tc>
          <w:tcPr>
            <w:tcW w:w="1512" w:type="dxa"/>
            <w:vAlign w:val="center"/>
          </w:tcPr>
          <w:p w14:paraId="6FE835AD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0.088</w:t>
            </w:r>
          </w:p>
        </w:tc>
      </w:tr>
      <w:tr w:rsidR="00B84A25" w:rsidRPr="008F15FB" w14:paraId="256A83D4" w14:textId="77777777">
        <w:tc>
          <w:tcPr>
            <w:tcW w:w="7000" w:type="dxa"/>
            <w:vAlign w:val="center"/>
          </w:tcPr>
          <w:p w14:paraId="137DC0CF" w14:textId="77777777" w:rsidR="00B84A25" w:rsidRPr="008F15FB" w:rsidRDefault="004048C5">
            <w:pPr>
              <w:rPr>
                <w:sz w:val="22"/>
              </w:rPr>
            </w:pPr>
            <w:r w:rsidRPr="008F15FB">
              <w:rPr>
                <w:sz w:val="22"/>
              </w:rPr>
              <w:t>Age at PD initiation, months</w:t>
            </w:r>
          </w:p>
        </w:tc>
        <w:tc>
          <w:tcPr>
            <w:tcW w:w="2800" w:type="dxa"/>
            <w:vAlign w:val="center"/>
          </w:tcPr>
          <w:p w14:paraId="5A5A748D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5.0 (1.4;9.3)</w:t>
            </w:r>
          </w:p>
        </w:tc>
        <w:tc>
          <w:tcPr>
            <w:tcW w:w="2800" w:type="dxa"/>
            <w:vAlign w:val="center"/>
          </w:tcPr>
          <w:p w14:paraId="5B363DA2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1.3 (0.1;7.0)</w:t>
            </w:r>
          </w:p>
        </w:tc>
        <w:tc>
          <w:tcPr>
            <w:tcW w:w="1512" w:type="dxa"/>
            <w:vAlign w:val="center"/>
          </w:tcPr>
          <w:p w14:paraId="4AE745B8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0.097</w:t>
            </w:r>
          </w:p>
        </w:tc>
      </w:tr>
      <w:tr w:rsidR="00B84A25" w:rsidRPr="008F15FB" w14:paraId="4564BAA4" w14:textId="77777777">
        <w:tc>
          <w:tcPr>
            <w:tcW w:w="7000" w:type="dxa"/>
            <w:vAlign w:val="center"/>
          </w:tcPr>
          <w:p w14:paraId="025029A5" w14:textId="77777777" w:rsidR="00B84A25" w:rsidRPr="008F15FB" w:rsidRDefault="004048C5">
            <w:pPr>
              <w:rPr>
                <w:sz w:val="22"/>
              </w:rPr>
            </w:pPr>
            <w:r w:rsidRPr="008F15FB">
              <w:rPr>
                <w:sz w:val="22"/>
              </w:rPr>
              <w:t>CAKUT, n (%)</w:t>
            </w:r>
          </w:p>
        </w:tc>
        <w:tc>
          <w:tcPr>
            <w:tcW w:w="2800" w:type="dxa"/>
            <w:vAlign w:val="center"/>
          </w:tcPr>
          <w:p w14:paraId="585A594F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11 (42.3)</w:t>
            </w:r>
          </w:p>
        </w:tc>
        <w:tc>
          <w:tcPr>
            <w:tcW w:w="2800" w:type="dxa"/>
            <w:vAlign w:val="center"/>
          </w:tcPr>
          <w:p w14:paraId="1D2118A6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11 (57.9)</w:t>
            </w:r>
          </w:p>
        </w:tc>
        <w:tc>
          <w:tcPr>
            <w:tcW w:w="1512" w:type="dxa"/>
            <w:vAlign w:val="center"/>
          </w:tcPr>
          <w:p w14:paraId="19BB66D5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0.784</w:t>
            </w:r>
          </w:p>
        </w:tc>
      </w:tr>
      <w:tr w:rsidR="00B84A25" w:rsidRPr="008F15FB" w14:paraId="267F0FB5" w14:textId="77777777" w:rsidTr="00B932FB">
        <w:tc>
          <w:tcPr>
            <w:tcW w:w="14112" w:type="dxa"/>
            <w:gridSpan w:val="4"/>
            <w:shd w:val="clear" w:color="auto" w:fill="E8EEF5"/>
            <w:vAlign w:val="center"/>
          </w:tcPr>
          <w:p w14:paraId="4459076F" w14:textId="77777777" w:rsidR="00B84A25" w:rsidRPr="008F15FB" w:rsidRDefault="004048C5">
            <w:pPr>
              <w:rPr>
                <w:sz w:val="22"/>
              </w:rPr>
            </w:pPr>
            <w:r w:rsidRPr="008F15FB">
              <w:rPr>
                <w:b/>
                <w:sz w:val="22"/>
              </w:rPr>
              <w:t>PD course</w:t>
            </w:r>
          </w:p>
        </w:tc>
      </w:tr>
      <w:tr w:rsidR="00B84A25" w:rsidRPr="008F15FB" w14:paraId="7E94A41C" w14:textId="77777777">
        <w:tc>
          <w:tcPr>
            <w:tcW w:w="7000" w:type="dxa"/>
            <w:vAlign w:val="center"/>
          </w:tcPr>
          <w:p w14:paraId="738A592F" w14:textId="77777777" w:rsidR="00B84A25" w:rsidRPr="008F15FB" w:rsidRDefault="004048C5">
            <w:pPr>
              <w:rPr>
                <w:sz w:val="22"/>
              </w:rPr>
            </w:pPr>
            <w:r w:rsidRPr="008F15FB">
              <w:rPr>
                <w:sz w:val="22"/>
              </w:rPr>
              <w:t>PD duration, months</w:t>
            </w:r>
          </w:p>
        </w:tc>
        <w:tc>
          <w:tcPr>
            <w:tcW w:w="2800" w:type="dxa"/>
            <w:vAlign w:val="center"/>
          </w:tcPr>
          <w:p w14:paraId="1D8C5663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41.2 (32;88.8)</w:t>
            </w:r>
          </w:p>
        </w:tc>
        <w:tc>
          <w:tcPr>
            <w:tcW w:w="2800" w:type="dxa"/>
            <w:vAlign w:val="center"/>
          </w:tcPr>
          <w:p w14:paraId="2BDAE69D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22.1 (12;27)</w:t>
            </w:r>
          </w:p>
        </w:tc>
        <w:tc>
          <w:tcPr>
            <w:tcW w:w="1512" w:type="dxa"/>
            <w:vAlign w:val="center"/>
          </w:tcPr>
          <w:p w14:paraId="07CDD5ED" w14:textId="77777777" w:rsidR="00B84A25" w:rsidRPr="008F15FB" w:rsidRDefault="004048C5">
            <w:pPr>
              <w:jc w:val="center"/>
              <w:rPr>
                <w:b/>
                <w:bCs/>
                <w:sz w:val="22"/>
              </w:rPr>
            </w:pPr>
            <w:r w:rsidRPr="008F15FB">
              <w:rPr>
                <w:b/>
                <w:bCs/>
                <w:sz w:val="22"/>
              </w:rPr>
              <w:t>0.014</w:t>
            </w:r>
          </w:p>
        </w:tc>
      </w:tr>
      <w:tr w:rsidR="00B84A25" w:rsidRPr="008F15FB" w14:paraId="416768B0" w14:textId="77777777">
        <w:tc>
          <w:tcPr>
            <w:tcW w:w="7000" w:type="dxa"/>
            <w:vAlign w:val="center"/>
          </w:tcPr>
          <w:p w14:paraId="2768BD29" w14:textId="77777777" w:rsidR="00B84A25" w:rsidRPr="008F15FB" w:rsidRDefault="004048C5">
            <w:pPr>
              <w:rPr>
                <w:sz w:val="22"/>
              </w:rPr>
            </w:pPr>
            <w:r w:rsidRPr="008F15FB">
              <w:rPr>
                <w:sz w:val="22"/>
              </w:rPr>
              <w:t>Peritonitis rate, episodes/patient-year</w:t>
            </w:r>
          </w:p>
        </w:tc>
        <w:tc>
          <w:tcPr>
            <w:tcW w:w="2800" w:type="dxa"/>
            <w:vAlign w:val="center"/>
          </w:tcPr>
          <w:p w14:paraId="782D9273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0.09 (0.03;0.14)</w:t>
            </w:r>
          </w:p>
        </w:tc>
        <w:tc>
          <w:tcPr>
            <w:tcW w:w="2800" w:type="dxa"/>
            <w:vAlign w:val="center"/>
          </w:tcPr>
          <w:p w14:paraId="07584DB3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0.12 (0.05;0.30)</w:t>
            </w:r>
          </w:p>
        </w:tc>
        <w:tc>
          <w:tcPr>
            <w:tcW w:w="1512" w:type="dxa"/>
            <w:vAlign w:val="center"/>
          </w:tcPr>
          <w:p w14:paraId="61A99288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0.125</w:t>
            </w:r>
          </w:p>
        </w:tc>
      </w:tr>
      <w:tr w:rsidR="00B84A25" w:rsidRPr="008F15FB" w14:paraId="1594F314" w14:textId="77777777">
        <w:tc>
          <w:tcPr>
            <w:tcW w:w="7000" w:type="dxa"/>
            <w:vAlign w:val="center"/>
          </w:tcPr>
          <w:p w14:paraId="3727F663" w14:textId="77777777" w:rsidR="00B84A25" w:rsidRPr="008F15FB" w:rsidRDefault="004048C5">
            <w:pPr>
              <w:rPr>
                <w:sz w:val="22"/>
              </w:rPr>
            </w:pPr>
            <w:r w:rsidRPr="008F15FB">
              <w:rPr>
                <w:sz w:val="22"/>
              </w:rPr>
              <w:t>Patients with ≥1 peritonitis episode, n (%)</w:t>
            </w:r>
          </w:p>
        </w:tc>
        <w:tc>
          <w:tcPr>
            <w:tcW w:w="2800" w:type="dxa"/>
            <w:vAlign w:val="center"/>
          </w:tcPr>
          <w:p w14:paraId="132414A0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20 (76.9)</w:t>
            </w:r>
          </w:p>
        </w:tc>
        <w:tc>
          <w:tcPr>
            <w:tcW w:w="2800" w:type="dxa"/>
            <w:vAlign w:val="center"/>
          </w:tcPr>
          <w:p w14:paraId="6A37FDBD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14 (73.7)</w:t>
            </w:r>
          </w:p>
        </w:tc>
        <w:tc>
          <w:tcPr>
            <w:tcW w:w="1512" w:type="dxa"/>
            <w:vAlign w:val="center"/>
          </w:tcPr>
          <w:p w14:paraId="010E1DAC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1.000</w:t>
            </w:r>
          </w:p>
        </w:tc>
      </w:tr>
      <w:tr w:rsidR="00B84A25" w:rsidRPr="008F15FB" w14:paraId="7C3DD8B3" w14:textId="77777777" w:rsidTr="00B932FB">
        <w:tc>
          <w:tcPr>
            <w:tcW w:w="14112" w:type="dxa"/>
            <w:gridSpan w:val="4"/>
            <w:shd w:val="clear" w:color="auto" w:fill="E8EEF5"/>
            <w:vAlign w:val="center"/>
          </w:tcPr>
          <w:p w14:paraId="0E3E0476" w14:textId="77777777" w:rsidR="00B84A25" w:rsidRPr="008F15FB" w:rsidRDefault="004048C5">
            <w:pPr>
              <w:rPr>
                <w:sz w:val="22"/>
              </w:rPr>
            </w:pPr>
            <w:r w:rsidRPr="008F15FB">
              <w:rPr>
                <w:b/>
                <w:sz w:val="22"/>
              </w:rPr>
              <w:t>Kidney transplantation</w:t>
            </w:r>
          </w:p>
        </w:tc>
      </w:tr>
      <w:tr w:rsidR="00B84A25" w:rsidRPr="008F15FB" w14:paraId="6C55D204" w14:textId="77777777">
        <w:tc>
          <w:tcPr>
            <w:tcW w:w="7000" w:type="dxa"/>
            <w:vAlign w:val="center"/>
          </w:tcPr>
          <w:p w14:paraId="6BAF4B91" w14:textId="77777777" w:rsidR="00B84A25" w:rsidRPr="008F15FB" w:rsidRDefault="004048C5">
            <w:pPr>
              <w:rPr>
                <w:sz w:val="22"/>
              </w:rPr>
            </w:pPr>
            <w:r w:rsidRPr="008F15FB">
              <w:rPr>
                <w:sz w:val="22"/>
              </w:rPr>
              <w:t>Patients undergoing kidney transplantation, n (%)</w:t>
            </w:r>
          </w:p>
        </w:tc>
        <w:tc>
          <w:tcPr>
            <w:tcW w:w="2800" w:type="dxa"/>
            <w:vAlign w:val="center"/>
          </w:tcPr>
          <w:p w14:paraId="3EF2D790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13 (50)</w:t>
            </w:r>
          </w:p>
        </w:tc>
        <w:tc>
          <w:tcPr>
            <w:tcW w:w="2800" w:type="dxa"/>
            <w:vAlign w:val="center"/>
          </w:tcPr>
          <w:p w14:paraId="054479B8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10 (52.6)</w:t>
            </w:r>
          </w:p>
        </w:tc>
        <w:tc>
          <w:tcPr>
            <w:tcW w:w="1512" w:type="dxa"/>
            <w:vAlign w:val="center"/>
          </w:tcPr>
          <w:p w14:paraId="2EFE497B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0.862</w:t>
            </w:r>
          </w:p>
        </w:tc>
      </w:tr>
      <w:tr w:rsidR="00B84A25" w:rsidRPr="008F15FB" w14:paraId="5AC55085" w14:textId="77777777">
        <w:tc>
          <w:tcPr>
            <w:tcW w:w="7000" w:type="dxa"/>
            <w:vAlign w:val="center"/>
          </w:tcPr>
          <w:p w14:paraId="3366D798" w14:textId="77777777" w:rsidR="00B84A25" w:rsidRPr="008F15FB" w:rsidRDefault="004048C5">
            <w:pPr>
              <w:rPr>
                <w:sz w:val="22"/>
              </w:rPr>
            </w:pPr>
            <w:r w:rsidRPr="008F15FB">
              <w:rPr>
                <w:sz w:val="22"/>
              </w:rPr>
              <w:t>Age at transplantation, years</w:t>
            </w:r>
            <w:r w:rsidR="00CC6A51">
              <w:rPr>
                <w:sz w:val="22"/>
              </w:rPr>
              <w:t xml:space="preserve">, </w:t>
            </w:r>
            <w:r w:rsidR="001D1487">
              <w:rPr>
                <w:sz w:val="22"/>
              </w:rPr>
              <w:t>(</w:t>
            </w:r>
            <w:r w:rsidR="00CC6A51">
              <w:rPr>
                <w:sz w:val="22"/>
              </w:rPr>
              <w:t>n=</w:t>
            </w:r>
            <w:r w:rsidR="001D1487">
              <w:rPr>
                <w:sz w:val="22"/>
              </w:rPr>
              <w:t>1</w:t>
            </w:r>
            <w:r w:rsidR="00CC6A51">
              <w:rPr>
                <w:sz w:val="22"/>
              </w:rPr>
              <w:t>3</w:t>
            </w:r>
            <w:r w:rsidR="001D1487">
              <w:rPr>
                <w:sz w:val="22"/>
              </w:rPr>
              <w:t>/10</w:t>
            </w:r>
            <w:r w:rsidR="00CC6A51">
              <w:rPr>
                <w:sz w:val="22"/>
              </w:rPr>
              <w:t>)</w:t>
            </w:r>
          </w:p>
        </w:tc>
        <w:tc>
          <w:tcPr>
            <w:tcW w:w="2800" w:type="dxa"/>
            <w:vAlign w:val="center"/>
          </w:tcPr>
          <w:p w14:paraId="0B69AA87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4.4 (2.7;7.8)</w:t>
            </w:r>
          </w:p>
        </w:tc>
        <w:tc>
          <w:tcPr>
            <w:tcW w:w="2800" w:type="dxa"/>
            <w:vAlign w:val="center"/>
          </w:tcPr>
          <w:p w14:paraId="6FBFBB61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2.8 (2.3;3.3)</w:t>
            </w:r>
          </w:p>
        </w:tc>
        <w:tc>
          <w:tcPr>
            <w:tcW w:w="1512" w:type="dxa"/>
            <w:vAlign w:val="center"/>
          </w:tcPr>
          <w:p w14:paraId="29847D3D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0.052</w:t>
            </w:r>
          </w:p>
        </w:tc>
      </w:tr>
      <w:tr w:rsidR="00B84A25" w:rsidRPr="008F15FB" w14:paraId="07E9E813" w14:textId="77777777">
        <w:tc>
          <w:tcPr>
            <w:tcW w:w="7000" w:type="dxa"/>
            <w:vAlign w:val="center"/>
          </w:tcPr>
          <w:p w14:paraId="5EAEE378" w14:textId="77777777" w:rsidR="00B84A25" w:rsidRPr="008F15FB" w:rsidRDefault="004048C5">
            <w:pPr>
              <w:rPr>
                <w:sz w:val="22"/>
              </w:rPr>
            </w:pPr>
            <w:r w:rsidRPr="008F15FB">
              <w:rPr>
                <w:sz w:val="22"/>
              </w:rPr>
              <w:t>Interval from PD initiation to transplantation, months</w:t>
            </w:r>
            <w:r w:rsidR="001D1487">
              <w:rPr>
                <w:sz w:val="22"/>
              </w:rPr>
              <w:t>, (n=13/10)</w:t>
            </w:r>
          </w:p>
        </w:tc>
        <w:tc>
          <w:tcPr>
            <w:tcW w:w="2800" w:type="dxa"/>
            <w:vAlign w:val="center"/>
          </w:tcPr>
          <w:p w14:paraId="765954AC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41.2 (32;88.8)</w:t>
            </w:r>
          </w:p>
        </w:tc>
        <w:tc>
          <w:tcPr>
            <w:tcW w:w="2800" w:type="dxa"/>
            <w:vAlign w:val="center"/>
          </w:tcPr>
          <w:p w14:paraId="5C1241C5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27.7 (22.2;40.6)</w:t>
            </w:r>
          </w:p>
        </w:tc>
        <w:tc>
          <w:tcPr>
            <w:tcW w:w="1512" w:type="dxa"/>
            <w:vAlign w:val="center"/>
          </w:tcPr>
          <w:p w14:paraId="43720300" w14:textId="77777777" w:rsidR="00B84A25" w:rsidRPr="008F15FB" w:rsidRDefault="004048C5">
            <w:pPr>
              <w:jc w:val="center"/>
              <w:rPr>
                <w:sz w:val="22"/>
              </w:rPr>
            </w:pPr>
            <w:r w:rsidRPr="008F15FB">
              <w:rPr>
                <w:sz w:val="22"/>
              </w:rPr>
              <w:t>0.055</w:t>
            </w:r>
          </w:p>
        </w:tc>
      </w:tr>
      <w:tr w:rsidR="00B84A25" w:rsidRPr="008F15FB" w14:paraId="30333BFF" w14:textId="77777777">
        <w:tc>
          <w:tcPr>
            <w:tcW w:w="7000" w:type="dxa"/>
            <w:vAlign w:val="center"/>
          </w:tcPr>
          <w:p w14:paraId="3378E8E9" w14:textId="77777777" w:rsidR="00B84A25" w:rsidRPr="008F15FB" w:rsidRDefault="004048C5">
            <w:pPr>
              <w:rPr>
                <w:b/>
                <w:bCs/>
                <w:sz w:val="22"/>
              </w:rPr>
            </w:pPr>
            <w:r w:rsidRPr="008F15FB">
              <w:rPr>
                <w:b/>
                <w:bCs/>
                <w:sz w:val="22"/>
              </w:rPr>
              <w:t>Mortality</w:t>
            </w:r>
          </w:p>
        </w:tc>
        <w:tc>
          <w:tcPr>
            <w:tcW w:w="2800" w:type="dxa"/>
            <w:vAlign w:val="center"/>
          </w:tcPr>
          <w:p w14:paraId="408BFB7A" w14:textId="77777777" w:rsidR="00B84A25" w:rsidRPr="008F15FB" w:rsidRDefault="00B84A25">
            <w:pPr>
              <w:jc w:val="center"/>
              <w:rPr>
                <w:sz w:val="22"/>
              </w:rPr>
            </w:pPr>
          </w:p>
        </w:tc>
        <w:tc>
          <w:tcPr>
            <w:tcW w:w="2800" w:type="dxa"/>
            <w:vAlign w:val="center"/>
          </w:tcPr>
          <w:p w14:paraId="553B4013" w14:textId="77777777" w:rsidR="00B84A25" w:rsidRPr="008F15FB" w:rsidRDefault="00B84A25">
            <w:pPr>
              <w:jc w:val="center"/>
              <w:rPr>
                <w:sz w:val="22"/>
              </w:rPr>
            </w:pPr>
          </w:p>
        </w:tc>
        <w:tc>
          <w:tcPr>
            <w:tcW w:w="1512" w:type="dxa"/>
            <w:vAlign w:val="center"/>
          </w:tcPr>
          <w:p w14:paraId="5D16010D" w14:textId="77777777" w:rsidR="00B84A25" w:rsidRPr="008F15FB" w:rsidRDefault="00B84A25">
            <w:pPr>
              <w:jc w:val="center"/>
              <w:rPr>
                <w:b/>
                <w:bCs/>
                <w:sz w:val="22"/>
              </w:rPr>
            </w:pPr>
          </w:p>
        </w:tc>
      </w:tr>
      <w:tr w:rsidR="00E95253" w:rsidRPr="008F15FB" w14:paraId="1DA95BDC" w14:textId="77777777" w:rsidTr="0022767A">
        <w:tc>
          <w:tcPr>
            <w:tcW w:w="7000" w:type="dxa"/>
          </w:tcPr>
          <w:p w14:paraId="1DEB1DF0" w14:textId="6826A1D9" w:rsidR="00E95253" w:rsidRPr="008F15FB" w:rsidRDefault="00E95253" w:rsidP="00890812">
            <w:pPr>
              <w:rPr>
                <w:b/>
                <w:bCs/>
                <w:sz w:val="22"/>
              </w:rPr>
            </w:pPr>
            <w:r w:rsidRPr="008F15FB">
              <w:rPr>
                <w:sz w:val="22"/>
              </w:rPr>
              <w:t>All-cause mortality during follow-up, n (%)</w:t>
            </w:r>
          </w:p>
        </w:tc>
        <w:tc>
          <w:tcPr>
            <w:tcW w:w="2800" w:type="dxa"/>
            <w:vAlign w:val="center"/>
          </w:tcPr>
          <w:p w14:paraId="5FE8506F" w14:textId="2D1BF0F4" w:rsidR="00E95253" w:rsidRPr="00B00176" w:rsidRDefault="00E95253" w:rsidP="00890812">
            <w:pPr>
              <w:jc w:val="center"/>
              <w:rPr>
                <w:sz w:val="22"/>
              </w:rPr>
            </w:pPr>
            <w:r w:rsidRPr="00B00176">
              <w:rPr>
                <w:sz w:val="22"/>
              </w:rPr>
              <w:t>13 (50)</w:t>
            </w:r>
          </w:p>
        </w:tc>
        <w:tc>
          <w:tcPr>
            <w:tcW w:w="2800" w:type="dxa"/>
            <w:vAlign w:val="center"/>
          </w:tcPr>
          <w:p w14:paraId="6E62A0C4" w14:textId="357DCEE8" w:rsidR="00E95253" w:rsidRPr="008F15FB" w:rsidRDefault="00E95253" w:rsidP="00890812">
            <w:pPr>
              <w:jc w:val="center"/>
              <w:rPr>
                <w:sz w:val="22"/>
              </w:rPr>
            </w:pPr>
            <w:r w:rsidRPr="00B00176">
              <w:rPr>
                <w:sz w:val="22"/>
              </w:rPr>
              <w:t>3 (15.</w:t>
            </w:r>
            <w:r>
              <w:rPr>
                <w:sz w:val="22"/>
              </w:rPr>
              <w:t>7</w:t>
            </w:r>
            <w:r w:rsidRPr="00B00176">
              <w:rPr>
                <w:sz w:val="22"/>
              </w:rPr>
              <w:t>)</w:t>
            </w:r>
          </w:p>
        </w:tc>
        <w:tc>
          <w:tcPr>
            <w:tcW w:w="1512" w:type="dxa"/>
            <w:vAlign w:val="center"/>
          </w:tcPr>
          <w:p w14:paraId="58BE755D" w14:textId="69537BDE" w:rsidR="00E95253" w:rsidRPr="008F15FB" w:rsidRDefault="00E95253" w:rsidP="00890812">
            <w:pPr>
              <w:jc w:val="center"/>
              <w:rPr>
                <w:b/>
                <w:bCs/>
                <w:sz w:val="22"/>
              </w:rPr>
            </w:pPr>
            <w:r w:rsidRPr="00CC6A51">
              <w:rPr>
                <w:b/>
                <w:bCs/>
                <w:sz w:val="22"/>
              </w:rPr>
              <w:t>0.018</w:t>
            </w:r>
          </w:p>
        </w:tc>
      </w:tr>
      <w:tr w:rsidR="00B10F67" w:rsidRPr="008F15FB" w14:paraId="71637A60" w14:textId="77777777" w:rsidTr="00B10F67">
        <w:tc>
          <w:tcPr>
            <w:tcW w:w="7000" w:type="dxa"/>
            <w:vAlign w:val="center"/>
          </w:tcPr>
          <w:p w14:paraId="38916B2C" w14:textId="77777777" w:rsidR="00B10F67" w:rsidRPr="008F15FB" w:rsidRDefault="00B10F67" w:rsidP="00890812">
            <w:pPr>
              <w:ind w:left="720"/>
              <w:rPr>
                <w:sz w:val="22"/>
              </w:rPr>
            </w:pPr>
            <w:bookmarkStart w:id="0" w:name="OLE_LINK1"/>
            <w:r w:rsidRPr="008F15FB">
              <w:rPr>
                <w:sz w:val="22"/>
              </w:rPr>
              <w:t>Death during PD, n (%)</w:t>
            </w:r>
            <w:bookmarkEnd w:id="0"/>
          </w:p>
        </w:tc>
        <w:tc>
          <w:tcPr>
            <w:tcW w:w="2800" w:type="dxa"/>
            <w:vAlign w:val="center"/>
          </w:tcPr>
          <w:p w14:paraId="3DC9400A" w14:textId="1EDFA43F" w:rsidR="00B10F67" w:rsidRPr="00B00176" w:rsidRDefault="00B10F67" w:rsidP="00890812">
            <w:pPr>
              <w:jc w:val="center"/>
              <w:rPr>
                <w:sz w:val="22"/>
              </w:rPr>
            </w:pPr>
            <w:r w:rsidRPr="00B00176">
              <w:rPr>
                <w:sz w:val="22"/>
              </w:rPr>
              <w:t>12 (46.</w:t>
            </w:r>
            <w:r>
              <w:rPr>
                <w:sz w:val="22"/>
              </w:rPr>
              <w:t>2</w:t>
            </w:r>
            <w:r w:rsidRPr="00B00176">
              <w:rPr>
                <w:sz w:val="22"/>
              </w:rPr>
              <w:t>)</w:t>
            </w:r>
          </w:p>
        </w:tc>
        <w:tc>
          <w:tcPr>
            <w:tcW w:w="2800" w:type="dxa"/>
            <w:vAlign w:val="center"/>
          </w:tcPr>
          <w:p w14:paraId="6CAA9D4A" w14:textId="255A692D" w:rsidR="00B10F67" w:rsidRPr="00B00176" w:rsidRDefault="00B10F67" w:rsidP="00890812">
            <w:pPr>
              <w:jc w:val="center"/>
              <w:rPr>
                <w:sz w:val="22"/>
              </w:rPr>
            </w:pPr>
            <w:r w:rsidRPr="00B00176">
              <w:rPr>
                <w:sz w:val="22"/>
              </w:rPr>
              <w:t>1 (5.</w:t>
            </w:r>
            <w:r>
              <w:rPr>
                <w:sz w:val="22"/>
              </w:rPr>
              <w:t>3</w:t>
            </w:r>
            <w:r w:rsidRPr="00B00176">
              <w:rPr>
                <w:sz w:val="22"/>
              </w:rPr>
              <w:t>)</w:t>
            </w:r>
          </w:p>
        </w:tc>
        <w:tc>
          <w:tcPr>
            <w:tcW w:w="1512" w:type="dxa"/>
            <w:vMerge w:val="restart"/>
            <w:vAlign w:val="center"/>
          </w:tcPr>
          <w:p w14:paraId="68612208" w14:textId="3E8A119A" w:rsidR="00B10F67" w:rsidRPr="00B10F67" w:rsidRDefault="00B10F67" w:rsidP="00890812">
            <w:pPr>
              <w:jc w:val="center"/>
              <w:rPr>
                <w:b/>
                <w:bCs/>
                <w:color w:val="4F81BD" w:themeColor="accent1"/>
                <w:sz w:val="22"/>
                <w:highlight w:val="yellow"/>
              </w:rPr>
            </w:pPr>
            <w:r w:rsidRPr="00B10F67">
              <w:rPr>
                <w:b/>
                <w:bCs/>
                <w:color w:val="000000" w:themeColor="text1"/>
                <w:sz w:val="22"/>
              </w:rPr>
              <w:t>0.011</w:t>
            </w:r>
          </w:p>
        </w:tc>
      </w:tr>
      <w:tr w:rsidR="00B10F67" w:rsidRPr="008F15FB" w14:paraId="4350D151" w14:textId="77777777" w:rsidTr="00B10F67">
        <w:tc>
          <w:tcPr>
            <w:tcW w:w="7000" w:type="dxa"/>
            <w:vAlign w:val="center"/>
          </w:tcPr>
          <w:p w14:paraId="105A9D2E" w14:textId="77777777" w:rsidR="00B10F67" w:rsidRPr="008F15FB" w:rsidRDefault="00B10F67" w:rsidP="00890812">
            <w:pPr>
              <w:ind w:left="720"/>
              <w:rPr>
                <w:sz w:val="22"/>
              </w:rPr>
            </w:pPr>
            <w:r w:rsidRPr="008F15FB">
              <w:rPr>
                <w:sz w:val="22"/>
              </w:rPr>
              <w:t>Death during HD, n (%)</w:t>
            </w:r>
          </w:p>
        </w:tc>
        <w:tc>
          <w:tcPr>
            <w:tcW w:w="2800" w:type="dxa"/>
            <w:vAlign w:val="center"/>
          </w:tcPr>
          <w:p w14:paraId="7F4C9B30" w14:textId="77777777" w:rsidR="00B10F67" w:rsidRPr="00B00176" w:rsidRDefault="00B10F67" w:rsidP="00890812">
            <w:pPr>
              <w:jc w:val="center"/>
              <w:rPr>
                <w:sz w:val="22"/>
              </w:rPr>
            </w:pPr>
            <w:r w:rsidRPr="00B00176">
              <w:rPr>
                <w:sz w:val="22"/>
              </w:rPr>
              <w:t>1 (3.8)</w:t>
            </w:r>
          </w:p>
        </w:tc>
        <w:tc>
          <w:tcPr>
            <w:tcW w:w="2800" w:type="dxa"/>
            <w:vAlign w:val="center"/>
          </w:tcPr>
          <w:p w14:paraId="38EA8A75" w14:textId="77777777" w:rsidR="00B10F67" w:rsidRPr="00B00176" w:rsidRDefault="00B10F67" w:rsidP="00890812">
            <w:pPr>
              <w:jc w:val="center"/>
              <w:rPr>
                <w:sz w:val="22"/>
              </w:rPr>
            </w:pPr>
            <w:r w:rsidRPr="00B00176">
              <w:rPr>
                <w:sz w:val="22"/>
              </w:rPr>
              <w:t>2 (10.5)</w:t>
            </w:r>
          </w:p>
        </w:tc>
        <w:tc>
          <w:tcPr>
            <w:tcW w:w="1512" w:type="dxa"/>
            <w:vMerge/>
            <w:vAlign w:val="center"/>
          </w:tcPr>
          <w:p w14:paraId="18CE7450" w14:textId="77777777" w:rsidR="00B10F67" w:rsidRPr="00B00176" w:rsidRDefault="00B10F67" w:rsidP="00890812">
            <w:pPr>
              <w:jc w:val="center"/>
              <w:rPr>
                <w:color w:val="4F81BD" w:themeColor="accent1"/>
                <w:sz w:val="22"/>
                <w:highlight w:val="yellow"/>
              </w:rPr>
            </w:pPr>
          </w:p>
        </w:tc>
      </w:tr>
      <w:tr w:rsidR="00890812" w:rsidRPr="008F15FB" w14:paraId="74D9823F" w14:textId="77777777" w:rsidTr="00230E3B">
        <w:tc>
          <w:tcPr>
            <w:tcW w:w="7000" w:type="dxa"/>
          </w:tcPr>
          <w:p w14:paraId="229DA315" w14:textId="77777777" w:rsidR="00890812" w:rsidRPr="008F15FB" w:rsidRDefault="00890812" w:rsidP="00890812">
            <w:pPr>
              <w:rPr>
                <w:sz w:val="22"/>
              </w:rPr>
            </w:pPr>
            <w:r w:rsidRPr="008F15FB">
              <w:rPr>
                <w:sz w:val="22"/>
              </w:rPr>
              <w:t>Age at death, years</w:t>
            </w:r>
          </w:p>
        </w:tc>
        <w:tc>
          <w:tcPr>
            <w:tcW w:w="2800" w:type="dxa"/>
            <w:vAlign w:val="center"/>
          </w:tcPr>
          <w:p w14:paraId="14862709" w14:textId="77777777" w:rsidR="00890812" w:rsidRPr="008F15FB" w:rsidRDefault="00890812" w:rsidP="00890812">
            <w:pPr>
              <w:jc w:val="center"/>
              <w:rPr>
                <w:sz w:val="22"/>
                <w:highlight w:val="yellow"/>
              </w:rPr>
            </w:pPr>
            <w:r w:rsidRPr="001B0011">
              <w:rPr>
                <w:color w:val="000000" w:themeColor="text1"/>
                <w:sz w:val="22"/>
              </w:rPr>
              <w:t>2.7 (1.28; 3.3)</w:t>
            </w:r>
          </w:p>
        </w:tc>
        <w:tc>
          <w:tcPr>
            <w:tcW w:w="2800" w:type="dxa"/>
            <w:vAlign w:val="center"/>
          </w:tcPr>
          <w:p w14:paraId="799445E7" w14:textId="77777777" w:rsidR="00890812" w:rsidRPr="008F15FB" w:rsidRDefault="00890812" w:rsidP="00890812">
            <w:pPr>
              <w:jc w:val="center"/>
              <w:rPr>
                <w:sz w:val="22"/>
                <w:highlight w:val="yellow"/>
              </w:rPr>
            </w:pPr>
            <w:r w:rsidRPr="001B0011">
              <w:rPr>
                <w:color w:val="000000" w:themeColor="text1"/>
                <w:sz w:val="22"/>
              </w:rPr>
              <w:t>2.07 (1.7;2.5)</w:t>
            </w:r>
          </w:p>
        </w:tc>
        <w:tc>
          <w:tcPr>
            <w:tcW w:w="1512" w:type="dxa"/>
            <w:vAlign w:val="center"/>
          </w:tcPr>
          <w:p w14:paraId="484AB39E" w14:textId="77777777" w:rsidR="00890812" w:rsidRPr="008F15FB" w:rsidRDefault="00890812" w:rsidP="00890812">
            <w:pPr>
              <w:jc w:val="center"/>
              <w:rPr>
                <w:sz w:val="22"/>
              </w:rPr>
            </w:pPr>
            <w:r w:rsidRPr="00B00176">
              <w:rPr>
                <w:color w:val="000000" w:themeColor="text1"/>
                <w:sz w:val="22"/>
              </w:rPr>
              <w:t>0.72</w:t>
            </w:r>
          </w:p>
        </w:tc>
      </w:tr>
    </w:tbl>
    <w:p w14:paraId="5766A086" w14:textId="0065C8E5" w:rsidR="00B84A25" w:rsidRPr="008F15FB" w:rsidRDefault="004048C5">
      <w:pPr>
        <w:spacing w:before="60" w:after="40"/>
        <w:rPr>
          <w:sz w:val="22"/>
          <w:szCs w:val="36"/>
        </w:rPr>
      </w:pPr>
      <w:r w:rsidRPr="008F15FB">
        <w:rPr>
          <w:i/>
          <w:sz w:val="21"/>
          <w:szCs w:val="36"/>
        </w:rPr>
        <w:t xml:space="preserve">Continuous data are presented as median (IQR;25th percentile;75th percentile) and were analyzed by the Mann–Whitney U test for two groups. Chi-square test or Fisher’s </w:t>
      </w:r>
      <w:r w:rsidR="008F15FB">
        <w:rPr>
          <w:i/>
          <w:sz w:val="21"/>
          <w:szCs w:val="36"/>
        </w:rPr>
        <w:t>e</w:t>
      </w:r>
      <w:r w:rsidRPr="008F15FB">
        <w:rPr>
          <w:i/>
          <w:sz w:val="21"/>
          <w:szCs w:val="36"/>
        </w:rPr>
        <w:t>xact test were used for categorical variables, where appropriate.</w:t>
      </w:r>
    </w:p>
    <w:p w14:paraId="17291544" w14:textId="77777777" w:rsidR="00F5397D" w:rsidRDefault="004048C5">
      <w:pPr>
        <w:spacing w:before="60" w:after="40"/>
        <w:rPr>
          <w:i/>
          <w:sz w:val="21"/>
          <w:szCs w:val="36"/>
        </w:rPr>
      </w:pPr>
      <w:r w:rsidRPr="008F15FB">
        <w:rPr>
          <w:i/>
          <w:sz w:val="21"/>
          <w:szCs w:val="36"/>
        </w:rPr>
        <w:t>PD, peritoneal dialysis; CAKUT, congenital anomalies of the kidney and urinary tract.</w:t>
      </w:r>
    </w:p>
    <w:p w14:paraId="25318A5C" w14:textId="77777777" w:rsidR="00415250" w:rsidRDefault="00415250">
      <w:pPr>
        <w:spacing w:before="60" w:after="40"/>
        <w:rPr>
          <w:i/>
          <w:sz w:val="21"/>
          <w:szCs w:val="36"/>
        </w:rPr>
      </w:pPr>
    </w:p>
    <w:p w14:paraId="21819242" w14:textId="77777777" w:rsidR="00415250" w:rsidRDefault="00415250">
      <w:pPr>
        <w:spacing w:before="60" w:after="40"/>
        <w:rPr>
          <w:i/>
          <w:sz w:val="21"/>
          <w:szCs w:val="36"/>
        </w:rPr>
      </w:pPr>
    </w:p>
    <w:p w14:paraId="316E6DD0" w14:textId="77777777" w:rsidR="00415250" w:rsidRDefault="00415250">
      <w:pPr>
        <w:spacing w:before="60" w:after="40"/>
        <w:rPr>
          <w:i/>
          <w:sz w:val="21"/>
          <w:szCs w:val="36"/>
        </w:rPr>
      </w:pPr>
    </w:p>
    <w:p w14:paraId="089ED5CD" w14:textId="3F1FE598" w:rsidR="00415250" w:rsidRPr="00234880" w:rsidRDefault="00415250" w:rsidP="00415250">
      <w:pPr>
        <w:spacing w:after="120"/>
        <w:rPr>
          <w:b/>
          <w:sz w:val="22"/>
        </w:rPr>
      </w:pPr>
      <w:r w:rsidRPr="00234880">
        <w:rPr>
          <w:b/>
          <w:sz w:val="22"/>
        </w:rPr>
        <w:t>S</w:t>
      </w:r>
      <w:r w:rsidRPr="00415250">
        <w:rPr>
          <w:b/>
          <w:sz w:val="22"/>
        </w:rPr>
        <w:t xml:space="preserve">upplementary Table 2. Fixed-time-point Kaplan–Meier </w:t>
      </w:r>
      <w:r w:rsidR="00D04B5E">
        <w:rPr>
          <w:b/>
          <w:sz w:val="22"/>
        </w:rPr>
        <w:t xml:space="preserve">cumulative </w:t>
      </w:r>
      <w:r w:rsidRPr="00415250">
        <w:rPr>
          <w:b/>
          <w:sz w:val="22"/>
        </w:rPr>
        <w:t>mortality estimates among infants</w:t>
      </w:r>
      <w:r w:rsidR="00D04B5E">
        <w:rPr>
          <w:b/>
          <w:sz w:val="22"/>
        </w:rPr>
        <w:t xml:space="preserve"> according to</w:t>
      </w:r>
      <w:r w:rsidRPr="00415250">
        <w:rPr>
          <w:b/>
          <w:sz w:val="22"/>
        </w:rPr>
        <w:t xml:space="preserve"> treatment era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35"/>
        <w:gridCol w:w="2849"/>
        <w:gridCol w:w="2551"/>
        <w:gridCol w:w="2410"/>
      </w:tblGrid>
      <w:tr w:rsidR="00415250" w14:paraId="14059BEB" w14:textId="77777777" w:rsidTr="00234880">
        <w:trPr>
          <w:trHeight w:val="175"/>
          <w:tblHeader/>
        </w:trPr>
        <w:tc>
          <w:tcPr>
            <w:tcW w:w="5935" w:type="dxa"/>
            <w:shd w:val="clear" w:color="auto" w:fill="D9E6F2"/>
            <w:vAlign w:val="center"/>
          </w:tcPr>
          <w:p w14:paraId="507CE034" w14:textId="77777777" w:rsidR="00415250" w:rsidRDefault="00415250" w:rsidP="009C2E65"/>
        </w:tc>
        <w:tc>
          <w:tcPr>
            <w:tcW w:w="2849" w:type="dxa"/>
            <w:shd w:val="clear" w:color="auto" w:fill="D9E6F2"/>
            <w:vAlign w:val="center"/>
          </w:tcPr>
          <w:p w14:paraId="61B216B6" w14:textId="77777777" w:rsidR="00415250" w:rsidRDefault="00415250" w:rsidP="009C2E65">
            <w:pPr>
              <w:jc w:val="center"/>
            </w:pPr>
            <w:r>
              <w:rPr>
                <w:b/>
                <w:bCs/>
                <w:sz w:val="22"/>
              </w:rPr>
              <w:t>1998–2012 (n=26)</w:t>
            </w:r>
          </w:p>
        </w:tc>
        <w:tc>
          <w:tcPr>
            <w:tcW w:w="2551" w:type="dxa"/>
            <w:shd w:val="clear" w:color="auto" w:fill="D9E6F2"/>
            <w:vAlign w:val="center"/>
          </w:tcPr>
          <w:p w14:paraId="081E2C92" w14:textId="77777777" w:rsidR="00415250" w:rsidRDefault="00415250" w:rsidP="009C2E65">
            <w:pPr>
              <w:jc w:val="center"/>
            </w:pPr>
            <w:r>
              <w:rPr>
                <w:b/>
                <w:bCs/>
                <w:sz w:val="22"/>
              </w:rPr>
              <w:t>2013–2025 (n=19)</w:t>
            </w:r>
          </w:p>
        </w:tc>
        <w:tc>
          <w:tcPr>
            <w:tcW w:w="2410" w:type="dxa"/>
            <w:shd w:val="clear" w:color="auto" w:fill="D9E6F2"/>
            <w:vAlign w:val="center"/>
          </w:tcPr>
          <w:p w14:paraId="08A09876" w14:textId="77777777" w:rsidR="00415250" w:rsidRDefault="00415250" w:rsidP="009C2E65">
            <w:pPr>
              <w:jc w:val="center"/>
            </w:pPr>
            <w:r>
              <w:rPr>
                <w:b/>
                <w:bCs/>
                <w:sz w:val="22"/>
              </w:rPr>
              <w:t>p-value</w:t>
            </w:r>
          </w:p>
        </w:tc>
      </w:tr>
      <w:tr w:rsidR="00415250" w:rsidRPr="00415250" w14:paraId="3417F582" w14:textId="77777777" w:rsidTr="00234880">
        <w:trPr>
          <w:trHeight w:val="280"/>
        </w:trPr>
        <w:tc>
          <w:tcPr>
            <w:tcW w:w="5935" w:type="dxa"/>
            <w:vAlign w:val="center"/>
          </w:tcPr>
          <w:p w14:paraId="363B50ED" w14:textId="77777777" w:rsidR="00415250" w:rsidRPr="00415250" w:rsidRDefault="00415250" w:rsidP="009C2E65">
            <w:pPr>
              <w:rPr>
                <w:sz w:val="22"/>
              </w:rPr>
            </w:pPr>
            <w:r>
              <w:rPr>
                <w:sz w:val="22"/>
              </w:rPr>
              <w:t>2-year cumulative mortality, % (95% CI)</w:t>
            </w:r>
          </w:p>
        </w:tc>
        <w:tc>
          <w:tcPr>
            <w:tcW w:w="2849" w:type="dxa"/>
            <w:vAlign w:val="center"/>
          </w:tcPr>
          <w:p w14:paraId="1C9C63AD" w14:textId="77777777" w:rsidR="00415250" w:rsidRPr="00415250" w:rsidRDefault="00415250" w:rsidP="009C2E6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23.7 (7.1–40.4)</w:t>
            </w:r>
          </w:p>
        </w:tc>
        <w:tc>
          <w:tcPr>
            <w:tcW w:w="2551" w:type="dxa"/>
            <w:vAlign w:val="center"/>
          </w:tcPr>
          <w:p w14:paraId="36A89394" w14:textId="77777777" w:rsidR="00415250" w:rsidRPr="00415250" w:rsidRDefault="00415250" w:rsidP="009C2E6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12.6 (0.0–29.0)</w:t>
            </w:r>
          </w:p>
        </w:tc>
        <w:tc>
          <w:tcPr>
            <w:tcW w:w="2410" w:type="dxa"/>
            <w:vAlign w:val="center"/>
          </w:tcPr>
          <w:p w14:paraId="7C32634A" w14:textId="77777777" w:rsidR="00415250" w:rsidRPr="00415250" w:rsidRDefault="00415250" w:rsidP="009C2E6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0.350</w:t>
            </w:r>
          </w:p>
        </w:tc>
      </w:tr>
      <w:tr w:rsidR="00415250" w:rsidRPr="00415250" w14:paraId="2E88456E" w14:textId="77777777" w:rsidTr="00234880">
        <w:trPr>
          <w:trHeight w:val="305"/>
        </w:trPr>
        <w:tc>
          <w:tcPr>
            <w:tcW w:w="5935" w:type="dxa"/>
            <w:vAlign w:val="center"/>
          </w:tcPr>
          <w:p w14:paraId="16325E29" w14:textId="77777777" w:rsidR="00415250" w:rsidRPr="00415250" w:rsidRDefault="00415250" w:rsidP="009C2E65">
            <w:pPr>
              <w:rPr>
                <w:sz w:val="22"/>
              </w:rPr>
            </w:pPr>
            <w:r>
              <w:rPr>
                <w:sz w:val="22"/>
              </w:rPr>
              <w:t>3-year cumulative mortality, % (95% CI)</w:t>
            </w:r>
          </w:p>
        </w:tc>
        <w:tc>
          <w:tcPr>
            <w:tcW w:w="2849" w:type="dxa"/>
            <w:vAlign w:val="center"/>
          </w:tcPr>
          <w:p w14:paraId="25530DE2" w14:textId="77777777" w:rsidR="00415250" w:rsidRPr="00415250" w:rsidRDefault="00415250" w:rsidP="009C2E6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44.3 (24.7–64.0)</w:t>
            </w:r>
          </w:p>
        </w:tc>
        <w:tc>
          <w:tcPr>
            <w:tcW w:w="2551" w:type="dxa"/>
            <w:vAlign w:val="center"/>
          </w:tcPr>
          <w:p w14:paraId="7E485969" w14:textId="77777777" w:rsidR="00415250" w:rsidRPr="00415250" w:rsidRDefault="00415250" w:rsidP="009C2E6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21.3 (0.0–43.3)</w:t>
            </w:r>
          </w:p>
        </w:tc>
        <w:tc>
          <w:tcPr>
            <w:tcW w:w="2410" w:type="dxa"/>
            <w:vAlign w:val="center"/>
          </w:tcPr>
          <w:p w14:paraId="389B07D5" w14:textId="77777777" w:rsidR="00415250" w:rsidRPr="00415250" w:rsidRDefault="00415250" w:rsidP="009C2E6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0.126</w:t>
            </w:r>
          </w:p>
        </w:tc>
      </w:tr>
      <w:tr w:rsidR="00415250" w:rsidRPr="00415250" w14:paraId="1101B653" w14:textId="77777777" w:rsidTr="00234880">
        <w:trPr>
          <w:trHeight w:val="280"/>
        </w:trPr>
        <w:tc>
          <w:tcPr>
            <w:tcW w:w="5935" w:type="dxa"/>
            <w:vAlign w:val="center"/>
          </w:tcPr>
          <w:p w14:paraId="3CDC58A4" w14:textId="77777777" w:rsidR="00415250" w:rsidRPr="00415250" w:rsidRDefault="00415250" w:rsidP="009C2E65">
            <w:pPr>
              <w:rPr>
                <w:sz w:val="22"/>
              </w:rPr>
            </w:pPr>
            <w:r>
              <w:rPr>
                <w:sz w:val="22"/>
              </w:rPr>
              <w:t>5-year cumulative mortality, % (95% CI)</w:t>
            </w:r>
          </w:p>
        </w:tc>
        <w:tc>
          <w:tcPr>
            <w:tcW w:w="2849" w:type="dxa"/>
            <w:vAlign w:val="center"/>
          </w:tcPr>
          <w:p w14:paraId="6C415096" w14:textId="77777777" w:rsidR="00415250" w:rsidRPr="00415250" w:rsidRDefault="00415250" w:rsidP="009C2E6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49.4 (29.2–69.6)</w:t>
            </w:r>
          </w:p>
        </w:tc>
        <w:tc>
          <w:tcPr>
            <w:tcW w:w="2551" w:type="dxa"/>
            <w:vAlign w:val="center"/>
          </w:tcPr>
          <w:p w14:paraId="20BD6F7F" w14:textId="77777777" w:rsidR="00415250" w:rsidRPr="00415250" w:rsidRDefault="00415250" w:rsidP="009C2E6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21.3 (0.0–43.3)</w:t>
            </w:r>
          </w:p>
        </w:tc>
        <w:tc>
          <w:tcPr>
            <w:tcW w:w="2410" w:type="dxa"/>
            <w:vAlign w:val="center"/>
          </w:tcPr>
          <w:p w14:paraId="1E6B2F49" w14:textId="77777777" w:rsidR="00415250" w:rsidRPr="00415250" w:rsidRDefault="00415250" w:rsidP="009C2E6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0.065</w:t>
            </w:r>
          </w:p>
        </w:tc>
      </w:tr>
    </w:tbl>
    <w:p w14:paraId="09BC477A" w14:textId="4B4A28E6" w:rsidR="00415250" w:rsidRPr="00415250" w:rsidRDefault="00415250" w:rsidP="00234880">
      <w:pPr>
        <w:spacing w:before="160"/>
        <w:jc w:val="both"/>
        <w:rPr>
          <w:i/>
          <w:sz w:val="21"/>
          <w:szCs w:val="36"/>
        </w:rPr>
      </w:pPr>
      <w:r w:rsidRPr="00415250">
        <w:rPr>
          <w:i/>
          <w:sz w:val="21"/>
          <w:szCs w:val="36"/>
        </w:rPr>
        <w:t xml:space="preserve">Cumulative mortality [1 – Kaplan–Meier survival estimate] with 95% confidence intervals calculated using the Greenwood formula. Between-era p-values derived from a normal-approximation z-test comparing </w:t>
      </w:r>
      <w:r w:rsidR="00D54C1C">
        <w:rPr>
          <w:i/>
          <w:sz w:val="21"/>
          <w:szCs w:val="36"/>
        </w:rPr>
        <w:t>fix</w:t>
      </w:r>
      <w:r w:rsidR="00000708">
        <w:rPr>
          <w:i/>
          <w:sz w:val="21"/>
          <w:szCs w:val="36"/>
        </w:rPr>
        <w:t>ed</w:t>
      </w:r>
      <w:r w:rsidR="00D54C1C">
        <w:rPr>
          <w:i/>
          <w:sz w:val="21"/>
          <w:szCs w:val="36"/>
        </w:rPr>
        <w:t>-time-point</w:t>
      </w:r>
      <w:r w:rsidRPr="00415250">
        <w:rPr>
          <w:i/>
          <w:sz w:val="21"/>
          <w:szCs w:val="36"/>
        </w:rPr>
        <w:t xml:space="preserve"> mortality estimates (pooled Greenwood standard errors); not a log-rank test of the full survival curves.</w:t>
      </w:r>
    </w:p>
    <w:p w14:paraId="170EC513" w14:textId="77777777" w:rsidR="00415250" w:rsidRPr="00415250" w:rsidRDefault="00415250" w:rsidP="00234880">
      <w:pPr>
        <w:spacing w:before="60"/>
        <w:jc w:val="both"/>
        <w:rPr>
          <w:i/>
          <w:sz w:val="21"/>
          <w:szCs w:val="36"/>
        </w:rPr>
      </w:pPr>
      <w:r w:rsidRPr="00415250">
        <w:rPr>
          <w:i/>
          <w:sz w:val="21"/>
          <w:szCs w:val="36"/>
        </w:rPr>
        <w:t>Number at risk in the 2013–2025 era at each landmark: n=11 (2-year), n=8 (3-year), n=5 (5-year); estimates at 3 and 5 years therefore carry wide confidence intervals.</w:t>
      </w:r>
    </w:p>
    <w:p w14:paraId="6473BC16" w14:textId="3BAF74A2" w:rsidR="00137365" w:rsidRPr="00D47DE4" w:rsidRDefault="00137365" w:rsidP="00922AC0">
      <w:pPr>
        <w:rPr>
          <w:sz w:val="21"/>
          <w:szCs w:val="21"/>
        </w:rPr>
      </w:pPr>
    </w:p>
    <w:sectPr w:rsidR="00137365" w:rsidRPr="00D47DE4" w:rsidSect="00922AC0">
      <w:pgSz w:w="15842" w:h="12219" w:orient="landscape"/>
      <w:pgMar w:top="794" w:right="862" w:bottom="794" w:left="862" w:header="431" w:footer="4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8396451">
    <w:abstractNumId w:val="8"/>
  </w:num>
  <w:num w:numId="2" w16cid:durableId="1454980910">
    <w:abstractNumId w:val="6"/>
  </w:num>
  <w:num w:numId="3" w16cid:durableId="510921406">
    <w:abstractNumId w:val="5"/>
  </w:num>
  <w:num w:numId="4" w16cid:durableId="1084062802">
    <w:abstractNumId w:val="4"/>
  </w:num>
  <w:num w:numId="5" w16cid:durableId="330960140">
    <w:abstractNumId w:val="7"/>
  </w:num>
  <w:num w:numId="6" w16cid:durableId="242767518">
    <w:abstractNumId w:val="3"/>
  </w:num>
  <w:num w:numId="7" w16cid:durableId="1868372571">
    <w:abstractNumId w:val="2"/>
  </w:num>
  <w:num w:numId="8" w16cid:durableId="1272862639">
    <w:abstractNumId w:val="1"/>
  </w:num>
  <w:num w:numId="9" w16cid:durableId="7226059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708"/>
    <w:rsid w:val="00016425"/>
    <w:rsid w:val="00022726"/>
    <w:rsid w:val="00024268"/>
    <w:rsid w:val="00034616"/>
    <w:rsid w:val="000359E7"/>
    <w:rsid w:val="0006063C"/>
    <w:rsid w:val="00065F20"/>
    <w:rsid w:val="00124CDA"/>
    <w:rsid w:val="00137365"/>
    <w:rsid w:val="0015074B"/>
    <w:rsid w:val="001B5EEB"/>
    <w:rsid w:val="001C7881"/>
    <w:rsid w:val="001D1487"/>
    <w:rsid w:val="00234880"/>
    <w:rsid w:val="00241F2E"/>
    <w:rsid w:val="00270D1B"/>
    <w:rsid w:val="0029639D"/>
    <w:rsid w:val="002A5686"/>
    <w:rsid w:val="002E1351"/>
    <w:rsid w:val="00321E41"/>
    <w:rsid w:val="00326F90"/>
    <w:rsid w:val="00395CF8"/>
    <w:rsid w:val="003D7CD8"/>
    <w:rsid w:val="003E3DFD"/>
    <w:rsid w:val="004048C5"/>
    <w:rsid w:val="00415250"/>
    <w:rsid w:val="00462E1C"/>
    <w:rsid w:val="004E4B57"/>
    <w:rsid w:val="00507295"/>
    <w:rsid w:val="00593685"/>
    <w:rsid w:val="00596D9B"/>
    <w:rsid w:val="006557AA"/>
    <w:rsid w:val="006824A2"/>
    <w:rsid w:val="00706D61"/>
    <w:rsid w:val="0074397F"/>
    <w:rsid w:val="007751DC"/>
    <w:rsid w:val="007B4C07"/>
    <w:rsid w:val="0080199D"/>
    <w:rsid w:val="00815CB0"/>
    <w:rsid w:val="00844B57"/>
    <w:rsid w:val="00890812"/>
    <w:rsid w:val="00897617"/>
    <w:rsid w:val="008F15FB"/>
    <w:rsid w:val="008F32BF"/>
    <w:rsid w:val="00922AC0"/>
    <w:rsid w:val="00971F8F"/>
    <w:rsid w:val="009954A2"/>
    <w:rsid w:val="009B2815"/>
    <w:rsid w:val="009F2B60"/>
    <w:rsid w:val="00A10E18"/>
    <w:rsid w:val="00A15CF6"/>
    <w:rsid w:val="00A26063"/>
    <w:rsid w:val="00A33E10"/>
    <w:rsid w:val="00A35B57"/>
    <w:rsid w:val="00A663D5"/>
    <w:rsid w:val="00A721B3"/>
    <w:rsid w:val="00A93A74"/>
    <w:rsid w:val="00AA1D8D"/>
    <w:rsid w:val="00AA4945"/>
    <w:rsid w:val="00B00176"/>
    <w:rsid w:val="00B01D12"/>
    <w:rsid w:val="00B10F67"/>
    <w:rsid w:val="00B327F5"/>
    <w:rsid w:val="00B36C07"/>
    <w:rsid w:val="00B47730"/>
    <w:rsid w:val="00B53C2B"/>
    <w:rsid w:val="00B84A25"/>
    <w:rsid w:val="00B932FB"/>
    <w:rsid w:val="00BB01B4"/>
    <w:rsid w:val="00BC2598"/>
    <w:rsid w:val="00C23AED"/>
    <w:rsid w:val="00C50D0F"/>
    <w:rsid w:val="00C759D8"/>
    <w:rsid w:val="00CA3D2E"/>
    <w:rsid w:val="00CB0664"/>
    <w:rsid w:val="00CC6A51"/>
    <w:rsid w:val="00D04B5E"/>
    <w:rsid w:val="00D142C5"/>
    <w:rsid w:val="00D25DB3"/>
    <w:rsid w:val="00D44478"/>
    <w:rsid w:val="00D47DE4"/>
    <w:rsid w:val="00D54C1C"/>
    <w:rsid w:val="00D573CB"/>
    <w:rsid w:val="00DB6B6A"/>
    <w:rsid w:val="00E01A37"/>
    <w:rsid w:val="00E2745B"/>
    <w:rsid w:val="00E70A4E"/>
    <w:rsid w:val="00E9096D"/>
    <w:rsid w:val="00E90D7A"/>
    <w:rsid w:val="00E95253"/>
    <w:rsid w:val="00F13EA6"/>
    <w:rsid w:val="00F45B18"/>
    <w:rsid w:val="00F5397D"/>
    <w:rsid w:val="00F55663"/>
    <w:rsid w:val="00F739FF"/>
    <w:rsid w:val="00FC693F"/>
    <w:rsid w:val="00FE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C886F"/>
  <w14:defaultImageDpi w14:val="300"/>
  <w15:docId w15:val="{2A08B8BF-28BB-7A4D-AFF3-337DDE42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3E3DF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3E3DFD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3E3DFD"/>
    <w:rPr>
      <w:rFonts w:ascii="Times New Roman" w:hAnsi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E3DF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E3DFD"/>
    <w:rPr>
      <w:rFonts w:ascii="Times New Roman" w:hAnsi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A494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A4945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C50D0F"/>
    <w:pPr>
      <w:spacing w:after="0" w:line="240" w:lineRule="auto"/>
    </w:pPr>
    <w:rPr>
      <w:rFonts w:ascii="Times New Roman" w:hAnsi="Times New Roman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c4241b-c29f-45ab-9a0d-af010f0480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735867FD398D52418AD437B315E9CA50" ma:contentTypeVersion="14" ma:contentTypeDescription="Yeni belge oluşturun." ma:contentTypeScope="" ma:versionID="5df0d9bcfdf7b35d0f0b19d87299bedf">
  <xsd:schema xmlns:xsd="http://www.w3.org/2001/XMLSchema" xmlns:xs="http://www.w3.org/2001/XMLSchema" xmlns:p="http://schemas.microsoft.com/office/2006/metadata/properties" xmlns:ns3="44c4241b-c29f-45ab-9a0d-af010f0480a3" targetNamespace="http://schemas.microsoft.com/office/2006/metadata/properties" ma:root="true" ma:fieldsID="aafb44abea70e6a4fdbbad6288c3ff0c" ns3:_="">
    <xsd:import namespace="44c4241b-c29f-45ab-9a0d-af010f0480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4241b-c29f-45ab-9a0d-af010f048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65F45D-CABA-4351-806F-5BFAD007F3C8}">
  <ds:schemaRefs>
    <ds:schemaRef ds:uri="http://schemas.microsoft.com/office/2006/metadata/properties"/>
    <ds:schemaRef ds:uri="http://schemas.microsoft.com/office/infopath/2007/PartnerControls"/>
    <ds:schemaRef ds:uri="44c4241b-c29f-45ab-9a0d-af010f0480a3"/>
  </ds:schemaRefs>
</ds:datastoreItem>
</file>

<file path=customXml/itemProps2.xml><?xml version="1.0" encoding="utf-8"?>
<ds:datastoreItem xmlns:ds="http://schemas.openxmlformats.org/officeDocument/2006/customXml" ds:itemID="{267944AC-7FFE-464A-BE45-7C1CCA2368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704264-D35B-48DE-9814-36806E464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c4241b-c29f-45ab-9a0d-af010f048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D2213F-66AA-407F-81EB-3F8BD346B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325</Words>
  <Characters>1963</Characters>
  <Application>Microsoft Office Word</Application>
  <DocSecurity>0</DocSecurity>
  <Lines>29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Ruveyda Gulmez</cp:lastModifiedBy>
  <cp:revision>4</cp:revision>
  <dcterms:created xsi:type="dcterms:W3CDTF">2026-09-19T20:26:00Z</dcterms:created>
  <dcterms:modified xsi:type="dcterms:W3CDTF">2026-09-19T20:33:00Z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dab4023a-a623-4dba-8792-1aaaf6f26cd2</vt:lpwstr>
  </property>
  <property fmtid="{D5CDD505-2E9C-101B-9397-08002B2CF9AE}" pid="3" name="ContentTypeId">
    <vt:lpwstr>0x010100735867FD398D52418AD437B315E9CA50</vt:lpwstr>
  </property>
</Properties>
</file>