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E703B" w14:textId="77777777" w:rsidR="00BF2D2E" w:rsidRPr="00635627" w:rsidRDefault="00BF2D2E" w:rsidP="00BF2D2E">
      <w:pPr>
        <w:spacing w:line="360" w:lineRule="auto"/>
        <w:jc w:val="center"/>
        <w:rPr>
          <w:rFonts w:ascii="Times New Roman" w:hAnsi="Times New Roman" w:cs="Times New Roman"/>
          <w:b/>
          <w:bCs/>
          <w:szCs w:val="21"/>
        </w:rPr>
      </w:pPr>
      <w:r w:rsidRPr="00635627">
        <w:rPr>
          <w:rFonts w:ascii="Times New Roman" w:hAnsi="Times New Roman" w:cs="Times New Roman"/>
          <w:b/>
          <w:bCs/>
          <w:szCs w:val="21"/>
        </w:rPr>
        <w:t>LucaCell: a sequence-centric foundation model for cross-species single-cell analysis</w:t>
      </w:r>
    </w:p>
    <w:p w14:paraId="0E348025" w14:textId="77777777" w:rsidR="00BF2D2E" w:rsidRPr="00635627" w:rsidRDefault="00BF2D2E" w:rsidP="00BF2D2E">
      <w:pPr>
        <w:spacing w:line="360" w:lineRule="auto"/>
        <w:jc w:val="center"/>
        <w:rPr>
          <w:rFonts w:ascii="Times New Roman" w:hAnsi="Times New Roman" w:cs="Times New Roman"/>
          <w:szCs w:val="21"/>
        </w:rPr>
      </w:pPr>
      <w:r w:rsidRPr="00635627">
        <w:rPr>
          <w:rFonts w:ascii="Times New Roman" w:hAnsi="Times New Roman" w:cs="Times New Roman"/>
          <w:szCs w:val="21"/>
        </w:rPr>
        <w:t>Yan Sun</w:t>
      </w:r>
      <w:r w:rsidRPr="00635627">
        <w:rPr>
          <w:rFonts w:ascii="Times New Roman" w:hAnsi="Times New Roman" w:cs="Times New Roman"/>
        </w:rPr>
        <w:t xml:space="preserve"> </w:t>
      </w:r>
      <w:r w:rsidRPr="00635627">
        <w:rPr>
          <w:rFonts w:ascii="Times New Roman" w:hAnsi="Times New Roman" w:cs="Times New Roman"/>
          <w:vertAlign w:val="superscript"/>
        </w:rPr>
        <w:t>1,2,3</w:t>
      </w:r>
      <w:r w:rsidRPr="00635627">
        <w:rPr>
          <w:rFonts w:ascii="Times New Roman" w:hAnsi="Times New Roman" w:cs="Times New Roman"/>
          <w:szCs w:val="21"/>
          <w:vertAlign w:val="superscript"/>
        </w:rPr>
        <w:t>†</w:t>
      </w:r>
      <w:r w:rsidRPr="00635627">
        <w:rPr>
          <w:rFonts w:ascii="Times New Roman" w:hAnsi="Times New Roman" w:cs="Times New Roman"/>
          <w:szCs w:val="21"/>
        </w:rPr>
        <w:t>, Yong He</w:t>
      </w:r>
      <w:r w:rsidRPr="00635627">
        <w:rPr>
          <w:rFonts w:ascii="Times New Roman" w:hAnsi="Times New Roman" w:cs="Times New Roman"/>
        </w:rPr>
        <w:t xml:space="preserve"> </w:t>
      </w:r>
      <w:r w:rsidRPr="00635627">
        <w:rPr>
          <w:rFonts w:ascii="Times New Roman" w:hAnsi="Times New Roman" w:cs="Times New Roman"/>
          <w:vertAlign w:val="superscript"/>
        </w:rPr>
        <w:t>2,4</w:t>
      </w:r>
      <w:r w:rsidRPr="00635627">
        <w:rPr>
          <w:rFonts w:ascii="Times New Roman" w:hAnsi="Times New Roman" w:cs="Times New Roman"/>
          <w:szCs w:val="21"/>
          <w:vertAlign w:val="superscript"/>
        </w:rPr>
        <w:t>†*</w:t>
      </w:r>
      <w:r w:rsidRPr="00635627">
        <w:rPr>
          <w:rFonts w:ascii="Times New Roman" w:hAnsi="Times New Roman" w:cs="Times New Roman"/>
          <w:szCs w:val="21"/>
        </w:rPr>
        <w:t xml:space="preserve">, Minsi Ren </w:t>
      </w:r>
      <w:r w:rsidRPr="00635627">
        <w:rPr>
          <w:rFonts w:ascii="Times New Roman" w:hAnsi="Times New Roman" w:cs="Times New Roman"/>
          <w:szCs w:val="21"/>
          <w:vertAlign w:val="superscript"/>
        </w:rPr>
        <w:t>2,5</w:t>
      </w:r>
      <w:r w:rsidRPr="00635627">
        <w:rPr>
          <w:rFonts w:ascii="Times New Roman" w:hAnsi="Times New Roman" w:cs="Times New Roman"/>
          <w:szCs w:val="21"/>
        </w:rPr>
        <w:t xml:space="preserve">, Yanhui Wang </w:t>
      </w:r>
      <w:r w:rsidRPr="00635627">
        <w:rPr>
          <w:rFonts w:ascii="Times New Roman" w:hAnsi="Times New Roman" w:cs="Times New Roman"/>
          <w:szCs w:val="21"/>
          <w:vertAlign w:val="superscript"/>
        </w:rPr>
        <w:t>6</w:t>
      </w:r>
      <w:r w:rsidRPr="00635627">
        <w:rPr>
          <w:rFonts w:ascii="Times New Roman" w:hAnsi="Times New Roman" w:cs="Times New Roman"/>
          <w:szCs w:val="21"/>
        </w:rPr>
        <w:t xml:space="preserve">, Penghao Xu </w:t>
      </w:r>
      <w:r w:rsidRPr="00635627">
        <w:rPr>
          <w:rFonts w:ascii="Times New Roman" w:hAnsi="Times New Roman" w:cs="Times New Roman"/>
          <w:szCs w:val="21"/>
          <w:vertAlign w:val="superscript"/>
        </w:rPr>
        <w:t>7</w:t>
      </w:r>
      <w:r w:rsidRPr="00635627">
        <w:rPr>
          <w:rFonts w:ascii="Times New Roman" w:hAnsi="Times New Roman" w:cs="Times New Roman"/>
          <w:szCs w:val="21"/>
        </w:rPr>
        <w:t xml:space="preserve">, Yong Hou </w:t>
      </w:r>
      <w:r w:rsidRPr="00635627">
        <w:rPr>
          <w:rFonts w:ascii="Times New Roman" w:hAnsi="Times New Roman" w:cs="Times New Roman"/>
          <w:szCs w:val="21"/>
          <w:vertAlign w:val="superscript"/>
        </w:rPr>
        <w:t>1,3</w:t>
      </w:r>
      <w:r w:rsidRPr="00635627">
        <w:rPr>
          <w:rFonts w:ascii="Times New Roman" w:hAnsi="Times New Roman" w:cs="Times New Roman"/>
          <w:szCs w:val="21"/>
        </w:rPr>
        <w:t xml:space="preserve">, Yu Kang </w:t>
      </w:r>
      <w:r w:rsidRPr="00635627">
        <w:rPr>
          <w:rFonts w:ascii="Times New Roman" w:hAnsi="Times New Roman" w:cs="Times New Roman"/>
          <w:szCs w:val="21"/>
          <w:vertAlign w:val="superscript"/>
        </w:rPr>
        <w:t>4</w:t>
      </w:r>
      <w:r w:rsidRPr="00635627">
        <w:rPr>
          <w:rFonts w:ascii="Times New Roman" w:hAnsi="Times New Roman" w:cs="Times New Roman"/>
          <w:szCs w:val="21"/>
        </w:rPr>
        <w:t xml:space="preserve">, Tingjun Hou </w:t>
      </w:r>
      <w:r w:rsidRPr="00635627">
        <w:rPr>
          <w:rFonts w:ascii="Times New Roman" w:hAnsi="Times New Roman" w:cs="Times New Roman"/>
          <w:szCs w:val="21"/>
          <w:vertAlign w:val="superscript"/>
        </w:rPr>
        <w:t>4</w:t>
      </w:r>
      <w:r w:rsidRPr="00635627">
        <w:rPr>
          <w:rFonts w:ascii="Times New Roman" w:hAnsi="Times New Roman" w:cs="Times New Roman"/>
          <w:szCs w:val="21"/>
        </w:rPr>
        <w:t xml:space="preserve">, Jieping Ye </w:t>
      </w:r>
      <w:r w:rsidRPr="00635627">
        <w:rPr>
          <w:rFonts w:ascii="Times New Roman" w:hAnsi="Times New Roman" w:cs="Times New Roman"/>
          <w:szCs w:val="21"/>
          <w:vertAlign w:val="superscript"/>
        </w:rPr>
        <w:t>2</w:t>
      </w:r>
      <w:r w:rsidRPr="00635627">
        <w:rPr>
          <w:rFonts w:ascii="Times New Roman" w:hAnsi="Times New Roman" w:cs="Times New Roman"/>
          <w:szCs w:val="21"/>
        </w:rPr>
        <w:t>, Huanming Yang</w:t>
      </w:r>
      <w:r w:rsidRPr="00635627">
        <w:rPr>
          <w:rFonts w:ascii="Times New Roman" w:hAnsi="Times New Roman" w:cs="Times New Roman"/>
        </w:rPr>
        <w:t xml:space="preserve"> </w:t>
      </w:r>
      <w:r w:rsidRPr="00635627">
        <w:rPr>
          <w:rFonts w:ascii="Times New Roman" w:hAnsi="Times New Roman" w:cs="Times New Roman"/>
          <w:vertAlign w:val="superscript"/>
        </w:rPr>
        <w:t>3</w:t>
      </w:r>
      <w:r w:rsidRPr="00635627">
        <w:rPr>
          <w:rFonts w:ascii="Times New Roman" w:hAnsi="Times New Roman" w:cs="Times New Roman"/>
          <w:szCs w:val="21"/>
          <w:vertAlign w:val="superscript"/>
        </w:rPr>
        <w:t>*</w:t>
      </w:r>
      <w:r w:rsidRPr="00635627">
        <w:rPr>
          <w:rFonts w:ascii="Times New Roman" w:hAnsi="Times New Roman" w:cs="Times New Roman"/>
          <w:szCs w:val="21"/>
        </w:rPr>
        <w:t>, Zheng Wang</w:t>
      </w:r>
      <w:r w:rsidRPr="00635627">
        <w:rPr>
          <w:rFonts w:ascii="Times New Roman" w:hAnsi="Times New Roman" w:cs="Times New Roman"/>
        </w:rPr>
        <w:t xml:space="preserve"> </w:t>
      </w:r>
      <w:r w:rsidRPr="00635627">
        <w:rPr>
          <w:rFonts w:ascii="Times New Roman" w:hAnsi="Times New Roman" w:cs="Times New Roman"/>
          <w:vertAlign w:val="superscript"/>
        </w:rPr>
        <w:t>2</w:t>
      </w:r>
      <w:r w:rsidRPr="00635627">
        <w:rPr>
          <w:rFonts w:ascii="Times New Roman" w:hAnsi="Times New Roman" w:cs="Times New Roman"/>
          <w:szCs w:val="21"/>
          <w:vertAlign w:val="superscript"/>
        </w:rPr>
        <w:t>*</w:t>
      </w:r>
    </w:p>
    <w:p w14:paraId="0F24D6D3" w14:textId="77777777" w:rsidR="00BF2D2E" w:rsidRPr="00635627" w:rsidRDefault="00BF2D2E" w:rsidP="00BF2D2E">
      <w:pPr>
        <w:spacing w:line="360" w:lineRule="auto"/>
        <w:jc w:val="center"/>
        <w:rPr>
          <w:rFonts w:ascii="Times New Roman" w:hAnsi="Times New Roman" w:cs="Times New Roman"/>
          <w:szCs w:val="21"/>
        </w:rPr>
      </w:pPr>
    </w:p>
    <w:p w14:paraId="135205CB" w14:textId="77777777" w:rsidR="00BF2D2E" w:rsidRPr="00635627" w:rsidRDefault="00BF2D2E" w:rsidP="00BF2D2E">
      <w:pPr>
        <w:pStyle w:val="a9"/>
        <w:numPr>
          <w:ilvl w:val="0"/>
          <w:numId w:val="1"/>
        </w:numPr>
        <w:spacing w:line="360" w:lineRule="auto"/>
        <w:ind w:firstLineChars="0"/>
        <w:rPr>
          <w:rFonts w:ascii="Times New Roman" w:hAnsi="Times New Roman" w:cs="Times New Roman"/>
          <w:szCs w:val="21"/>
        </w:rPr>
      </w:pPr>
      <w:r w:rsidRPr="00635627">
        <w:rPr>
          <w:rFonts w:ascii="Times New Roman" w:hAnsi="Times New Roman" w:cs="Times New Roman"/>
          <w:szCs w:val="21"/>
        </w:rPr>
        <w:t>College of Life Sciences, University of Chinese Academy of Sciences, Beijing, China</w:t>
      </w:r>
    </w:p>
    <w:p w14:paraId="4CB4E582" w14:textId="77777777" w:rsidR="00BF2D2E" w:rsidRPr="00635627" w:rsidRDefault="00BF2D2E" w:rsidP="00BF2D2E">
      <w:pPr>
        <w:pStyle w:val="a9"/>
        <w:numPr>
          <w:ilvl w:val="0"/>
          <w:numId w:val="1"/>
        </w:numPr>
        <w:spacing w:line="360" w:lineRule="auto"/>
        <w:ind w:firstLineChars="0"/>
        <w:rPr>
          <w:rFonts w:ascii="Times New Roman" w:hAnsi="Times New Roman" w:cs="Times New Roman"/>
          <w:szCs w:val="21"/>
        </w:rPr>
      </w:pPr>
      <w:r w:rsidRPr="00635627">
        <w:rPr>
          <w:rFonts w:ascii="Times New Roman" w:hAnsi="Times New Roman" w:cs="Times New Roman"/>
          <w:szCs w:val="21"/>
        </w:rPr>
        <w:t>Token Foundry, Alibaba Token Hub, Alibaba Group, Hangzhou, China</w:t>
      </w:r>
    </w:p>
    <w:p w14:paraId="52D57EDF" w14:textId="77777777" w:rsidR="00BF2D2E" w:rsidRPr="00635627" w:rsidRDefault="00BF2D2E" w:rsidP="00BF2D2E">
      <w:pPr>
        <w:pStyle w:val="a9"/>
        <w:numPr>
          <w:ilvl w:val="0"/>
          <w:numId w:val="1"/>
        </w:numPr>
        <w:spacing w:line="360" w:lineRule="auto"/>
        <w:ind w:firstLineChars="0"/>
        <w:rPr>
          <w:rFonts w:ascii="Times New Roman" w:hAnsi="Times New Roman" w:cs="Times New Roman"/>
          <w:szCs w:val="21"/>
        </w:rPr>
      </w:pPr>
      <w:r w:rsidRPr="00635627">
        <w:rPr>
          <w:rFonts w:ascii="Times New Roman" w:hAnsi="Times New Roman" w:cs="Times New Roman"/>
          <w:szCs w:val="21"/>
        </w:rPr>
        <w:t>BGI Research, Shenzhen, China</w:t>
      </w:r>
    </w:p>
    <w:p w14:paraId="63711843" w14:textId="77777777" w:rsidR="00BF2D2E" w:rsidRPr="00635627" w:rsidRDefault="00BF2D2E" w:rsidP="00BF2D2E">
      <w:pPr>
        <w:pStyle w:val="a9"/>
        <w:numPr>
          <w:ilvl w:val="0"/>
          <w:numId w:val="1"/>
        </w:numPr>
        <w:spacing w:line="360" w:lineRule="auto"/>
        <w:ind w:firstLineChars="0"/>
        <w:rPr>
          <w:rFonts w:ascii="Times New Roman" w:hAnsi="Times New Roman" w:cs="Times New Roman"/>
          <w:szCs w:val="21"/>
        </w:rPr>
      </w:pPr>
      <w:r w:rsidRPr="00635627">
        <w:rPr>
          <w:rFonts w:ascii="Times New Roman" w:hAnsi="Times New Roman" w:cs="Times New Roman"/>
          <w:szCs w:val="21"/>
        </w:rPr>
        <w:t>College of Pharmaceutical Sciences, Zhejiang University, Hangzhou, China</w:t>
      </w:r>
    </w:p>
    <w:p w14:paraId="04BCA7B9" w14:textId="77777777" w:rsidR="00BF2D2E" w:rsidRPr="00635627" w:rsidRDefault="00BF2D2E" w:rsidP="00BF2D2E">
      <w:pPr>
        <w:pStyle w:val="a9"/>
        <w:numPr>
          <w:ilvl w:val="0"/>
          <w:numId w:val="1"/>
        </w:numPr>
        <w:spacing w:line="360" w:lineRule="auto"/>
        <w:ind w:firstLineChars="0"/>
        <w:rPr>
          <w:rFonts w:ascii="Times New Roman" w:hAnsi="Times New Roman" w:cs="Times New Roman"/>
          <w:szCs w:val="21"/>
        </w:rPr>
      </w:pPr>
      <w:r w:rsidRPr="00635627">
        <w:rPr>
          <w:rFonts w:ascii="Times New Roman" w:hAnsi="Times New Roman" w:cs="Times New Roman"/>
          <w:szCs w:val="21"/>
        </w:rPr>
        <w:t>Department of Artificial Intelligence, School of Engineering, Westlake University, Hangzhou, China</w:t>
      </w:r>
    </w:p>
    <w:p w14:paraId="547B0E77" w14:textId="77777777" w:rsidR="00BF2D2E" w:rsidRPr="00635627" w:rsidRDefault="00BF2D2E" w:rsidP="00BF2D2E">
      <w:pPr>
        <w:pStyle w:val="a9"/>
        <w:numPr>
          <w:ilvl w:val="0"/>
          <w:numId w:val="1"/>
        </w:numPr>
        <w:spacing w:line="360" w:lineRule="auto"/>
        <w:ind w:firstLineChars="0"/>
        <w:rPr>
          <w:rFonts w:ascii="Times New Roman" w:hAnsi="Times New Roman" w:cs="Times New Roman"/>
          <w:szCs w:val="21"/>
        </w:rPr>
      </w:pPr>
      <w:r w:rsidRPr="00635627">
        <w:rPr>
          <w:rFonts w:ascii="Times New Roman" w:hAnsi="Times New Roman" w:cs="Times New Roman"/>
          <w:szCs w:val="21"/>
        </w:rPr>
        <w:t>College of Ocean and Earth Sciences and State Key Laboratory of Marine Environmental Science, Xiamen University, Xiamen, China</w:t>
      </w:r>
    </w:p>
    <w:p w14:paraId="0FE6D628" w14:textId="77777777" w:rsidR="00BF2D2E" w:rsidRPr="00635627" w:rsidRDefault="00BF2D2E" w:rsidP="00BF2D2E">
      <w:pPr>
        <w:pStyle w:val="a9"/>
        <w:numPr>
          <w:ilvl w:val="0"/>
          <w:numId w:val="1"/>
        </w:numPr>
        <w:spacing w:line="360" w:lineRule="auto"/>
        <w:ind w:firstLineChars="0"/>
        <w:rPr>
          <w:rFonts w:ascii="Times New Roman" w:hAnsi="Times New Roman" w:cs="Times New Roman"/>
          <w:szCs w:val="21"/>
        </w:rPr>
      </w:pPr>
      <w:r w:rsidRPr="00635627">
        <w:rPr>
          <w:rFonts w:ascii="Times New Roman" w:hAnsi="Times New Roman" w:cs="Times New Roman"/>
          <w:szCs w:val="21"/>
        </w:rPr>
        <w:t>ZJU-Veminsyn Bio-AI joint Research &amp; Development Center, College of Agriculture and Biotechnology, Zhejiang University, Hangzhou, China</w:t>
      </w:r>
    </w:p>
    <w:p w14:paraId="25B277BA" w14:textId="77777777" w:rsidR="00BF2D2E" w:rsidRPr="00635627" w:rsidRDefault="00BF2D2E" w:rsidP="00BF2D2E">
      <w:pPr>
        <w:spacing w:line="360" w:lineRule="auto"/>
        <w:rPr>
          <w:rFonts w:ascii="Times New Roman" w:hAnsi="Times New Roman" w:cs="Times New Roman"/>
          <w:szCs w:val="21"/>
        </w:rPr>
      </w:pPr>
      <w:r w:rsidRPr="00635627">
        <w:rPr>
          <w:rFonts w:ascii="Times New Roman" w:hAnsi="Times New Roman" w:cs="Times New Roman"/>
          <w:szCs w:val="21"/>
        </w:rPr>
        <w:t>† These authors contributed equally.</w:t>
      </w:r>
    </w:p>
    <w:p w14:paraId="4AA7E114" w14:textId="77777777" w:rsidR="00BF2D2E" w:rsidRPr="00635627" w:rsidRDefault="00BF2D2E" w:rsidP="00BF2D2E">
      <w:pPr>
        <w:spacing w:line="360" w:lineRule="auto"/>
        <w:rPr>
          <w:rFonts w:ascii="Times New Roman" w:hAnsi="Times New Roman" w:cs="Times New Roman"/>
          <w:szCs w:val="21"/>
        </w:rPr>
      </w:pPr>
      <w:r w:rsidRPr="00635627">
        <w:rPr>
          <w:rFonts w:ascii="Times New Roman" w:hAnsi="Times New Roman" w:cs="Times New Roman"/>
          <w:szCs w:val="21"/>
        </w:rPr>
        <w:t>* Correspondence to Yong He (sanyuan.hy@alibaba-inc.com), Huanming Yang (yanghm@genomics.cn), and Zheng Wang (wz388779@alibaba-inc.com).</w:t>
      </w:r>
    </w:p>
    <w:p w14:paraId="6733AE5A" w14:textId="77777777" w:rsidR="00BF2D2E" w:rsidRPr="00635627" w:rsidRDefault="00BF2D2E">
      <w:pPr>
        <w:widowControl/>
        <w:jc w:val="left"/>
        <w:rPr>
          <w:rFonts w:ascii="Times New Roman" w:hAnsi="Times New Roman" w:cs="Times New Roman"/>
          <w:b/>
          <w:bCs/>
          <w:szCs w:val="21"/>
        </w:rPr>
      </w:pPr>
      <w:r w:rsidRPr="00635627">
        <w:rPr>
          <w:rFonts w:ascii="Times New Roman" w:hAnsi="Times New Roman" w:cs="Times New Roman"/>
          <w:b/>
          <w:bCs/>
          <w:szCs w:val="21"/>
        </w:rPr>
        <w:br w:type="page"/>
      </w:r>
    </w:p>
    <w:p w14:paraId="753BBCAD" w14:textId="480F524B" w:rsidR="00751A9C" w:rsidRPr="00635627" w:rsidRDefault="001E2950" w:rsidP="00751A9C">
      <w:pPr>
        <w:spacing w:line="360" w:lineRule="auto"/>
        <w:rPr>
          <w:rFonts w:ascii="Times New Roman" w:hAnsi="Times New Roman" w:cs="Times New Roman"/>
          <w:b/>
          <w:bCs/>
          <w:szCs w:val="21"/>
        </w:rPr>
      </w:pPr>
      <w:r w:rsidRPr="00635627">
        <w:rPr>
          <w:rFonts w:ascii="Times New Roman" w:hAnsi="Times New Roman" w:cs="Times New Roman"/>
          <w:b/>
          <w:bCs/>
          <w:szCs w:val="21"/>
        </w:rPr>
        <w:lastRenderedPageBreak/>
        <w:t xml:space="preserve">Supplementary </w:t>
      </w:r>
      <w:r w:rsidR="003239BD" w:rsidRPr="00635627">
        <w:rPr>
          <w:rFonts w:ascii="Times New Roman" w:hAnsi="Times New Roman" w:cs="Times New Roman"/>
          <w:b/>
          <w:bCs/>
          <w:szCs w:val="21"/>
        </w:rPr>
        <w:t>M</w:t>
      </w:r>
      <w:r w:rsidRPr="00635627">
        <w:rPr>
          <w:rFonts w:ascii="Times New Roman" w:hAnsi="Times New Roman" w:cs="Times New Roman"/>
          <w:b/>
          <w:bCs/>
          <w:szCs w:val="21"/>
        </w:rPr>
        <w:t>aterials</w:t>
      </w:r>
      <w:r w:rsidR="00015980" w:rsidRPr="00635627">
        <w:rPr>
          <w:rFonts w:ascii="Times New Roman" w:hAnsi="Times New Roman" w:cs="Times New Roman"/>
          <w:b/>
          <w:bCs/>
          <w:szCs w:val="21"/>
        </w:rPr>
        <w:t xml:space="preserve"> </w:t>
      </w:r>
    </w:p>
    <w:p w14:paraId="4FB84B94" w14:textId="77777777" w:rsidR="007B20CC" w:rsidRPr="00635627" w:rsidRDefault="007B20CC" w:rsidP="00751A9C">
      <w:pPr>
        <w:spacing w:line="360" w:lineRule="auto"/>
        <w:rPr>
          <w:rFonts w:ascii="Times New Roman" w:hAnsi="Times New Roman" w:cs="Times New Roman"/>
          <w:b/>
          <w:bCs/>
          <w:szCs w:val="21"/>
        </w:rPr>
      </w:pPr>
    </w:p>
    <w:p w14:paraId="56A49578" w14:textId="3E75BFBB" w:rsidR="003239BD" w:rsidRPr="00635627" w:rsidRDefault="003239BD" w:rsidP="00751A9C">
      <w:pPr>
        <w:spacing w:line="360" w:lineRule="auto"/>
        <w:rPr>
          <w:rFonts w:ascii="Times New Roman" w:hAnsi="Times New Roman" w:cs="Times New Roman"/>
          <w:b/>
          <w:bCs/>
          <w:szCs w:val="21"/>
        </w:rPr>
      </w:pPr>
      <w:r w:rsidRPr="00635627">
        <w:rPr>
          <w:rFonts w:ascii="Times New Roman" w:hAnsi="Times New Roman" w:cs="Times New Roman"/>
          <w:b/>
          <w:bCs/>
          <w:szCs w:val="21"/>
        </w:rPr>
        <w:t>Supplementary Figures</w:t>
      </w:r>
    </w:p>
    <w:p w14:paraId="0FC235E8" w14:textId="7ED2AD78" w:rsidR="00751A9C" w:rsidRPr="00635627" w:rsidRDefault="00246031" w:rsidP="00751A9C">
      <w:pPr>
        <w:spacing w:line="360" w:lineRule="auto"/>
        <w:rPr>
          <w:rFonts w:ascii="Times New Roman" w:hAnsi="Times New Roman" w:cs="Times New Roman"/>
          <w:szCs w:val="21"/>
        </w:rPr>
      </w:pPr>
      <w:r w:rsidRPr="00635627">
        <w:rPr>
          <w:rFonts w:ascii="Times New Roman" w:hAnsi="Times New Roman" w:cs="Times New Roman"/>
          <w:noProof/>
          <w:szCs w:val="21"/>
        </w:rPr>
        <w:drawing>
          <wp:inline distT="0" distB="0" distL="0" distR="0" wp14:anchorId="7355E3DB" wp14:editId="1414A04E">
            <wp:extent cx="5274310" cy="2197735"/>
            <wp:effectExtent l="0" t="0" r="2540" b="0"/>
            <wp:docPr id="16" name="图形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7">
                      <a:extLst>
                        <a:ext uri="{96DAC541-7B7A-43D3-8B79-37D633B846F1}">
                          <asvg:svgBlip xmlns:asvg="http://schemas.microsoft.com/office/drawing/2016/SVG/main" r:embed="rId8"/>
                        </a:ext>
                      </a:extLst>
                    </a:blip>
                    <a:stretch>
                      <a:fillRect/>
                    </a:stretch>
                  </pic:blipFill>
                  <pic:spPr>
                    <a:xfrm>
                      <a:off x="0" y="0"/>
                      <a:ext cx="5274310" cy="2197735"/>
                    </a:xfrm>
                    <a:prstGeom prst="rect">
                      <a:avLst/>
                    </a:prstGeom>
                  </pic:spPr>
                </pic:pic>
              </a:graphicData>
            </a:graphic>
          </wp:inline>
        </w:drawing>
      </w:r>
    </w:p>
    <w:p w14:paraId="289ABEE7" w14:textId="77777777" w:rsidR="00751A9C" w:rsidRPr="00635627" w:rsidRDefault="00751A9C" w:rsidP="00751A9C">
      <w:pPr>
        <w:spacing w:line="360" w:lineRule="auto"/>
        <w:rPr>
          <w:rFonts w:ascii="Times New Roman" w:hAnsi="Times New Roman" w:cs="Times New Roman"/>
          <w:szCs w:val="21"/>
        </w:rPr>
      </w:pPr>
      <w:r w:rsidRPr="00635627">
        <w:rPr>
          <w:rFonts w:ascii="Times New Roman" w:hAnsi="Times New Roman" w:cs="Times New Roman"/>
          <w:szCs w:val="21"/>
        </w:rPr>
        <w:t>Figure S1. Pre-training loss trajectory of LucaCell. Global self-supervised pre-training loss trajectory across 10 million steps (left), with a zoomed-in view around the 6.4 million (M) step mark (right). The red dashed line indicates the 6.4M-step checkpoint selected for downstream tasks and fine-tuning initialization.</w:t>
      </w:r>
    </w:p>
    <w:p w14:paraId="587682B3" w14:textId="77777777" w:rsidR="00751A9C" w:rsidRPr="00635627" w:rsidRDefault="00751A9C" w:rsidP="00751A9C">
      <w:pPr>
        <w:spacing w:line="360" w:lineRule="auto"/>
        <w:rPr>
          <w:rFonts w:ascii="Times New Roman" w:hAnsi="Times New Roman" w:cs="Times New Roman"/>
          <w:szCs w:val="21"/>
        </w:rPr>
      </w:pPr>
    </w:p>
    <w:p w14:paraId="558103F0" w14:textId="764081EF" w:rsidR="00751A9C" w:rsidRPr="00635627" w:rsidRDefault="00411E42" w:rsidP="00751A9C">
      <w:pPr>
        <w:spacing w:line="360" w:lineRule="auto"/>
        <w:jc w:val="center"/>
        <w:rPr>
          <w:rFonts w:ascii="Times New Roman" w:hAnsi="Times New Roman" w:cs="Times New Roman"/>
          <w:szCs w:val="21"/>
        </w:rPr>
      </w:pPr>
      <w:r w:rsidRPr="00635627">
        <w:rPr>
          <w:rFonts w:ascii="Times New Roman" w:hAnsi="Times New Roman" w:cs="Times New Roman"/>
          <w:noProof/>
          <w:szCs w:val="21"/>
        </w:rPr>
        <w:drawing>
          <wp:inline distT="0" distB="0" distL="0" distR="0" wp14:anchorId="23C5AE1A" wp14:editId="50C2CA86">
            <wp:extent cx="5274310" cy="2813685"/>
            <wp:effectExtent l="0" t="0" r="2540" b="5715"/>
            <wp:docPr id="12" name="图形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形 12"/>
                    <pic:cNvPicPr/>
                  </pic:nvPicPr>
                  <pic:blipFill>
                    <a:blip r:embed="rId9">
                      <a:extLst>
                        <a:ext uri="{96DAC541-7B7A-43D3-8B79-37D633B846F1}">
                          <asvg:svgBlip xmlns:asvg="http://schemas.microsoft.com/office/drawing/2016/SVG/main" r:embed="rId10"/>
                        </a:ext>
                      </a:extLst>
                    </a:blip>
                    <a:stretch>
                      <a:fillRect/>
                    </a:stretch>
                  </pic:blipFill>
                  <pic:spPr>
                    <a:xfrm>
                      <a:off x="0" y="0"/>
                      <a:ext cx="5274310" cy="2813685"/>
                    </a:xfrm>
                    <a:prstGeom prst="rect">
                      <a:avLst/>
                    </a:prstGeom>
                  </pic:spPr>
                </pic:pic>
              </a:graphicData>
            </a:graphic>
          </wp:inline>
        </w:drawing>
      </w:r>
    </w:p>
    <w:p w14:paraId="5180F224" w14:textId="5A92AFC1" w:rsidR="00751A9C" w:rsidRPr="00413D2E" w:rsidRDefault="00751A9C" w:rsidP="00751A9C">
      <w:pPr>
        <w:spacing w:line="360" w:lineRule="auto"/>
        <w:rPr>
          <w:rFonts w:ascii="Times New Roman" w:hAnsi="Times New Roman" w:cs="Times New Roman"/>
          <w:szCs w:val="21"/>
        </w:rPr>
      </w:pPr>
      <w:r w:rsidRPr="00635627">
        <w:rPr>
          <w:rFonts w:ascii="Times New Roman" w:hAnsi="Times New Roman" w:cs="Times New Roman"/>
          <w:szCs w:val="21"/>
        </w:rPr>
        <w:t xml:space="preserve">Figure S2. </w:t>
      </w:r>
      <w:r w:rsidR="00413D2E" w:rsidRPr="00413D2E">
        <w:rPr>
          <w:rFonts w:ascii="Times New Roman" w:hAnsi="Times New Roman" w:cs="Times New Roman"/>
          <w:szCs w:val="21"/>
        </w:rPr>
        <w:t>Joint latent space of cross-species and cross-modal cell representations.</w:t>
      </w:r>
      <w:r w:rsidR="00413D2E">
        <w:rPr>
          <w:rFonts w:ascii="Times New Roman" w:hAnsi="Times New Roman" w:cs="Times New Roman"/>
          <w:szCs w:val="21"/>
        </w:rPr>
        <w:t xml:space="preserve"> </w:t>
      </w:r>
      <w:r w:rsidR="00413D2E" w:rsidRPr="00413D2E">
        <w:rPr>
          <w:rFonts w:ascii="Times New Roman" w:hAnsi="Times New Roman" w:cs="Times New Roman"/>
          <w:szCs w:val="21"/>
        </w:rPr>
        <w:t>UMAP visualization of LucaCell-derived embeddings colored by cell type across human, mouse, and lemur datasets and across RNA-seq and ATAC-seq modalities.</w:t>
      </w:r>
      <w:r w:rsidR="00413D2E">
        <w:rPr>
          <w:rFonts w:ascii="Times New Roman" w:hAnsi="Times New Roman" w:cs="Times New Roman"/>
          <w:szCs w:val="21"/>
        </w:rPr>
        <w:t xml:space="preserve"> </w:t>
      </w:r>
    </w:p>
    <w:p w14:paraId="5AD634C1" w14:textId="77777777" w:rsidR="00751A9C" w:rsidRPr="00635627" w:rsidRDefault="00751A9C" w:rsidP="00751A9C">
      <w:pPr>
        <w:spacing w:line="360" w:lineRule="auto"/>
        <w:jc w:val="center"/>
        <w:rPr>
          <w:rFonts w:ascii="Times New Roman" w:hAnsi="Times New Roman" w:cs="Times New Roman"/>
          <w:szCs w:val="21"/>
        </w:rPr>
      </w:pPr>
    </w:p>
    <w:p w14:paraId="66B2BC9B" w14:textId="530B79EC" w:rsidR="00751A9C" w:rsidRPr="00635627" w:rsidRDefault="00411E42" w:rsidP="00751A9C">
      <w:pPr>
        <w:spacing w:line="360" w:lineRule="auto"/>
        <w:jc w:val="center"/>
        <w:rPr>
          <w:rFonts w:ascii="Times New Roman" w:hAnsi="Times New Roman" w:cs="Times New Roman"/>
          <w:szCs w:val="21"/>
        </w:rPr>
      </w:pPr>
      <w:r w:rsidRPr="00635627">
        <w:rPr>
          <w:rFonts w:ascii="Times New Roman" w:hAnsi="Times New Roman" w:cs="Times New Roman"/>
          <w:noProof/>
          <w:szCs w:val="21"/>
        </w:rPr>
        <w:lastRenderedPageBreak/>
        <w:drawing>
          <wp:inline distT="0" distB="0" distL="0" distR="0" wp14:anchorId="7A513C61" wp14:editId="2E40C476">
            <wp:extent cx="5274310" cy="3867785"/>
            <wp:effectExtent l="0" t="0" r="2540" b="0"/>
            <wp:docPr id="10" name="图形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形 10"/>
                    <pic:cNvPicPr/>
                  </pic:nvPicPr>
                  <pic:blipFill>
                    <a:blip r:embed="rId11">
                      <a:extLst>
                        <a:ext uri="{96DAC541-7B7A-43D3-8B79-37D633B846F1}">
                          <asvg:svgBlip xmlns:asvg="http://schemas.microsoft.com/office/drawing/2016/SVG/main" r:embed="rId12"/>
                        </a:ext>
                      </a:extLst>
                    </a:blip>
                    <a:stretch>
                      <a:fillRect/>
                    </a:stretch>
                  </pic:blipFill>
                  <pic:spPr>
                    <a:xfrm>
                      <a:off x="0" y="0"/>
                      <a:ext cx="5274310" cy="3867785"/>
                    </a:xfrm>
                    <a:prstGeom prst="rect">
                      <a:avLst/>
                    </a:prstGeom>
                  </pic:spPr>
                </pic:pic>
              </a:graphicData>
            </a:graphic>
          </wp:inline>
        </w:drawing>
      </w:r>
    </w:p>
    <w:p w14:paraId="71FA871C" w14:textId="515E7CC6" w:rsidR="00751A9C" w:rsidRPr="00635627" w:rsidRDefault="00751A9C" w:rsidP="00751A9C">
      <w:pPr>
        <w:spacing w:line="360" w:lineRule="auto"/>
        <w:jc w:val="center"/>
        <w:rPr>
          <w:rFonts w:ascii="Times New Roman" w:hAnsi="Times New Roman" w:cs="Times New Roman"/>
          <w:szCs w:val="21"/>
        </w:rPr>
      </w:pPr>
      <w:r w:rsidRPr="00635627">
        <w:rPr>
          <w:rFonts w:ascii="Times New Roman" w:hAnsi="Times New Roman" w:cs="Times New Roman"/>
          <w:szCs w:val="21"/>
        </w:rPr>
        <w:t xml:space="preserve">Figure S3. </w:t>
      </w:r>
      <w:r w:rsidR="00A721D9" w:rsidRPr="00A721D9">
        <w:rPr>
          <w:rFonts w:ascii="Times New Roman" w:hAnsi="Times New Roman" w:cs="Times New Roman"/>
          <w:szCs w:val="21"/>
        </w:rPr>
        <w:t>Marker-gene overlap across species.</w:t>
      </w:r>
      <w:r w:rsidR="00A721D9">
        <w:rPr>
          <w:rFonts w:ascii="Times New Roman" w:hAnsi="Times New Roman" w:cs="Times New Roman"/>
          <w:szCs w:val="21"/>
        </w:rPr>
        <w:t xml:space="preserve"> </w:t>
      </w:r>
      <w:r w:rsidR="00A721D9" w:rsidRPr="00A721D9">
        <w:rPr>
          <w:rFonts w:ascii="Times New Roman" w:hAnsi="Times New Roman" w:cs="Times New Roman"/>
          <w:szCs w:val="21"/>
        </w:rPr>
        <w:t>Overlap of cell type-specific marker genes identified independently in human, mouse, and lemur,</w:t>
      </w:r>
      <w:r w:rsidRPr="00635627">
        <w:rPr>
          <w:rFonts w:ascii="Times New Roman" w:hAnsi="Times New Roman" w:cs="Times New Roman"/>
          <w:szCs w:val="21"/>
        </w:rPr>
        <w:t xml:space="preserve"> shown separately for each cell type.</w:t>
      </w:r>
    </w:p>
    <w:p w14:paraId="331E203A" w14:textId="77777777" w:rsidR="00751A9C" w:rsidRPr="00635627" w:rsidRDefault="00751A9C" w:rsidP="00751A9C">
      <w:pPr>
        <w:spacing w:line="360" w:lineRule="auto"/>
        <w:jc w:val="center"/>
        <w:rPr>
          <w:rFonts w:ascii="Times New Roman" w:hAnsi="Times New Roman" w:cs="Times New Roman"/>
          <w:szCs w:val="21"/>
        </w:rPr>
      </w:pPr>
    </w:p>
    <w:p w14:paraId="7FF3D42A" w14:textId="17517627" w:rsidR="00751A9C" w:rsidRPr="00635627" w:rsidRDefault="000756D9" w:rsidP="00751A9C">
      <w:pPr>
        <w:spacing w:line="360" w:lineRule="auto"/>
        <w:rPr>
          <w:rFonts w:ascii="Times New Roman" w:hAnsi="Times New Roman" w:cs="Times New Roman"/>
          <w:szCs w:val="21"/>
        </w:rPr>
      </w:pPr>
      <w:r w:rsidRPr="00635627">
        <w:rPr>
          <w:rFonts w:ascii="Times New Roman" w:hAnsi="Times New Roman" w:cs="Times New Roman"/>
          <w:noProof/>
          <w:szCs w:val="21"/>
        </w:rPr>
        <w:drawing>
          <wp:inline distT="0" distB="0" distL="0" distR="0" wp14:anchorId="2B2E61DA" wp14:editId="5B827307">
            <wp:extent cx="5274310" cy="2959100"/>
            <wp:effectExtent l="0" t="0" r="2540" b="0"/>
            <wp:docPr id="7" name="图形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形 7"/>
                    <pic:cNvPicPr/>
                  </pic:nvPicPr>
                  <pic:blipFill>
                    <a:blip r:embed="rId13">
                      <a:extLst>
                        <a:ext uri="{96DAC541-7B7A-43D3-8B79-37D633B846F1}">
                          <asvg:svgBlip xmlns:asvg="http://schemas.microsoft.com/office/drawing/2016/SVG/main" r:embed="rId14"/>
                        </a:ext>
                      </a:extLst>
                    </a:blip>
                    <a:stretch>
                      <a:fillRect/>
                    </a:stretch>
                  </pic:blipFill>
                  <pic:spPr>
                    <a:xfrm>
                      <a:off x="0" y="0"/>
                      <a:ext cx="5274310" cy="2959100"/>
                    </a:xfrm>
                    <a:prstGeom prst="rect">
                      <a:avLst/>
                    </a:prstGeom>
                  </pic:spPr>
                </pic:pic>
              </a:graphicData>
            </a:graphic>
          </wp:inline>
        </w:drawing>
      </w:r>
    </w:p>
    <w:p w14:paraId="481F41D3" w14:textId="6D9C8FB0" w:rsidR="00751A9C" w:rsidRPr="00635627" w:rsidRDefault="00751A9C" w:rsidP="00751A9C">
      <w:pPr>
        <w:spacing w:line="360" w:lineRule="auto"/>
        <w:rPr>
          <w:rFonts w:ascii="Times New Roman" w:hAnsi="Times New Roman" w:cs="Times New Roman"/>
          <w:szCs w:val="21"/>
        </w:rPr>
      </w:pPr>
      <w:r w:rsidRPr="00635627">
        <w:rPr>
          <w:rFonts w:ascii="Times New Roman" w:hAnsi="Times New Roman" w:cs="Times New Roman"/>
          <w:szCs w:val="21"/>
        </w:rPr>
        <w:t xml:space="preserve">Figure S4. </w:t>
      </w:r>
      <w:r w:rsidR="001F6D70" w:rsidRPr="001F6D70">
        <w:rPr>
          <w:rFonts w:ascii="Times New Roman" w:hAnsi="Times New Roman" w:cs="Times New Roman"/>
          <w:szCs w:val="21"/>
        </w:rPr>
        <w:t>Reactome pathway enrichment for shared downregulated genes.</w:t>
      </w:r>
      <w:r w:rsidR="001F6D70">
        <w:rPr>
          <w:rFonts w:ascii="Times New Roman" w:hAnsi="Times New Roman" w:cs="Times New Roman"/>
          <w:szCs w:val="21"/>
        </w:rPr>
        <w:t xml:space="preserve"> </w:t>
      </w:r>
      <w:r w:rsidR="001F6D70" w:rsidRPr="001F6D70">
        <w:rPr>
          <w:rFonts w:ascii="Times New Roman" w:hAnsi="Times New Roman" w:cs="Times New Roman"/>
          <w:szCs w:val="21"/>
        </w:rPr>
        <w:t xml:space="preserve">Top </w:t>
      </w:r>
      <w:r w:rsidR="001F6D70">
        <w:rPr>
          <w:rFonts w:ascii="Times New Roman" w:hAnsi="Times New Roman" w:cs="Times New Roman"/>
          <w:szCs w:val="21"/>
        </w:rPr>
        <w:t xml:space="preserve">10 </w:t>
      </w:r>
      <w:r w:rsidR="001F6D70" w:rsidRPr="001F6D70">
        <w:rPr>
          <w:rFonts w:ascii="Times New Roman" w:hAnsi="Times New Roman" w:cs="Times New Roman"/>
          <w:szCs w:val="21"/>
        </w:rPr>
        <w:t>enriched Reactome pathways identified from the overlap of downregulated DEGs across the four virus</w:t>
      </w:r>
      <w:r w:rsidR="001F6D70">
        <w:rPr>
          <w:rFonts w:ascii="Times New Roman" w:hAnsi="Times New Roman" w:cs="Times New Roman"/>
          <w:szCs w:val="21"/>
        </w:rPr>
        <w:t>-</w:t>
      </w:r>
      <w:r w:rsidR="001F6D70" w:rsidRPr="001F6D70">
        <w:rPr>
          <w:rFonts w:ascii="Times New Roman" w:hAnsi="Times New Roman" w:cs="Times New Roman"/>
          <w:szCs w:val="21"/>
        </w:rPr>
        <w:t>cell line combinations</w:t>
      </w:r>
      <w:r w:rsidR="001F6D70">
        <w:rPr>
          <w:rFonts w:ascii="Times New Roman" w:hAnsi="Times New Roman" w:cs="Times New Roman"/>
          <w:szCs w:val="21"/>
        </w:rPr>
        <w:t xml:space="preserve">. </w:t>
      </w:r>
    </w:p>
    <w:p w14:paraId="722D0B26" w14:textId="77777777" w:rsidR="00751A9C" w:rsidRPr="00635627" w:rsidRDefault="00751A9C" w:rsidP="00751A9C">
      <w:pPr>
        <w:spacing w:line="360" w:lineRule="auto"/>
        <w:rPr>
          <w:rFonts w:ascii="Times New Roman" w:hAnsi="Times New Roman" w:cs="Times New Roman"/>
          <w:szCs w:val="21"/>
        </w:rPr>
      </w:pPr>
    </w:p>
    <w:p w14:paraId="4511A64B" w14:textId="1ABD3251" w:rsidR="00751A9C" w:rsidRPr="00635627" w:rsidRDefault="000756D9" w:rsidP="00751A9C">
      <w:pPr>
        <w:spacing w:line="360" w:lineRule="auto"/>
        <w:rPr>
          <w:rFonts w:ascii="Times New Roman" w:hAnsi="Times New Roman" w:cs="Times New Roman"/>
          <w:szCs w:val="21"/>
        </w:rPr>
      </w:pPr>
      <w:r w:rsidRPr="00635627">
        <w:rPr>
          <w:rFonts w:ascii="Times New Roman" w:hAnsi="Times New Roman" w:cs="Times New Roman"/>
          <w:noProof/>
          <w:szCs w:val="21"/>
        </w:rPr>
        <w:drawing>
          <wp:inline distT="0" distB="0" distL="0" distR="0" wp14:anchorId="3DA3D6C1" wp14:editId="67401115">
            <wp:extent cx="5274310" cy="3054350"/>
            <wp:effectExtent l="0" t="0" r="2540" b="0"/>
            <wp:docPr id="9"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形 9"/>
                    <pic:cNvPicPr/>
                  </pic:nvPicPr>
                  <pic:blipFill>
                    <a:blip r:embed="rId15">
                      <a:extLst>
                        <a:ext uri="{96DAC541-7B7A-43D3-8B79-37D633B846F1}">
                          <asvg:svgBlip xmlns:asvg="http://schemas.microsoft.com/office/drawing/2016/SVG/main" r:embed="rId16"/>
                        </a:ext>
                      </a:extLst>
                    </a:blip>
                    <a:stretch>
                      <a:fillRect/>
                    </a:stretch>
                  </pic:blipFill>
                  <pic:spPr>
                    <a:xfrm>
                      <a:off x="0" y="0"/>
                      <a:ext cx="5274310" cy="3054350"/>
                    </a:xfrm>
                    <a:prstGeom prst="rect">
                      <a:avLst/>
                    </a:prstGeom>
                  </pic:spPr>
                </pic:pic>
              </a:graphicData>
            </a:graphic>
          </wp:inline>
        </w:drawing>
      </w:r>
    </w:p>
    <w:p w14:paraId="51255DE4" w14:textId="73DF5F53" w:rsidR="00751A9C" w:rsidRPr="00635627" w:rsidRDefault="00751A9C" w:rsidP="00751A9C">
      <w:pPr>
        <w:spacing w:line="360" w:lineRule="auto"/>
        <w:rPr>
          <w:rFonts w:ascii="Times New Roman" w:hAnsi="Times New Roman" w:cs="Times New Roman"/>
          <w:szCs w:val="21"/>
        </w:rPr>
      </w:pPr>
      <w:r w:rsidRPr="00635627">
        <w:rPr>
          <w:rFonts w:ascii="Times New Roman" w:hAnsi="Times New Roman" w:cs="Times New Roman"/>
          <w:szCs w:val="21"/>
        </w:rPr>
        <w:t xml:space="preserve">Figure S5. </w:t>
      </w:r>
      <w:r w:rsidR="001F6D70" w:rsidRPr="001F6D70">
        <w:rPr>
          <w:rFonts w:ascii="Times New Roman" w:hAnsi="Times New Roman" w:cs="Times New Roman"/>
          <w:szCs w:val="21"/>
        </w:rPr>
        <w:t>Reactome pathway enrichment for genes downregulated only in predicted infection-like cells.</w:t>
      </w:r>
      <w:r w:rsidR="001F6D70">
        <w:rPr>
          <w:rFonts w:ascii="Times New Roman" w:hAnsi="Times New Roman" w:cs="Times New Roman"/>
          <w:szCs w:val="21"/>
        </w:rPr>
        <w:t xml:space="preserve"> </w:t>
      </w:r>
      <w:r w:rsidR="001F6D70" w:rsidRPr="001F6D70">
        <w:rPr>
          <w:rFonts w:ascii="Times New Roman" w:hAnsi="Times New Roman" w:cs="Times New Roman"/>
          <w:szCs w:val="21"/>
        </w:rPr>
        <w:t>Top</w:t>
      </w:r>
      <w:r w:rsidR="001F6D70">
        <w:rPr>
          <w:rFonts w:ascii="Times New Roman" w:hAnsi="Times New Roman" w:cs="Times New Roman"/>
          <w:szCs w:val="21"/>
        </w:rPr>
        <w:t xml:space="preserve"> 10</w:t>
      </w:r>
      <w:r w:rsidR="001F6D70" w:rsidRPr="001F6D70">
        <w:rPr>
          <w:rFonts w:ascii="Times New Roman" w:hAnsi="Times New Roman" w:cs="Times New Roman"/>
          <w:szCs w:val="21"/>
        </w:rPr>
        <w:t xml:space="preserve"> enriched Reactome pathways identified from genes downregulated exclusively in predicted infection-like mock cells across the four virus</w:t>
      </w:r>
      <w:r w:rsidR="001F6D70">
        <w:rPr>
          <w:rFonts w:ascii="Times New Roman" w:hAnsi="Times New Roman" w:cs="Times New Roman"/>
          <w:szCs w:val="21"/>
        </w:rPr>
        <w:t>-</w:t>
      </w:r>
      <w:r w:rsidR="001F6D70" w:rsidRPr="001F6D70">
        <w:rPr>
          <w:rFonts w:ascii="Times New Roman" w:hAnsi="Times New Roman" w:cs="Times New Roman"/>
          <w:szCs w:val="21"/>
        </w:rPr>
        <w:t>cell line combinations.</w:t>
      </w:r>
      <w:r w:rsidR="001F6D70">
        <w:rPr>
          <w:rFonts w:ascii="Times New Roman" w:hAnsi="Times New Roman" w:cs="Times New Roman"/>
          <w:szCs w:val="21"/>
        </w:rPr>
        <w:t xml:space="preserve"> </w:t>
      </w:r>
    </w:p>
    <w:p w14:paraId="218FDB15" w14:textId="77777777" w:rsidR="00751A9C" w:rsidRPr="00635627" w:rsidRDefault="00751A9C" w:rsidP="00751A9C">
      <w:pPr>
        <w:spacing w:line="360" w:lineRule="auto"/>
        <w:rPr>
          <w:rFonts w:ascii="Times New Roman" w:hAnsi="Times New Roman" w:cs="Times New Roman"/>
          <w:szCs w:val="21"/>
        </w:rPr>
      </w:pPr>
    </w:p>
    <w:p w14:paraId="0DBC920F" w14:textId="77777777" w:rsidR="00751A9C" w:rsidRPr="00635627" w:rsidRDefault="00751A9C" w:rsidP="00751A9C">
      <w:pPr>
        <w:spacing w:line="360" w:lineRule="auto"/>
        <w:rPr>
          <w:rFonts w:ascii="Times New Roman" w:hAnsi="Times New Roman" w:cs="Times New Roman"/>
          <w:szCs w:val="21"/>
        </w:rPr>
      </w:pPr>
    </w:p>
    <w:p w14:paraId="10A3C14F" w14:textId="2FA9BAAC" w:rsidR="00751A9C" w:rsidRPr="00635627" w:rsidRDefault="00751A9C">
      <w:pPr>
        <w:widowControl/>
        <w:jc w:val="left"/>
        <w:rPr>
          <w:rFonts w:ascii="Times New Roman" w:hAnsi="Times New Roman" w:cs="Times New Roman"/>
          <w:szCs w:val="21"/>
        </w:rPr>
      </w:pPr>
      <w:r w:rsidRPr="00635627">
        <w:rPr>
          <w:rFonts w:ascii="Times New Roman" w:hAnsi="Times New Roman" w:cs="Times New Roman"/>
          <w:szCs w:val="21"/>
        </w:rPr>
        <w:br w:type="page"/>
      </w:r>
    </w:p>
    <w:p w14:paraId="3B78F8DD" w14:textId="6C5F8F88" w:rsidR="003239BD" w:rsidRPr="00635627" w:rsidRDefault="003239BD" w:rsidP="003239BD">
      <w:pPr>
        <w:spacing w:line="360" w:lineRule="auto"/>
        <w:rPr>
          <w:rFonts w:ascii="Times New Roman" w:hAnsi="Times New Roman" w:cs="Times New Roman"/>
          <w:b/>
          <w:bCs/>
          <w:szCs w:val="21"/>
        </w:rPr>
      </w:pPr>
      <w:r w:rsidRPr="00635627">
        <w:rPr>
          <w:rFonts w:ascii="Times New Roman" w:hAnsi="Times New Roman" w:cs="Times New Roman"/>
          <w:b/>
          <w:bCs/>
          <w:szCs w:val="21"/>
        </w:rPr>
        <w:lastRenderedPageBreak/>
        <w:t>Supplementary Tables</w:t>
      </w:r>
    </w:p>
    <w:p w14:paraId="62A5FCD2" w14:textId="1B216A26" w:rsidR="00751A9C" w:rsidRPr="00635627" w:rsidRDefault="00751A9C" w:rsidP="00751A9C">
      <w:pPr>
        <w:spacing w:line="360" w:lineRule="auto"/>
        <w:rPr>
          <w:rFonts w:ascii="Times New Roman" w:hAnsi="Times New Roman" w:cs="Times New Roman"/>
          <w:szCs w:val="21"/>
        </w:rPr>
      </w:pPr>
      <w:r w:rsidRPr="00635627">
        <w:rPr>
          <w:rFonts w:ascii="Times New Roman" w:hAnsi="Times New Roman" w:cs="Times New Roman"/>
          <w:szCs w:val="21"/>
        </w:rPr>
        <w:t>Table S1. Comparison among single-cell foundation models</w:t>
      </w:r>
    </w:p>
    <w:tbl>
      <w:tblPr>
        <w:tblStyle w:val="a7"/>
        <w:tblW w:w="9073" w:type="dxa"/>
        <w:tblInd w:w="-289" w:type="dxa"/>
        <w:tblLayout w:type="fixed"/>
        <w:tblLook w:val="04A0" w:firstRow="1" w:lastRow="0" w:firstColumn="1" w:lastColumn="0" w:noHBand="0" w:noVBand="1"/>
      </w:tblPr>
      <w:tblGrid>
        <w:gridCol w:w="1702"/>
        <w:gridCol w:w="1701"/>
        <w:gridCol w:w="1417"/>
        <w:gridCol w:w="993"/>
        <w:gridCol w:w="992"/>
        <w:gridCol w:w="1276"/>
        <w:gridCol w:w="992"/>
      </w:tblGrid>
      <w:tr w:rsidR="00751A9C" w:rsidRPr="00635627" w14:paraId="03FC5A0D" w14:textId="77777777" w:rsidTr="00BC562B">
        <w:tc>
          <w:tcPr>
            <w:tcW w:w="1702" w:type="dxa"/>
            <w:vAlign w:val="center"/>
          </w:tcPr>
          <w:p w14:paraId="14E0F881" w14:textId="77777777" w:rsidR="00751A9C" w:rsidRPr="00635627" w:rsidRDefault="00751A9C" w:rsidP="00BC562B">
            <w:pPr>
              <w:spacing w:beforeLines="20" w:before="62" w:afterLines="20" w:after="62"/>
              <w:rPr>
                <w:rFonts w:ascii="Times New Roman" w:hAnsi="Times New Roman" w:cs="Times New Roman"/>
                <w:szCs w:val="21"/>
              </w:rPr>
            </w:pPr>
            <w:r w:rsidRPr="00635627">
              <w:rPr>
                <w:rFonts w:ascii="Times New Roman" w:hAnsi="Times New Roman" w:cs="Times New Roman"/>
                <w:szCs w:val="21"/>
              </w:rPr>
              <w:t xml:space="preserve">Model </w:t>
            </w:r>
          </w:p>
        </w:tc>
        <w:tc>
          <w:tcPr>
            <w:tcW w:w="1701" w:type="dxa"/>
            <w:vAlign w:val="center"/>
          </w:tcPr>
          <w:p w14:paraId="15AA3C24"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Gene representation</w:t>
            </w:r>
          </w:p>
        </w:tc>
        <w:tc>
          <w:tcPr>
            <w:tcW w:w="1417" w:type="dxa"/>
            <w:vAlign w:val="center"/>
          </w:tcPr>
          <w:p w14:paraId="3ED1EB4C"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Expression representation</w:t>
            </w:r>
          </w:p>
        </w:tc>
        <w:tc>
          <w:tcPr>
            <w:tcW w:w="993" w:type="dxa"/>
            <w:vAlign w:val="center"/>
          </w:tcPr>
          <w:p w14:paraId="163CA19F"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Cross-species transfer</w:t>
            </w:r>
          </w:p>
        </w:tc>
        <w:tc>
          <w:tcPr>
            <w:tcW w:w="992" w:type="dxa"/>
            <w:vAlign w:val="center"/>
          </w:tcPr>
          <w:p w14:paraId="2F111087"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Non-coding region inclusion</w:t>
            </w:r>
          </w:p>
        </w:tc>
        <w:tc>
          <w:tcPr>
            <w:tcW w:w="1276" w:type="dxa"/>
            <w:vAlign w:val="center"/>
          </w:tcPr>
          <w:p w14:paraId="3CB3D4A0"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Nucleotide-level mutation sensitivity</w:t>
            </w:r>
          </w:p>
        </w:tc>
        <w:tc>
          <w:tcPr>
            <w:tcW w:w="992" w:type="dxa"/>
            <w:vAlign w:val="center"/>
          </w:tcPr>
          <w:p w14:paraId="59F0BFD6"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RNA-seq read-level input</w:t>
            </w:r>
          </w:p>
        </w:tc>
      </w:tr>
      <w:tr w:rsidR="00751A9C" w:rsidRPr="00635627" w14:paraId="0DC7596A" w14:textId="77777777" w:rsidTr="00BC562B">
        <w:tc>
          <w:tcPr>
            <w:tcW w:w="1702" w:type="dxa"/>
            <w:vAlign w:val="center"/>
          </w:tcPr>
          <w:p w14:paraId="03174805" w14:textId="19F57FEA" w:rsidR="00751A9C" w:rsidRPr="00635627" w:rsidRDefault="00751A9C" w:rsidP="00BC562B">
            <w:pPr>
              <w:spacing w:beforeLines="20" w:before="62" w:afterLines="20" w:after="62"/>
              <w:rPr>
                <w:rFonts w:ascii="Times New Roman" w:hAnsi="Times New Roman" w:cs="Times New Roman"/>
                <w:szCs w:val="21"/>
              </w:rPr>
            </w:pPr>
            <w:r w:rsidRPr="00635627">
              <w:rPr>
                <w:rFonts w:ascii="Times New Roman" w:hAnsi="Times New Roman" w:cs="Times New Roman"/>
                <w:szCs w:val="21"/>
              </w:rPr>
              <w:t xml:space="preserve">Geneformer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{"citationID":"jS3w7X2l","properties":{"unsorted":false,"formattedCitation":"[1]","plainCitation":"[1]","noteIndex":0},"citationItems":[{"id":63,"uris":["http://zotero.org/users/19832712/items/IXWSRW6Q"],"itemData":{"id":63,"type":"article-journal","abstract":"Mapping gene networks requires large amounts of transcriptomic data to learn the connections between genes, which impedes discoveries in settings with limited data, including rare diseases and diseases affecting clinically inaccessible tissues. Recently, transfer learning has revolutionized fields such as natural language understanding1,2 and computer vision3 by leveraging deep learning models pretrained on large-scale general datasets that can then be fine-tuned towards a vast array of downstream tasks with limited task-specific data. Here, we developed a context-aware, attention-based deep learning model, Geneformer, pretrained on a large-scale corpus of about 30 million single-cell transcriptomes to enable context-specific predictions in settings with limited data in network biology. During pretraining, Geneformer gained a fundamental understanding of network dynamics, encoding network hierarchy in the attention weights of the model in a completely self-supervised manner. Fine-tuning towards a diverse panel of downstream tasks relevant to chromatin and network dynamics using limited task-specific data demonstrated that Geneformer consistently boosted predictive accuracy. Applied to disease modelling with limited patient data, Geneformer identified candidate therapeutic targets for cardiomyopathy. Overall, Geneformer represents a pretrained deep learning model from which fine-tuning towards a broad range of downstream applications can be pursued to accelerate discovery of key network regulators and candidate therapeutic targets.","container-title":"Nature","DOI":"10.1038/s41586-023-06139-9","ISSN":"1476-4687","issue":"7965","journalAbbreviation":"Nature","page":"616-624","title":"Transfer learning enables predictions in network biology","volume":"618","author":[{"family":"Theodoris","given":"Christina V."},{"family":"Xiao","given":"Ling"},{"family":"Chopra","given":"Anant"},{"family":"Chaffin","given":"Mark D."},{"family":"Al Sayed","given":"Zeina R."},{"family":"Hill","given":"Matthew C."},{"family":"Mantineo","given":"Helene"},{"family":"Brydon","given":"Elizabeth M."},{"family":"Zeng","given":"Zexian"},{"family":"Liu","given":"X. Shirley"},{"family":"Ellinor","given":"Patrick T."}],"issued":{"date-parts":[["2023",6,1]]}}}],"schema":"https://github.com/citation-style-language/schema/raw/master/csl-citation.json"}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w:t>
            </w:r>
            <w:r w:rsidRPr="00635627">
              <w:rPr>
                <w:rFonts w:ascii="Times New Roman" w:hAnsi="Times New Roman" w:cs="Times New Roman"/>
                <w:szCs w:val="21"/>
              </w:rPr>
              <w:fldChar w:fldCharType="end"/>
            </w:r>
          </w:p>
        </w:tc>
        <w:tc>
          <w:tcPr>
            <w:tcW w:w="1701" w:type="dxa"/>
            <w:vAlign w:val="center"/>
          </w:tcPr>
          <w:p w14:paraId="2F328A23"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Gene ID/Name</w:t>
            </w:r>
          </w:p>
        </w:tc>
        <w:tc>
          <w:tcPr>
            <w:tcW w:w="1417" w:type="dxa"/>
            <w:vAlign w:val="center"/>
          </w:tcPr>
          <w:p w14:paraId="40EA1B89"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Ranked expression</w:t>
            </w:r>
          </w:p>
        </w:tc>
        <w:tc>
          <w:tcPr>
            <w:tcW w:w="993" w:type="dxa"/>
            <w:vAlign w:val="center"/>
          </w:tcPr>
          <w:p w14:paraId="702F37CD"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5E7C95ED" w14:textId="77777777" w:rsidR="00751A9C" w:rsidRPr="00635627" w:rsidRDefault="00751A9C" w:rsidP="00BC562B">
            <w:pPr>
              <w:spacing w:beforeLines="20" w:before="62" w:afterLines="20" w:after="62"/>
              <w:jc w:val="center"/>
              <w:rPr>
                <w:rFonts w:ascii="Times New Roman" w:eastAsia="MS Gothic" w:hAnsi="Times New Roman" w:cs="Times New Roman"/>
                <w:szCs w:val="21"/>
              </w:rPr>
            </w:pPr>
            <w:r w:rsidRPr="00635627">
              <w:rPr>
                <w:rFonts w:ascii="MS Gothic" w:eastAsia="MS Gothic" w:hAnsi="MS Gothic" w:cs="MS Gothic" w:hint="eastAsia"/>
                <w:szCs w:val="21"/>
              </w:rPr>
              <w:t>✗</w:t>
            </w:r>
          </w:p>
        </w:tc>
        <w:tc>
          <w:tcPr>
            <w:tcW w:w="1276" w:type="dxa"/>
            <w:vAlign w:val="center"/>
          </w:tcPr>
          <w:p w14:paraId="6C909902"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024AE1DC"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r>
      <w:tr w:rsidR="00751A9C" w:rsidRPr="00635627" w14:paraId="7D94CE50" w14:textId="77777777" w:rsidTr="00BC562B">
        <w:tc>
          <w:tcPr>
            <w:tcW w:w="1702" w:type="dxa"/>
            <w:vAlign w:val="center"/>
          </w:tcPr>
          <w:p w14:paraId="33BDFC98" w14:textId="26FDB002" w:rsidR="00751A9C" w:rsidRPr="00635627" w:rsidRDefault="00751A9C" w:rsidP="00BC562B">
            <w:pPr>
              <w:spacing w:beforeLines="20" w:before="62" w:afterLines="20" w:after="62"/>
              <w:rPr>
                <w:rFonts w:ascii="Times New Roman" w:hAnsi="Times New Roman" w:cs="Times New Roman"/>
                <w:szCs w:val="21"/>
              </w:rPr>
            </w:pPr>
            <w:r w:rsidRPr="00635627">
              <w:rPr>
                <w:rFonts w:ascii="Times New Roman" w:hAnsi="Times New Roman" w:cs="Times New Roman"/>
                <w:szCs w:val="21"/>
              </w:rPr>
              <w:t xml:space="preserve">scFoundation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{"citationID":"g4Q8aVPm","properties":{"unsorted":false,"formattedCitation":"[2]","plainCitation":"[2]","noteIndex":0},"citationItems":[{"id":64,"uris":["http://zotero.org/users/19832712/items/FVWHNGZS"],"itemData":{"id":64,"type":"article-journal","abstract":"Large pretrained models have become foundation models leading to breakthroughs in natural language processing and related fields. Developing foundation models for deciphering the ‘languages’ of cells and facilitating biomedical research is promising yet challenging. Here we developed a large pretrained model scFoundation, also named ‘xTrimoscFoundationα’, with 100 million parameters covering about 20,000 genes, pretrained on over 50 million human single-cell transcriptomic profiles. scFoundation is a large-scale model in terms of the size of trainable parameters, dimensionality of genes and volume of training data. Its asymmetric transformer-like architecture and pretraining task design empower effectively capturing complex context relations among genes in a variety of cell types and states. Experiments showed its merit as a foundation model that achieved state-of-the-art performances in a diverse array of single-cell analysis tasks such as gene expression enhancement, tissue drug response prediction, single-cell drug response classification, single-cell perturbation prediction, cell type annotation and gene module inference.","container-title":"Nature Methods","DOI":"10.1038/s41592-024-02305-7","ISSN":"1548-7105","issue":"8","journalAbbreviation":"Nature Methods","page":"1481-1491","title":"Large-scale foundation model on single-cell transcriptomics","volume":"21","author":[{"family":"Hao","given":"Minsheng"},{"family":"Gong","given":"Jing"},{"family":"Zeng","given":"Xin"},{"family":"Liu","given":"Chiming"},{"family":"Guo","given":"Yucheng"},{"family":"Cheng","given":"Xingyi"},{"family":"Wang","given":"Taifeng"},{"family":"Ma","given":"Jianzhu"},{"family":"Zhang","given":"Xuegong"},{"family":"Song","given":"Le"}],"issued":{"date-parts":[["2024",8,1]]}}}],"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[2]</w:t>
            </w:r>
            <w:r w:rsidRPr="00635627">
              <w:rPr>
                <w:rFonts w:ascii="Times New Roman" w:hAnsi="Times New Roman" w:cs="Times New Roman"/>
                <w:szCs w:val="21"/>
              </w:rPr>
              <w:fldChar w:fldCharType="end"/>
            </w:r>
          </w:p>
        </w:tc>
        <w:tc>
          <w:tcPr>
            <w:tcW w:w="1701" w:type="dxa"/>
            <w:vAlign w:val="center"/>
          </w:tcPr>
          <w:p w14:paraId="1A902FD5"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Gene ID/Name</w:t>
            </w:r>
          </w:p>
        </w:tc>
        <w:tc>
          <w:tcPr>
            <w:tcW w:w="1417" w:type="dxa"/>
            <w:vAlign w:val="center"/>
          </w:tcPr>
          <w:p w14:paraId="2887C556"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Continuous expression</w:t>
            </w:r>
          </w:p>
        </w:tc>
        <w:tc>
          <w:tcPr>
            <w:tcW w:w="993" w:type="dxa"/>
            <w:vAlign w:val="center"/>
          </w:tcPr>
          <w:p w14:paraId="7BAA4E9A"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4F966C65" w14:textId="77777777" w:rsidR="00751A9C" w:rsidRPr="00635627" w:rsidRDefault="00751A9C" w:rsidP="00BC562B">
            <w:pPr>
              <w:spacing w:beforeLines="20" w:before="62" w:afterLines="20" w:after="62"/>
              <w:jc w:val="center"/>
              <w:rPr>
                <w:rFonts w:ascii="Times New Roman" w:eastAsia="MS Gothic" w:hAnsi="Times New Roman" w:cs="Times New Roman"/>
                <w:szCs w:val="21"/>
              </w:rPr>
            </w:pPr>
            <w:r w:rsidRPr="00635627">
              <w:rPr>
                <w:rFonts w:ascii="MS Gothic" w:eastAsia="MS Gothic" w:hAnsi="MS Gothic" w:cs="MS Gothic" w:hint="eastAsia"/>
                <w:szCs w:val="21"/>
              </w:rPr>
              <w:t>✗</w:t>
            </w:r>
          </w:p>
        </w:tc>
        <w:tc>
          <w:tcPr>
            <w:tcW w:w="1276" w:type="dxa"/>
            <w:vAlign w:val="center"/>
          </w:tcPr>
          <w:p w14:paraId="58C941AC"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3BE93B4D"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r>
      <w:tr w:rsidR="00751A9C" w:rsidRPr="00635627" w14:paraId="35367DAD" w14:textId="77777777" w:rsidTr="00BC562B">
        <w:tc>
          <w:tcPr>
            <w:tcW w:w="1702" w:type="dxa"/>
            <w:vAlign w:val="center"/>
          </w:tcPr>
          <w:p w14:paraId="50BBCEFE" w14:textId="0F6826D0" w:rsidR="00751A9C" w:rsidRPr="00635627" w:rsidRDefault="00751A9C" w:rsidP="00BC562B">
            <w:pPr>
              <w:spacing w:beforeLines="20" w:before="62" w:afterLines="20" w:after="62"/>
              <w:rPr>
                <w:rFonts w:ascii="Times New Roman" w:hAnsi="Times New Roman" w:cs="Times New Roman"/>
                <w:szCs w:val="21"/>
              </w:rPr>
            </w:pPr>
            <w:r w:rsidRPr="00635627">
              <w:rPr>
                <w:rFonts w:ascii="Times New Roman" w:hAnsi="Times New Roman" w:cs="Times New Roman"/>
                <w:szCs w:val="21"/>
              </w:rPr>
              <w:t xml:space="preserve">scGPT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{"citationID":"2aVqUF1F","properties":{"unsorted":false,"formattedCitation":"[3]","plainCitation":"[3]","noteIndex":0},"citationItems":[{"id":10,"uris":["http://zotero.org/users/19832712/items/WMYWIGUK"],"itemData":{"id":10,"type":"article-journal","abstract":"Generative pretrained models have achieved remarkable success in various domains such as language and computer vision. Specifically, the combination of large-scale diverse datasets and pretrained transformers has emerged as a promising approach for developing foundation models. Drawing parallels between language and cellular biology (in which texts comprise words; similarly, cells are defined by genes), our study probes the applicability of foundation models to advance cellular biology and genetic research. Using burgeoning single-cell sequencing data, we have constructed a foundation model for single-cell biology, scGPT, based on a generative pretrained transformer across a repository of over 33 million cells. Our findings illustrate that scGPT effectively distills critical biological insights concerning genes and cells. Through further adaptation of transfer learning, scGPT can be optimized to achieve superior performance across diverse downstream applications. This includes tasks such as cell type annotation, multi-batch integration, multi-omic integration, perturbation response prediction and gene network inference.","container-title":"Nature Methods","DOI":"10.1038/s41592-024-02201-0","ISSN":"1548-7105","issue":"8","journalAbbreviation":"Nature Methods","page":"1470-1480","title":"scGPT: toward building a foundation model for single-cell multi-omics using generative AI","volume":"21","author":[{"family":"Cui","given":"Haotian"},{"family":"Wang","given":"Chloe"},{"family":"Maan","given":"Hassaan"},{"family":"Pang","given":"Kuan"},{"family":"Luo","given":"Fengning"},{"family":"Duan","given":"Nan"},{"family":"Wang","given":"Bo"}],"issued":{"date-parts":[["2024",8,1]]}}}],"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[3]</w:t>
            </w:r>
            <w:r w:rsidRPr="00635627">
              <w:rPr>
                <w:rFonts w:ascii="Times New Roman" w:hAnsi="Times New Roman" w:cs="Times New Roman"/>
                <w:szCs w:val="21"/>
              </w:rPr>
              <w:fldChar w:fldCharType="end"/>
            </w:r>
          </w:p>
        </w:tc>
        <w:tc>
          <w:tcPr>
            <w:tcW w:w="1701" w:type="dxa"/>
            <w:vAlign w:val="center"/>
          </w:tcPr>
          <w:p w14:paraId="5000D0E5"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Gene ID/Name</w:t>
            </w:r>
          </w:p>
        </w:tc>
        <w:tc>
          <w:tcPr>
            <w:tcW w:w="1417" w:type="dxa"/>
            <w:vAlign w:val="center"/>
          </w:tcPr>
          <w:p w14:paraId="4A5ACD3D"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Binned expression</w:t>
            </w:r>
          </w:p>
        </w:tc>
        <w:tc>
          <w:tcPr>
            <w:tcW w:w="993" w:type="dxa"/>
            <w:vAlign w:val="center"/>
          </w:tcPr>
          <w:p w14:paraId="18807428"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12F4D197" w14:textId="77777777" w:rsidR="00751A9C" w:rsidRPr="00635627" w:rsidRDefault="00751A9C" w:rsidP="00BC562B">
            <w:pPr>
              <w:spacing w:beforeLines="20" w:before="62" w:afterLines="20" w:after="62"/>
              <w:jc w:val="center"/>
              <w:rPr>
                <w:rFonts w:ascii="Times New Roman" w:eastAsia="MS Gothic" w:hAnsi="Times New Roman" w:cs="Times New Roman"/>
                <w:szCs w:val="21"/>
              </w:rPr>
            </w:pPr>
            <w:r w:rsidRPr="00635627">
              <w:rPr>
                <w:rFonts w:ascii="MS Gothic" w:eastAsia="MS Gothic" w:hAnsi="MS Gothic" w:cs="MS Gothic" w:hint="eastAsia"/>
                <w:szCs w:val="21"/>
              </w:rPr>
              <w:t>✗</w:t>
            </w:r>
          </w:p>
        </w:tc>
        <w:tc>
          <w:tcPr>
            <w:tcW w:w="1276" w:type="dxa"/>
            <w:vAlign w:val="center"/>
          </w:tcPr>
          <w:p w14:paraId="55194407"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4553A6E5"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r>
      <w:tr w:rsidR="00751A9C" w:rsidRPr="00635627" w14:paraId="3784AC50" w14:textId="77777777" w:rsidTr="00BC562B">
        <w:tc>
          <w:tcPr>
            <w:tcW w:w="1702" w:type="dxa"/>
            <w:vAlign w:val="center"/>
          </w:tcPr>
          <w:p w14:paraId="06803190" w14:textId="1AC24345" w:rsidR="00751A9C" w:rsidRPr="00635627" w:rsidRDefault="00751A9C" w:rsidP="00BC562B">
            <w:pPr>
              <w:spacing w:beforeLines="20" w:before="62" w:afterLines="20" w:after="62"/>
              <w:rPr>
                <w:rFonts w:ascii="Times New Roman" w:hAnsi="Times New Roman" w:cs="Times New Roman"/>
                <w:szCs w:val="21"/>
              </w:rPr>
            </w:pPr>
            <w:r w:rsidRPr="00635627">
              <w:rPr>
                <w:rFonts w:ascii="Times New Roman" w:hAnsi="Times New Roman" w:cs="Times New Roman"/>
                <w:szCs w:val="21"/>
              </w:rPr>
              <w:t xml:space="preserve">CellFM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{"citationID":"NiNDtuqO","properties":{"unsorted":false,"formattedCitation":"[4]","plainCitation":"[4]","noteIndex":0},"citationItems":[{"id":32,"uris":["http://zotero.org/users/19832712/items/M2274QHG"],"itemData":{"id":32,"type":"article-journal","abstract":"Single-cell sequencing provides transcriptomic profiling at single-cell resolution, uncovering cellular heterogeneity with unprecedented precision. Yet, current single cell data analysis suffers from the inherent data noises, batch effects, and sparsity, highlighting the requirement of a unified model to represent cellular states. To circumvent this problem, many recent efforts focus on training single-cell foundation models based on large datasets. However, current human foundation models are still limited by the sizes of training data and model parameters. Here, we have collected a diverse dataset of 100 million human cells, on which we train a single-cell foundation model (CellFM) containing 800 million parameters. To balance efficiency and performance, the model is trained through a modified RetNet framework on the MindSpore. Extensive experiments have shown that CellFM outperforms existing models in cell annotation, perturbation prediction, gene function prediction, and gene-gene relationship capturing.","container-title":"Nature Communications","DOI":"10.1038/s41467-025-59926-5","ISSN":"2041-1723","issue":"1","journalAbbreviation":"Nature Communications","page":"4679","title":"CellFM: a large-scale foundation model pre-trained on transcriptomics of 100 million human cells","volume":"16","author":[{"family":"Zeng","given":"Yuansong"},{"family":"Xie","given":"Jiancong"},{"family":"Shangguan","given":"Ningyuan"},{"family":"Wei","given":"Zhuoyi"},{"family":"Li","given":"Wenbing"},{"family":"Su","given":"Yun"},{"family":"Yang","given":"Shuangyu"},{"family":"Zhang","given":"Chengyang"},{"family":"Zhang","given":"Jinbo"},{"family":"Fang","given":"Nan"},{"family":"Zhang","given":"Hongyu"},{"family":"Lu","given":"Yutong"},{"family":"Zhao","given":"Huiying"},{"family":"Fan","given":"Jue"},{"family":"Yu","given":"Weijiang"},{"family":"Yang","given":"Yuedong"}],"issued":{"date-parts":[["2025",5,20]]}}}],"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[4]</w:t>
            </w:r>
            <w:r w:rsidRPr="00635627">
              <w:rPr>
                <w:rFonts w:ascii="Times New Roman" w:hAnsi="Times New Roman" w:cs="Times New Roman"/>
                <w:szCs w:val="21"/>
              </w:rPr>
              <w:fldChar w:fldCharType="end"/>
            </w:r>
          </w:p>
        </w:tc>
        <w:tc>
          <w:tcPr>
            <w:tcW w:w="1701" w:type="dxa"/>
            <w:vAlign w:val="center"/>
          </w:tcPr>
          <w:p w14:paraId="7EFA215F"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Gene ID/Name</w:t>
            </w:r>
          </w:p>
        </w:tc>
        <w:tc>
          <w:tcPr>
            <w:tcW w:w="1417" w:type="dxa"/>
            <w:vAlign w:val="center"/>
          </w:tcPr>
          <w:p w14:paraId="5CDF4554"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Continuous expression</w:t>
            </w:r>
          </w:p>
        </w:tc>
        <w:tc>
          <w:tcPr>
            <w:tcW w:w="993" w:type="dxa"/>
            <w:vAlign w:val="center"/>
          </w:tcPr>
          <w:p w14:paraId="7C737F41"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75E5D559" w14:textId="77777777" w:rsidR="00751A9C" w:rsidRPr="00635627" w:rsidRDefault="00751A9C" w:rsidP="00BC562B">
            <w:pPr>
              <w:spacing w:beforeLines="20" w:before="62" w:afterLines="20" w:after="62"/>
              <w:jc w:val="center"/>
              <w:rPr>
                <w:rFonts w:ascii="Times New Roman" w:eastAsia="MS Gothic" w:hAnsi="Times New Roman" w:cs="Times New Roman"/>
                <w:szCs w:val="21"/>
              </w:rPr>
            </w:pPr>
            <w:r w:rsidRPr="00635627">
              <w:rPr>
                <w:rFonts w:ascii="MS Gothic" w:eastAsia="MS Gothic" w:hAnsi="MS Gothic" w:cs="MS Gothic" w:hint="eastAsia"/>
                <w:szCs w:val="21"/>
              </w:rPr>
              <w:t>✗</w:t>
            </w:r>
          </w:p>
        </w:tc>
        <w:tc>
          <w:tcPr>
            <w:tcW w:w="1276" w:type="dxa"/>
            <w:vAlign w:val="center"/>
          </w:tcPr>
          <w:p w14:paraId="0D36B78A"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072BD485"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r>
      <w:tr w:rsidR="00751A9C" w:rsidRPr="00635627" w14:paraId="4B2057DE" w14:textId="77777777" w:rsidTr="00BC562B">
        <w:tc>
          <w:tcPr>
            <w:tcW w:w="1702" w:type="dxa"/>
            <w:vAlign w:val="center"/>
          </w:tcPr>
          <w:p w14:paraId="77D3432A" w14:textId="6591717B" w:rsidR="00751A9C" w:rsidRPr="00635627" w:rsidRDefault="00751A9C" w:rsidP="00BC562B">
            <w:pPr>
              <w:spacing w:beforeLines="20" w:before="62" w:afterLines="20" w:after="62"/>
              <w:rPr>
                <w:rFonts w:ascii="Times New Roman" w:hAnsi="Times New Roman" w:cs="Times New Roman"/>
                <w:szCs w:val="21"/>
              </w:rPr>
            </w:pPr>
            <w:r w:rsidRPr="00635627">
              <w:rPr>
                <w:rFonts w:ascii="Times New Roman" w:hAnsi="Times New Roman" w:cs="Times New Roman"/>
                <w:szCs w:val="21"/>
              </w:rPr>
              <w:t xml:space="preserve">TranscriptFormer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{"citationID":"hXzyUXqd","properties":{"unsorted":false,"formattedCitation":"[5]","plainCitation":"[5]","noteIndex":0},"citationItems":[{"id":112,"uris":["http://zotero.org/users/19832712/items/YAV6UFBZ"],"itemData":{"id":112,"type":"article-journal","abstract":"Single-cell transcriptomics is revolutionizing our understanding of cellular diversity, yet comparing transcriptional programs across the tree of life remains challenging. We developed TranscriptFormer, a family of generative foundation models trained on up to 112 million cells spanning 1.53 billion years of evolution across 12 species. We demonstrate state-of-the-art performance on cell type classification, even for species separated by over 685 million years of evolution, and zero-shot disease state identification in human cells. Developmental trajectories, phylogenetic relationships, and cellular hierarchies emerge naturally in TranscriptFormer?s representations without any explicit training on these annotations. This work establishes a powerful framework for quantitative single-cell analysis and comparative cellular biology, thus demonstrating that universal principles of cellular organization can be learned and predicted across the tree of life. Cells within an organism contain the same genome, yet different cell types take on quite different identities. Pearce et al. built an artificial intelligence system called TranscriptFormer that learned how genes work together across cell types by studying 112 million cells from 12 species from humans to yeast spanning 1.5 billion years of evolution. The authors found that cells across vastly different organisms follow similar rules, and the model revealed evolutionary relationships between the cell types of different species. This tool could was also able to predict how genes interact and to identify diseased cells, so it could potentially accelerate drug discovery and our understanding of human health. ?Di Jiang","container-title":"Science","DOI":"10.1126/science.aec8514","issue":"6806","journalAbbreviation":"Science","page":"aec8514","publisher":"American Association for the Advancement of Science","title":"TranscriptFormer: A generative cell atlas across 1.5 billion years of evolution","volume":"393","author":[{"family":"Pearce","given":"James D."},{"family":"Simmonds","given":"Sara E."},{"family":"Mahmoudabadi","given":"Gita"},{"family":"Krishnan","given":"Lakshmi"},{"family":"Palla","given":"Giovanni"},{"family":"Istrate","given":"Ana-Maria"},{"family":"Tarashansky","given":"Alexander"},{"family":"Nelson","given":"Benjamin"},{"family":"Valenzuela","given":"Omar"},{"family":"Li","given":"Donghui"},{"family":"Quake","given":"Stephen R."},{"family":"Karaletsos","given":"Theofanis"}],"issued":{"date-parts":[["2026",5,7]]}}}],"schema":"https://github.com/citation-style-language/schema/raw/master/csl-citation.json"}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[5]</w:t>
            </w:r>
            <w:r w:rsidRPr="00635627">
              <w:rPr>
                <w:rFonts w:ascii="Times New Roman" w:hAnsi="Times New Roman" w:cs="Times New Roman"/>
                <w:szCs w:val="21"/>
              </w:rPr>
              <w:fldChar w:fldCharType="end"/>
            </w:r>
          </w:p>
        </w:tc>
        <w:tc>
          <w:tcPr>
            <w:tcW w:w="1701" w:type="dxa"/>
            <w:vAlign w:val="center"/>
          </w:tcPr>
          <w:p w14:paraId="7EC494BF"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Protein sequence-derived embedding</w:t>
            </w:r>
          </w:p>
        </w:tc>
        <w:tc>
          <w:tcPr>
            <w:tcW w:w="1417" w:type="dxa"/>
            <w:vAlign w:val="center"/>
          </w:tcPr>
          <w:p w14:paraId="568B5234"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Raw counts</w:t>
            </w:r>
          </w:p>
        </w:tc>
        <w:tc>
          <w:tcPr>
            <w:tcW w:w="993" w:type="dxa"/>
            <w:vAlign w:val="center"/>
          </w:tcPr>
          <w:p w14:paraId="39DD879B"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02A822AC" w14:textId="77777777" w:rsidR="00751A9C" w:rsidRPr="00635627" w:rsidRDefault="00751A9C" w:rsidP="00BC562B">
            <w:pPr>
              <w:spacing w:beforeLines="20" w:before="62" w:afterLines="20" w:after="62"/>
              <w:jc w:val="center"/>
              <w:rPr>
                <w:rFonts w:ascii="Times New Roman" w:eastAsia="MS Gothic" w:hAnsi="Times New Roman" w:cs="Times New Roman"/>
                <w:szCs w:val="21"/>
              </w:rPr>
            </w:pPr>
            <w:r w:rsidRPr="00635627">
              <w:rPr>
                <w:rFonts w:ascii="MS Gothic" w:eastAsia="MS Gothic" w:hAnsi="MS Gothic" w:cs="MS Gothic" w:hint="eastAsia"/>
                <w:szCs w:val="21"/>
              </w:rPr>
              <w:t>✗</w:t>
            </w:r>
          </w:p>
        </w:tc>
        <w:tc>
          <w:tcPr>
            <w:tcW w:w="1276" w:type="dxa"/>
            <w:vAlign w:val="center"/>
          </w:tcPr>
          <w:p w14:paraId="0746E067"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451B8093"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r>
      <w:tr w:rsidR="00751A9C" w:rsidRPr="00635627" w14:paraId="5B748A1E" w14:textId="77777777" w:rsidTr="00BC562B">
        <w:tc>
          <w:tcPr>
            <w:tcW w:w="1702" w:type="dxa"/>
            <w:vAlign w:val="center"/>
          </w:tcPr>
          <w:p w14:paraId="32D7AD5A" w14:textId="387D907E" w:rsidR="00751A9C" w:rsidRPr="00635627" w:rsidRDefault="00751A9C" w:rsidP="00BC562B">
            <w:pPr>
              <w:spacing w:beforeLines="20" w:before="62" w:afterLines="20" w:after="62"/>
              <w:rPr>
                <w:rFonts w:ascii="Times New Roman" w:hAnsi="Times New Roman" w:cs="Times New Roman"/>
                <w:szCs w:val="21"/>
              </w:rPr>
            </w:pPr>
            <w:r w:rsidRPr="00635627">
              <w:rPr>
                <w:rFonts w:ascii="Times New Roman" w:hAnsi="Times New Roman" w:cs="Times New Roman"/>
                <w:szCs w:val="21"/>
              </w:rPr>
              <w:t xml:space="preserve">UCE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{"citationID":"RidEerAo","properties":{"unsorted":false,"formattedCitation":"[6]","plainCitation":"[6]","noteIndex":0},"citationItems":[{"id":114,"uris":["http://zotero.org/users/19832712/items/D9G9REL4"],"itemData":{"id":114,"type":"article-journal","abstract":"Developing a universal representation space for cells that encompasses the tremendous molecular diversity of cell types across species would be transformative for cell biology. Recent work using single-cell transcriptomic approaches to create molecular definitions of cell types in the form of cell atlases has provided the necessary data for such an endeavour1–3. Here we present the universal cell embedding (UCE) foundation model. UCE was trained on a large corpus of cell data using self-supervision, creating a unified biological latent space that can represent cells across diverse tissues and species. This latent space captures important biological variation despite the presence of experimental noise. UCE’s universality means that new cells can be embedded with no data labelling, model training or fine-tuning. We used UCE to create the Integrated Mega-scale Atlas, embedding 36 million cells, with more than 1,000 uniquely named cell types, from hundreds of experiments, dozens of tissues and eight species. We gain insights into the organization of cell types and tissues within the space. UCE’s embedding space exhibits emergent behaviour, identifying biology that it was never trained for, such as identifying developmental lineages and embedding data from species that were not included in the training set. Overall, by enabling a universal representation for every cell state and type, UCE is a valuable tool for analysis, annotation and hypothesis generation over single-cell data.","container-title":"Nature","DOI":"10.1038/s41586-026-10689-z","ISSN":"1476-4687","issue":"8126","journalAbbreviation":"Nature","page":"183-191","title":"Universal cell embedding provides a foundation model for cell biology","volume":"656","author":[{"family":"Rosen","given":"Yanay"},{"family":"Roohani","given":"Yusuf"},{"family":"Agrawal","given":"Ayush"},{"family":"Samotorčan","given":"Leon"},{"family":"Quake","given":"Stephen R."},{"family":"Leskovec","given":"Jure"},{"literal":"Tabula Sapiens Consortium"}],"issued":{"date-parts":[["2026",8,1]]}}}],"schema":"https://github.com/citation-style-language/schema/raw/master/csl-citation.json"}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[6]</w:t>
            </w:r>
            <w:r w:rsidRPr="00635627">
              <w:rPr>
                <w:rFonts w:ascii="Times New Roman" w:hAnsi="Times New Roman" w:cs="Times New Roman"/>
                <w:szCs w:val="21"/>
              </w:rPr>
              <w:fldChar w:fldCharType="end"/>
            </w:r>
          </w:p>
        </w:tc>
        <w:tc>
          <w:tcPr>
            <w:tcW w:w="1701" w:type="dxa"/>
            <w:vAlign w:val="center"/>
          </w:tcPr>
          <w:p w14:paraId="17221709"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Protein sequence-derived embedding</w:t>
            </w:r>
          </w:p>
        </w:tc>
        <w:tc>
          <w:tcPr>
            <w:tcW w:w="1417" w:type="dxa"/>
            <w:vAlign w:val="center"/>
          </w:tcPr>
          <w:p w14:paraId="11DA76BC"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Count-weighted sampling</w:t>
            </w:r>
          </w:p>
        </w:tc>
        <w:tc>
          <w:tcPr>
            <w:tcW w:w="993" w:type="dxa"/>
            <w:vAlign w:val="center"/>
          </w:tcPr>
          <w:p w14:paraId="0509C233"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626BBEF8" w14:textId="77777777" w:rsidR="00751A9C" w:rsidRPr="00635627" w:rsidRDefault="00751A9C" w:rsidP="00BC562B">
            <w:pPr>
              <w:spacing w:beforeLines="20" w:before="62" w:afterLines="20" w:after="62"/>
              <w:jc w:val="center"/>
              <w:rPr>
                <w:rFonts w:ascii="Times New Roman" w:eastAsia="MS Gothic" w:hAnsi="Times New Roman" w:cs="Times New Roman"/>
                <w:szCs w:val="21"/>
              </w:rPr>
            </w:pPr>
            <w:r w:rsidRPr="00635627">
              <w:rPr>
                <w:rFonts w:ascii="MS Gothic" w:eastAsia="MS Gothic" w:hAnsi="MS Gothic" w:cs="MS Gothic" w:hint="eastAsia"/>
                <w:szCs w:val="21"/>
              </w:rPr>
              <w:t>✗</w:t>
            </w:r>
          </w:p>
        </w:tc>
        <w:tc>
          <w:tcPr>
            <w:tcW w:w="1276" w:type="dxa"/>
            <w:vAlign w:val="center"/>
          </w:tcPr>
          <w:p w14:paraId="5A8A22E2"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00691C6F"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r>
      <w:tr w:rsidR="00751A9C" w:rsidRPr="00635627" w14:paraId="12F21F91" w14:textId="77777777" w:rsidTr="00BC562B">
        <w:tc>
          <w:tcPr>
            <w:tcW w:w="1702" w:type="dxa"/>
            <w:vAlign w:val="center"/>
          </w:tcPr>
          <w:p w14:paraId="20E378CB" w14:textId="77777777" w:rsidR="00751A9C" w:rsidRPr="00635627" w:rsidRDefault="00751A9C" w:rsidP="00BC562B">
            <w:pPr>
              <w:spacing w:beforeLines="20" w:before="62" w:afterLines="20" w:after="62"/>
              <w:rPr>
                <w:rFonts w:ascii="Times New Roman" w:hAnsi="Times New Roman" w:cs="Times New Roman"/>
                <w:szCs w:val="21"/>
              </w:rPr>
            </w:pPr>
            <w:r w:rsidRPr="00635627">
              <w:rPr>
                <w:rFonts w:ascii="Times New Roman" w:hAnsi="Times New Roman" w:cs="Times New Roman"/>
                <w:szCs w:val="21"/>
              </w:rPr>
              <w:t>LucaCell</w:t>
            </w:r>
          </w:p>
        </w:tc>
        <w:tc>
          <w:tcPr>
            <w:tcW w:w="1701" w:type="dxa"/>
            <w:vAlign w:val="center"/>
          </w:tcPr>
          <w:p w14:paraId="519DC814"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mRNA sequence-derived embedding</w:t>
            </w:r>
          </w:p>
        </w:tc>
        <w:tc>
          <w:tcPr>
            <w:tcW w:w="1417" w:type="dxa"/>
            <w:vAlign w:val="center"/>
          </w:tcPr>
          <w:p w14:paraId="2D119A48"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Times New Roman" w:hAnsi="Times New Roman" w:cs="Times New Roman"/>
                <w:szCs w:val="21"/>
              </w:rPr>
              <w:t>Binned expression</w:t>
            </w:r>
          </w:p>
        </w:tc>
        <w:tc>
          <w:tcPr>
            <w:tcW w:w="993" w:type="dxa"/>
            <w:vAlign w:val="center"/>
          </w:tcPr>
          <w:p w14:paraId="17588F08"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3B73D556" w14:textId="77777777" w:rsidR="00751A9C" w:rsidRPr="00635627" w:rsidRDefault="00751A9C" w:rsidP="00BC562B">
            <w:pPr>
              <w:spacing w:beforeLines="20" w:before="62" w:afterLines="20" w:after="62"/>
              <w:jc w:val="center"/>
              <w:rPr>
                <w:rFonts w:ascii="Times New Roman" w:eastAsia="MS Gothic" w:hAnsi="Times New Roman" w:cs="Times New Roman"/>
                <w:szCs w:val="21"/>
              </w:rPr>
            </w:pPr>
            <w:r w:rsidRPr="00635627">
              <w:rPr>
                <w:rFonts w:ascii="MS Gothic" w:eastAsia="MS Gothic" w:hAnsi="MS Gothic" w:cs="MS Gothic" w:hint="eastAsia"/>
                <w:szCs w:val="21"/>
              </w:rPr>
              <w:t>✓</w:t>
            </w:r>
          </w:p>
        </w:tc>
        <w:tc>
          <w:tcPr>
            <w:tcW w:w="1276" w:type="dxa"/>
            <w:vAlign w:val="center"/>
          </w:tcPr>
          <w:p w14:paraId="65CC1D41"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c>
          <w:tcPr>
            <w:tcW w:w="992" w:type="dxa"/>
            <w:vAlign w:val="center"/>
          </w:tcPr>
          <w:p w14:paraId="628B3EB9" w14:textId="77777777" w:rsidR="00751A9C" w:rsidRPr="00635627" w:rsidRDefault="00751A9C" w:rsidP="00BC562B">
            <w:pPr>
              <w:spacing w:beforeLines="20" w:before="62" w:afterLines="20" w:after="62"/>
              <w:jc w:val="center"/>
              <w:rPr>
                <w:rFonts w:ascii="Times New Roman" w:hAnsi="Times New Roman" w:cs="Times New Roman"/>
                <w:szCs w:val="21"/>
              </w:rPr>
            </w:pPr>
            <w:r w:rsidRPr="00635627">
              <w:rPr>
                <w:rFonts w:ascii="MS Gothic" w:eastAsia="MS Gothic" w:hAnsi="MS Gothic" w:cs="MS Gothic" w:hint="eastAsia"/>
                <w:szCs w:val="21"/>
              </w:rPr>
              <w:t>✓</w:t>
            </w:r>
          </w:p>
        </w:tc>
      </w:tr>
    </w:tbl>
    <w:p w14:paraId="4047F7BB" w14:textId="0BFDF2AD" w:rsidR="001200C9" w:rsidRPr="00635627" w:rsidRDefault="001200C9">
      <w:pPr>
        <w:rPr>
          <w:rFonts w:ascii="Times New Roman" w:hAnsi="Times New Roman" w:cs="Times New Roman"/>
        </w:rPr>
      </w:pPr>
    </w:p>
    <w:p w14:paraId="285383BB" w14:textId="26F16F35" w:rsidR="00751A9C" w:rsidRPr="00635627" w:rsidRDefault="00751A9C">
      <w:pPr>
        <w:rPr>
          <w:rFonts w:ascii="Times New Roman" w:hAnsi="Times New Roman" w:cs="Times New Roman"/>
        </w:rPr>
      </w:pPr>
    </w:p>
    <w:p w14:paraId="174408AB" w14:textId="5D440D08" w:rsidR="00CB58D4" w:rsidRPr="00635627" w:rsidRDefault="00CB58D4">
      <w:pPr>
        <w:widowControl/>
        <w:jc w:val="left"/>
        <w:rPr>
          <w:rFonts w:ascii="Times New Roman" w:hAnsi="Times New Roman" w:cs="Times New Roman"/>
        </w:rPr>
      </w:pPr>
      <w:r w:rsidRPr="00635627">
        <w:rPr>
          <w:rFonts w:ascii="Times New Roman" w:hAnsi="Times New Roman" w:cs="Times New Roman"/>
        </w:rPr>
        <w:br w:type="page"/>
      </w:r>
    </w:p>
    <w:p w14:paraId="33321E1B" w14:textId="001D4023" w:rsidR="00CB58D4" w:rsidRPr="00635627" w:rsidRDefault="00CB58D4" w:rsidP="00CB58D4">
      <w:pPr>
        <w:spacing w:line="360" w:lineRule="auto"/>
        <w:rPr>
          <w:rFonts w:ascii="Times New Roman" w:hAnsi="Times New Roman" w:cs="Times New Roman"/>
          <w:szCs w:val="21"/>
        </w:rPr>
      </w:pPr>
      <w:r w:rsidRPr="00635627">
        <w:rPr>
          <w:rFonts w:ascii="Times New Roman" w:hAnsi="Times New Roman" w:cs="Times New Roman"/>
          <w:szCs w:val="21"/>
        </w:rPr>
        <w:lastRenderedPageBreak/>
        <w:t>Table S2. Datasets used for downstream analyses</w:t>
      </w:r>
    </w:p>
    <w:tbl>
      <w:tblPr>
        <w:tblStyle w:val="a7"/>
        <w:tblW w:w="8364" w:type="dxa"/>
        <w:tblLayout w:type="fixed"/>
        <w:tblLook w:val="04A0" w:firstRow="1" w:lastRow="0" w:firstColumn="1" w:lastColumn="0" w:noHBand="0" w:noVBand="1"/>
      </w:tblPr>
      <w:tblGrid>
        <w:gridCol w:w="3119"/>
        <w:gridCol w:w="1701"/>
        <w:gridCol w:w="1559"/>
        <w:gridCol w:w="1985"/>
      </w:tblGrid>
      <w:tr w:rsidR="00CB58D4" w:rsidRPr="00635627" w14:paraId="5CE932D6" w14:textId="77777777" w:rsidTr="00BC562B">
        <w:tc>
          <w:tcPr>
            <w:tcW w:w="3119" w:type="dxa"/>
            <w:tcBorders>
              <w:top w:val="single" w:sz="4" w:space="0" w:color="auto"/>
              <w:left w:val="nil"/>
              <w:bottom w:val="single" w:sz="4" w:space="0" w:color="auto"/>
              <w:right w:val="nil"/>
            </w:tcBorders>
            <w:vAlign w:val="center"/>
          </w:tcPr>
          <w:p w14:paraId="24B9D072"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Task</w:t>
            </w:r>
          </w:p>
        </w:tc>
        <w:tc>
          <w:tcPr>
            <w:tcW w:w="1701" w:type="dxa"/>
            <w:tcBorders>
              <w:top w:val="single" w:sz="4" w:space="0" w:color="auto"/>
              <w:left w:val="nil"/>
              <w:bottom w:val="single" w:sz="4" w:space="0" w:color="auto"/>
              <w:right w:val="nil"/>
            </w:tcBorders>
            <w:vAlign w:val="center"/>
          </w:tcPr>
          <w:p w14:paraId="077E68B4"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Dataset</w:t>
            </w:r>
          </w:p>
        </w:tc>
        <w:tc>
          <w:tcPr>
            <w:tcW w:w="1559" w:type="dxa"/>
            <w:tcBorders>
              <w:top w:val="single" w:sz="4" w:space="0" w:color="auto"/>
              <w:left w:val="nil"/>
              <w:bottom w:val="single" w:sz="4" w:space="0" w:color="auto"/>
              <w:right w:val="nil"/>
            </w:tcBorders>
            <w:vAlign w:val="center"/>
          </w:tcPr>
          <w:p w14:paraId="17837937"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Source</w:t>
            </w:r>
          </w:p>
        </w:tc>
        <w:tc>
          <w:tcPr>
            <w:tcW w:w="1985" w:type="dxa"/>
            <w:tcBorders>
              <w:top w:val="single" w:sz="4" w:space="0" w:color="auto"/>
              <w:left w:val="nil"/>
              <w:bottom w:val="single" w:sz="4" w:space="0" w:color="auto"/>
              <w:right w:val="nil"/>
            </w:tcBorders>
            <w:vAlign w:val="center"/>
          </w:tcPr>
          <w:p w14:paraId="29CDF2D2"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Accession</w:t>
            </w:r>
          </w:p>
        </w:tc>
      </w:tr>
      <w:tr w:rsidR="00CB58D4" w:rsidRPr="00635627" w14:paraId="459CDD0C" w14:textId="77777777" w:rsidTr="00BC562B">
        <w:tc>
          <w:tcPr>
            <w:tcW w:w="3119" w:type="dxa"/>
            <w:vMerge w:val="restart"/>
            <w:tcBorders>
              <w:top w:val="single" w:sz="4" w:space="0" w:color="auto"/>
              <w:left w:val="nil"/>
              <w:right w:val="nil"/>
            </w:tcBorders>
            <w:vAlign w:val="center"/>
          </w:tcPr>
          <w:p w14:paraId="79501FB1"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Cross-species cell type prediction</w:t>
            </w:r>
          </w:p>
        </w:tc>
        <w:tc>
          <w:tcPr>
            <w:tcW w:w="1701" w:type="dxa"/>
            <w:tcBorders>
              <w:top w:val="single" w:sz="4" w:space="0" w:color="auto"/>
              <w:left w:val="nil"/>
              <w:bottom w:val="nil"/>
              <w:right w:val="nil"/>
            </w:tcBorders>
            <w:vAlign w:val="center"/>
          </w:tcPr>
          <w:p w14:paraId="11DCD558" w14:textId="0365C640"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Human kidney scRNA-seq and scATAC-seq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{"citationID":"qFih38VN","properties":{"unsorted":false,"formattedCitation":"[7]","plainCitation":"[7]","noteIndex":0},"citationItems":[{"id":73,"uris":["http://zotero.org/users/19832712/items/4RNGDXJA"],"itemData":{"id":73,"type":"article-journal","abstract":"Maladaptive proximal tubular (PT) epithelial cells have been implicated in progression of chronic kidney disease (CKD), however the complexity of epithelial cell states within the fibrotic niche remains incompletely understood. Hence, we integrated snRNA and ATAC-seq with high-plex single-cell molecular imaging to generate a spatially-revolved multiomic atlas of human kidney disease. We demonstrate that in injured kidneys, a subset of HAVCR1+VCAM1+ PT cells acquired an inflammatory phenotype, upregulating genes encoding chemokines, pro-fibrotic and senescence-associated proteins and adhesion molecules including ICAM1. Spatial transcriptomic and multiplex-immunofluorescence determined that specifically these VCAM1+ICAM1+ inflammatory PT cells localised to the fibrotic niche. Ligand-receptor analysis highlighted paracrine signaling from inflammatory PT cells mediating leucocyte recruitment and myofibroblast activation. Loss of HNF4α and activation of NF-κβ and AP-1 transcription factors epigenetically imprinted the inflammatory phenotype. Targeting inflammatory tubular cells by administering an AP-1 inhibitor or senolytic agent ameliorated inflammation and fibrosis in murine models of kidney injury, hence these cells may be a tractable target in CKD.","container-title":"Nature Communications","DOI":"10.1038/s41467-025-59997-4","ISSN":"2041-1723","issue":"1","journalAbbreviation":"Nature Communications","page":"4745","title":"Multiomic analysis of human kidney disease identifies a tractable inflammatory and pro-fibrotic tubular cell phenotype","volume":"16","author":[{"family":"Reck","given":"Maximilian"},{"family":"Baird","given":"David P."},{"family":"Veizades","given":"Stefan"},{"family":"Sutherland","given":"Callum"},{"family":"Bell","given":"Rachel M. B."},{"family":"Hur","given":"Heeyoun"},{"family":"Cairns","given":"Carolynn"},{"family":"Janas","given":"Piotr P."},{"family":"Campbell","given":"Ross"},{"family":"Nam","given":"Andy"},{"family":"Yang","given":"Wei"},{"family":"Schurman","given":"Nathan"},{"family":"Williams","given":"Claire"},{"family":"O’Sullivan","given":"Eoin"},{"family":"Beniazza","given":"Meryam"},{"family":"Corsinotti","given":"Andrea"},{"family":"Bellamy","given":"Christopher"},{"family":"Hughes","given":"Jeremy"},{"family":"Laird","given":"Alexander"},{"family":"Denby","given":"Laura"},{"family":"Chandra","given":"Tamir"},{"family":"Ferenbach","given":"David A."},{"family":"Conway","given":"Bryan R."}],"issued":{"date-parts":[["2025",5,22]]}}}],"schema":"https://github.com/citation-style-language/schema/raw/master/csl-citation.json"}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[7]</w:t>
            </w:r>
            <w:r w:rsidRPr="00635627">
              <w:rPr>
                <w:rFonts w:ascii="Times New Roman" w:hAnsi="Times New Roman" w:cs="Times New Roman"/>
                <w:szCs w:val="21"/>
              </w:rPr>
              <w:fldChar w:fldCharType="end"/>
            </w:r>
          </w:p>
        </w:tc>
        <w:tc>
          <w:tcPr>
            <w:tcW w:w="1559" w:type="dxa"/>
            <w:tcBorders>
              <w:top w:val="single" w:sz="4" w:space="0" w:color="auto"/>
              <w:left w:val="nil"/>
              <w:bottom w:val="nil"/>
              <w:right w:val="nil"/>
            </w:tcBorders>
            <w:vAlign w:val="center"/>
          </w:tcPr>
          <w:p w14:paraId="5FF1572D" w14:textId="118EB28B"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GEO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{"citationID":"PFMwJSd3","properties":{"unsorted":false,"formattedCitation":"[8]","plainCitation":"[8]","noteIndex":0},"citationItems":[{"id":116,"uris":["http://zotero.org/users/19832712/items/E3HWFTU7"],"itemData":{"id":116,"type":"article-journal","abstract":"The Gene Expression Omnibus (GEO) project was initiated in response to the growing demand for a public repository for high-throughput gene expression data. GEO provides a flexible and open design that facilitates submission, storage and retrieval of heterogeneous data sets from high-throughput gene expression and genomic hybridization experiments. GEO is not intended to replace in house gene expression databases that benefit from coherent data sets, and which are constructed to facilitate a particular analytic method, but rather complement these by acting as a tertiary, central data distribution hub. The three central data entities of GEO are platforms, samples and series, and were designed with gene expression and genomic hybridization experiments in mind. A platform is, essentially, a list of probes that define what set of molecules may be detected. A sample describes the set of molecules that are being probed and references a single platform used to generate its molecular abundance data. A series organizes samples into the meaningful data sets which make up an experiment. The GEO repository is publicly accessible through the World Wide Web at http://www.ncbi.nlm.nih.gov/geo.","container-title":"Nucleic Acids Research","DOI":"10.1093/nar/30.1.207","ISSN":"0305-1048","issue":"1","journalAbbreviation":"Nucleic Acids Research","page":"207-210","title":"Gene Expression Omnibus: NCBI gene expression and hybridization array data repository","volume":"30","author":[{"family":"Edgar","given":"Ron"},{"family":"Domrachev","given":"Michael"},{"family":"Lash","given":"Alex E."}],"issued":{"date-parts":[["2002",1,1]]}}}],"schema":"https://github.com/citation-style-language/schema/raw/master/csl-citation.json"}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[8]</w:t>
            </w:r>
            <w:r w:rsidRPr="00635627">
              <w:rPr>
                <w:rFonts w:ascii="Times New Roman" w:hAnsi="Times New Roman" w:cs="Times New Roman"/>
                <w:szCs w:val="21"/>
              </w:rPr>
              <w:fldChar w:fldCharType="end"/>
            </w:r>
          </w:p>
        </w:tc>
        <w:tc>
          <w:tcPr>
            <w:tcW w:w="1985" w:type="dxa"/>
            <w:tcBorders>
              <w:top w:val="single" w:sz="4" w:space="0" w:color="auto"/>
              <w:left w:val="nil"/>
              <w:bottom w:val="nil"/>
              <w:right w:val="nil"/>
            </w:tcBorders>
            <w:vAlign w:val="center"/>
          </w:tcPr>
          <w:p w14:paraId="48AA3AC1"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GSE254185</w:t>
            </w:r>
          </w:p>
        </w:tc>
      </w:tr>
      <w:tr w:rsidR="00CB58D4" w:rsidRPr="00635627" w14:paraId="7528D788" w14:textId="77777777" w:rsidTr="00BC562B">
        <w:tc>
          <w:tcPr>
            <w:tcW w:w="3119" w:type="dxa"/>
            <w:vMerge/>
            <w:tcBorders>
              <w:left w:val="nil"/>
              <w:right w:val="nil"/>
            </w:tcBorders>
            <w:vAlign w:val="center"/>
          </w:tcPr>
          <w:p w14:paraId="2DD8F485" w14:textId="77777777" w:rsidR="00CB58D4" w:rsidRPr="00635627" w:rsidRDefault="00CB58D4" w:rsidP="00BC562B">
            <w:pPr>
              <w:spacing w:beforeLines="50" w:before="156" w:afterLines="50" w:after="156"/>
              <w:jc w:val="center"/>
              <w:rPr>
                <w:rFonts w:ascii="Times New Roman" w:hAnsi="Times New Roman" w:cs="Times New Roman"/>
                <w:szCs w:val="21"/>
              </w:rPr>
            </w:pPr>
          </w:p>
        </w:tc>
        <w:tc>
          <w:tcPr>
            <w:tcW w:w="1701" w:type="dxa"/>
            <w:tcBorders>
              <w:top w:val="nil"/>
              <w:left w:val="nil"/>
              <w:bottom w:val="nil"/>
              <w:right w:val="nil"/>
            </w:tcBorders>
            <w:vAlign w:val="center"/>
          </w:tcPr>
          <w:p w14:paraId="77296004" w14:textId="7E10BA83"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Lemur kidney scRNA-seq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{"citationID":"IK4Ae3NN","properties":{"unsorted":false,"formattedCitation":"[9]","plainCitation":"[9]","noteIndex":0},"citationItems":[{"id":75,"uris":["http://zotero.org/users/19832712/items/B6HRYFXD"],"itemData":{"id":75,"type":"article-journal","abstract":"Mouse lemurs are the smallest and fastest reproducing primates, as well as one of the most abundant, and they are emerging as a model organism for primate biology, behaviour, health and conservation. Although much has been learnt about their ecology and phylogeny in Madagascar and their physiology, little is known about their cellular and molecular biology. Here we used droplet-based and plate-based single-cell RNA sequencing to create Tabula Microcebus, a transcriptomic atlas of 226,000 cells from 27 mouse lemur organs opportunistically obtained from four donors clinically and histologically characterized. Using computational cell clustering, integration and expert cell annotation, we define and biologically organize more than 750 lemur molecular cell types and their full gene expression profiles. This includes cognates of most classical human cell types, including stem and progenitor cells, and differentiating cells along the developmental trajectories of spermatogenesis, haematopoiesis and other adult tissues. We also describe dozens of previously unidentified or sparsely characterized cell types. We globally compare expression profiles to define the molecular relationships of cell types across the body, and explore primate cell and gene expression evolution by comparing lemur transcriptomes to those of human, mouse and macaque. This reveals cell-type-specific patterns of primate specialization and many cell types and genes for which the mouse lemur provides a better human model than mouse1. The atlas provides a cellular and molecular foundation for studying this model primate and establishes a general approach for characterizing other emerging model organisms.","container-title":"Nature","DOI":"10.1038/s41586-025-09113-9","ISSN":"1476-4687","issue":"8075","journalAbbreviation":"Nature","page":"173-184","title":"A molecular cell atlas of mouse lemur, an emerging model primate","volume":"644","author":[{"family":"Morree","given":"Antoine","non-dropping-particle":"de"},{"family":"De Vlaminck","given":"Iwijn"},{"family":"Shapiro","given":"Liza"},{"family":"Razafindrakoto","given":"Andriamahery"},{"family":"Ravelonjanahary","given":"Hajanirina Noëline"},{"family":"Wright","given":"Patricia"},{"family":"Yoder","given":"Anne D."},{"family":"Williams","given":"Cathy V."},{"family":"Schopler","given":"Robert"},{"family":"Radespiel","given":"Ute"},{"family":"Verdier","given":"Jean-Michel"},{"family":"Lautier","given":"Corinne"},{"family":"Kirk","given":"E. Christopher"},{"family":"Lewis","given":"Rebecca"},{"family":"Gillich","given":"Astrid"},{"family":"Zhao","given":"Zicheng"},{"family":"Godoy","given":"Elias"},{"family":"Terrien","given":"Jérémy"},{"family":"Epelbaum","given":"Jacques"},{"family":"Gratzinger","given":"Dita"},{"family":"Lucot","given":"Katherine"},{"family":"Montine","given":"Thomas"},{"family":"D’Addabbo","given":"Jessica"},{"family":"Bakerman","given":"Isaac"},{"family":"Nguyen","given":"Patricia"},{"family":"Kershner","given":"Aaron"},{"family":"Mrouj","given":"Karim"},{"family":"Beachy","given":"Philip"},{"family":"Ambrosi","given":"Thomas H."},{"family":"Hoover","given":"Malachia"},{"family":"Alam","given":"Alina"},{"family":"Chan","given":"Charles"},{"family":"Jang","given":"SoRi"},{"family":"Veerakumar","given":"Avin"},{"family":"Li","given":"Peng"},{"family":"Yung","given":"Andrea R."},{"family":"Duffy","given":"Connor V."},{"family":"Ding","given":"Song-Lin"},{"family":"Lein","given":"Ed S."},{"family":"Konermann","given":"Silvana"},{"family":"Luo","given":"Liqun"},{"family":"Bakken","given":"Trygve E."},{"family":"Kebschull","given":"Justus M."},{"family":"Hodge","given":"Rebecca D."},{"family":"Isobe","given":"Taichi"},{"family":"Clarke","given":"Michael F."},{"family":"Bilen","given":"Biter"},{"family":"Farup","given":"Jean"},{"family":"Urtasun","given":"Andoni"},{"family":"Kang","given":"Jengmin"},{"family":"Chen","given":"Ming"},{"family":"Li","given":"BaoXiang"},{"family":"Subramaniam","given":"Varun Ramanan"},{"family":"Mukherjee","given":"Shravani"},{"family":"Swarup","given":"Aditi"},{"family":"Kim","given":"Lily"},{"family":"Scott","given":"Bronwyn"},{"family":"Al-Moujahed","given":"Ahmad"},{"family":"Wu","given":"Albert Y."},{"family":"Vollrath","given":"Douglas"},{"family":"Schaum","given":"Nicholas"},{"family":"Wiggenhorn","given":"Amanda L."},{"family":"Wyss-Coray","given":"Tony"},{"family":"Long","given":"Jonathan Z."},{"family":"Liu","given":"Yin"},{"family":"Nabhan","given":"Ahmad"},{"family":"Loeb","given":"Gabriel"},{"family":"Lin","given":"Shengda"},{"family":"Paine","given":"Honor"},{"family":"Burhan","given":"Deviana"},{"family":"Taychameekiatchai","given":"Aris"},{"family":"Wang","given":"Bruce"},{"family":"Espinoza","given":"F. Hernán"},{"family":"Kuo","given":"Christin"},{"family":"Metzger","given":"Ross"},{"family":"Qi","given":"Zhen"},{"family":"Culver","given":"Rebecca"},{"family":"Huang","given":"Kerwyn C."},{"family":"Neuhöfer","given":"Patrick"},{"family":"Chang","given":"Charles A."},{"family":"Hang","given":"Yan"},{"family":"Kim","given":"Seung K."},{"family":"Weinstein","given":"Hannah N. W."},{"family":"Allegakoen","given":"Paul"},{"family":"Huang","given":"Franklin W."},{"literal":"Sivakamasundari"},{"family":"Lee","given":"Song Eun"},{"family":"Frank","given":"Hannah K."},{"family":"Boyd","given":"Scott D."},{"family":"Lu","given":"Wan-Jin"},{"family":"Baghel","given":"Ankit"},{"family":"Kong","given":"William"},{"family":"Israel","given":"Carly"},{"family":"Maynard","given":"Ashley"},{"family":"Tan","given":"Michelle"},{"family":"Ouadah","given":"Youcef"},{"family":"Baruni","given":"Jalal"},{"family":"Wu","given":"Timothy Ting-Hsuan"},{"family":"Jones","given":"Robert C."},{"family":"Darmanis","given":"Spyros"},{"family":"Crasta","given":"Sheela"},{"family":"Yan","given":"Jia"},{"family":"Agrawal","given":"Aditi"},{"family":"Huynh","given":"Shelly"},{"family":"Yu","given":"Brian"},{"family":"Webber","given":"James"},{"family":"Tan","given":"Weilun"},{"family":"Nafees","given":"Saba"},{"family":"Li","given":"Zhengda"},{"family":"Wang","given":"Michael F. Z."},{"family":"Dehghannasiri","given":"Roozbeh"},{"family":"Olivieri","given":"Julia"},{"family":"Salzman","given":"Julia"},{"family":"Guethlein","given":"Lisbeth A."},{"family":"Parham","given":"Peter"},{"family":"Jing","given":"Qiuyu"},{"family":"Antony","given":"Jane"},{"family":"Stanley","given":"Geoff"},{"family":"Yang","given":"Jinxurong"},{"family":"Koh","given":"Winston"},{"family":"Wang","given":"Sheng"},{"family":"Agarwal","given":"Snigdha"},{"family":"Awayan","given":"Kyle"},{"family":"McGeever","given":"Erin"},{"family":"Vemuri","given":"Venkata N. P."},{"family":"Lalgudi","given":"Pranav V."},{"family":"Ezran","given":"Camille"},{"family":"Liu","given":"Shixuan"},{"family":"Chang","given":"Stephen"},{"family":"Ming","given":"Jingsi"},{"family":"Botvinnik","given":"Olga"},{"family":"Penland","given":"Lolita"},{"family":"Tarashansky","given":"Alexander"},{"family":"Morree","given":"Antoine","non-dropping-particle":"de"},{"family":"Travaglini","given":"Kyle J."},{"family":"Zhao","given":"Jia"},{"family":"Wang","given":"Gefei"},{"family":"Hasegawa","given":"Kazuteru"},{"family":"Sin","given":"Hosu"},{"family":"Sit","given":"Rene"},{"family":"Okamoto","given":"Jennifer"},{"family":"Sinha","given":"Rahul"},{"family":"Zhang","given":"Yue"},{"family":"Karanewsky","given":"Caitlin J."},{"family":"Pendleton","given":"Jozeph L."},{"family":"Morri","given":"Maurizio"},{"family":"Perret","given":"Martine"},{"family":"Aujard","given":"Fabienne"},{"family":"Stryer","given":"Lubert"},{"family":"Artandi","given":"Steven"},{"family":"Fuller","given":"Margaret T."},{"family":"Weissman","given":"Irving L."},{"family":"Rando","given":"Thomas A."},{"family":"Ferrell","given":"James E."},{"family":"Wang","given":"Bo"},{"family":"De Vlaminck","given":"Iwijn"},{"family":"Yang","given":"Can"},{"family":"Casey","given":"Kerriann M."},{"family":"Albertelli","given":"Megan A."},{"family":"Pisco","given":"Angela Oliveira"},{"family":"Karkanias","given":"Jim"},{"family":"Neff","given":"Norma"},{"family":"Wu","given":"Angela Ruohao"},{"family":"Quake","given":"Stephen R."},{"family":"Krasnow","given":"Mark A."},{"literal":"The Tabula Microcebus Consortium"}],"issued":{"date-parts":[["2025",8,1]]}}}],"schema":"https://github.com/citation-style-language/schema/raw/master/csl-citation.json"}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[9]</w:t>
            </w:r>
            <w:r w:rsidRPr="00635627">
              <w:rPr>
                <w:rFonts w:ascii="Times New Roman" w:hAnsi="Times New Roman" w:cs="Times New Roman"/>
                <w:szCs w:val="21"/>
              </w:rPr>
              <w:fldChar w:fldCharType="end"/>
            </w:r>
          </w:p>
        </w:tc>
        <w:tc>
          <w:tcPr>
            <w:tcW w:w="1559" w:type="dxa"/>
            <w:tcBorders>
              <w:top w:val="nil"/>
              <w:left w:val="nil"/>
              <w:bottom w:val="nil"/>
              <w:right w:val="nil"/>
            </w:tcBorders>
            <w:vAlign w:val="center"/>
          </w:tcPr>
          <w:p w14:paraId="09556128" w14:textId="047C815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CELLxGENE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{"citationID":"vxItVzvw","properties":{"unsorted":false,"formattedCitation":"[10]","plainCitation":"[10]","noteIndex":0},"citationItems":[{"id":56,"uris":["http://zotero.org/users/19832712/items/EPZWXQZE"],"itemData":{"id":56,"type":"article-journal","abstract":"Hundreds of millions of single cells have been analyzed using high-throughput transcriptomic methods. The cumulative knowledge within these datasets provides an exciting opportunity for unlocking insights into health and disease at the level of single cells. Meta-analyses that span diverse datasets building on recent advances in large language models and other machine-learning approaches pose exciting new directions to model and extract insight from single-cell data. Despite the promise of these and emerging analytical tools for analyzing large amounts of data, the sheer number of datasets, data models and accessibility remains a challenge. Here, we present CZ CELLxGENE Discover (cellxgene.cziscience.com), a data platform that provides curated and interoperable single-cell data. Available via a free-to-use online data portal, CZ CELLxGENE hosts a growing corpus of community-contributed data of over 93 million unique cells. Curated, standardized and associated with consistent cell-level metadata, this collection of single-cell transcriptomic data is the largest of its kind and growing rapidly via community contributions. A suite of tools and features enables accessibility and reusability of the data via both computational and visual interfaces to allow researchers to explore individual datasets, perform cross-corpus analysis, and run meta-analyses of tens of millions of cells across studies and tissues at the resolution of single cells.","container-title":"Nucleic Acids Research","DOI":"10.1093/nar/gkae1142","ISSN":"1362-4962","issue":"D1","journalAbbreviation":"Nucleic Acids Research","page":"D886-D900","title":"CZ CELLxGENE Discover: a single-cell data platform for scalable exploration, analysis and modeling of aggregated data","volume":"53","author":[{"literal":"CZI Cell Science Program"},{"family":"Abdulla","given":"Shibla"},{"family":"Aevermann","given":"Brian"},{"family":"Assis","given":"Pedro"},{"family":"Badajoz","given":"Seve"},{"family":"Bell","given":"Sidney M"},{"family":"Bezzi","given":"Emanuele"},{"family":"Cakir","given":"Batuhan"},{"family":"Chaffer","given":"Jim"},{"family":"Chambers","given":"Signe"},{"family":"Cherry","given":"J Michael"},{"family":"Chi","given":"Tiffany"},{"family":"Chien","given":"Jennifer"},{"family":"Dorman","given":"Leah"},{"family":"Garcia-Nieto","given":"Pablo"},{"family":"Gloria","given":"Nayib"},{"family":"Hastie","given":"Mim"},{"family":"Hegeman","given":"Daniel"},{"family":"Hilton","given":"Jason"},{"family":"Huang","given":"Timmy"},{"family":"Infeld","given":"Amanda"},{"family":"Istrate","given":"Ana-Maria"},{"family":"Jelic","given":"Ivana"},{"family":"Katsuya","given":"Kuni"},{"family":"Kim","given":"Yang Joon"},{"family":"Liang","given":"Karen"},{"family":"Lin","given":"Mike"},{"family":"Lombardo","given":"Maximilian"},{"family":"Marshall","given":"Bailey"},{"family":"Martin","given":"Bruce"},{"family":"McDade","given":"Fran"},{"family":"Megill","given":"Colin"},{"family":"Patel","given":"Nikhil"},{"family":"Predeus","given":"Alexander"},{"family":"Raymor","given":"Brian"},{"family":"Robatmili","given":"Behnam"},{"family":"Rogers","given":"Dave"},{"family":"Rutherford","given":"Erica"},{"family":"Sadgat","given":"Dana"},{"family":"Shin","given":"Andrew"},{"family":"Small","given":"Corinn"},{"family":"Smith","given":"Trent"},{"family":"Sridharan","given":"Prathap"},{"family":"Tarashansky","given":"Alexander"},{"family":"Tavares","given":"Norbert"},{"family":"Thomas","given":"Harley"},{"family":"Tolopko","given":"Andrew"},{"family":"Urisko","given":"Meghan"},{"family":"Yan","given":"Joyce"},{"family":"Yeretssian","given":"Garabet"},{"family":"Zamanian","given":"Jennifer"},{"family":"Mani","given":"Arathi"},{"family":"Cool","given":"Jonah"},{"family":"Carr","given":"Ambrose"}],"issued":{"date-parts":[["2025",1,6]]}}}],"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[10]</w:t>
            </w:r>
            <w:r w:rsidRPr="00635627">
              <w:rPr>
                <w:rFonts w:ascii="Times New Roman" w:hAnsi="Times New Roman" w:cs="Times New Roman"/>
                <w:szCs w:val="21"/>
              </w:rPr>
              <w:fldChar w:fldCharType="end"/>
            </w:r>
          </w:p>
        </w:tc>
        <w:tc>
          <w:tcPr>
            <w:tcW w:w="1985" w:type="dxa"/>
            <w:tcBorders>
              <w:top w:val="nil"/>
              <w:left w:val="nil"/>
              <w:bottom w:val="nil"/>
              <w:right w:val="nil"/>
            </w:tcBorders>
            <w:vAlign w:val="center"/>
          </w:tcPr>
          <w:p w14:paraId="2B7CFDFF"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cellxgene.cziscience.com/collections/a137437b-d284-4a27-b1e9-36958a8f92c1</w:t>
            </w:r>
          </w:p>
        </w:tc>
      </w:tr>
      <w:tr w:rsidR="00CB58D4" w:rsidRPr="00635627" w14:paraId="5CC46E89" w14:textId="77777777" w:rsidTr="00BC562B">
        <w:tc>
          <w:tcPr>
            <w:tcW w:w="3119" w:type="dxa"/>
            <w:vMerge/>
            <w:tcBorders>
              <w:left w:val="nil"/>
              <w:bottom w:val="nil"/>
              <w:right w:val="nil"/>
            </w:tcBorders>
            <w:vAlign w:val="center"/>
          </w:tcPr>
          <w:p w14:paraId="3AE16994" w14:textId="77777777" w:rsidR="00CB58D4" w:rsidRPr="00635627" w:rsidRDefault="00CB58D4" w:rsidP="00BC562B">
            <w:pPr>
              <w:spacing w:beforeLines="50" w:before="156" w:afterLines="50" w:after="156"/>
              <w:jc w:val="center"/>
              <w:rPr>
                <w:rFonts w:ascii="Times New Roman" w:hAnsi="Times New Roman" w:cs="Times New Roman"/>
                <w:szCs w:val="21"/>
              </w:rPr>
            </w:pPr>
          </w:p>
        </w:tc>
        <w:tc>
          <w:tcPr>
            <w:tcW w:w="1701" w:type="dxa"/>
            <w:tcBorders>
              <w:top w:val="nil"/>
              <w:left w:val="nil"/>
              <w:bottom w:val="single" w:sz="4" w:space="0" w:color="auto"/>
              <w:right w:val="nil"/>
            </w:tcBorders>
            <w:vAlign w:val="center"/>
          </w:tcPr>
          <w:p w14:paraId="749C1F44" w14:textId="3CDA3DCD"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Mouse kidney scRNA-seq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{"citationID":"I5PbxdjR","properties":{"unsorted":false,"formattedCitation":"[11]","plainCitation":"[11]","noteIndex":0},"citationItems":[{"id":74,"uris":["http://zotero.org/users/19832712/items/J2IGC823"],"itemData":{"id":74,"type":"article-journal","abstract":"Building upon a foundational Human Kidney resource, we present a comprehensive multi-modal atlas that defines spatially resolved versus unresolved repair states and mechanisms in human kidney disease. Homeostatic interactions between injured kidney epithelium and its surrounding milieu determine successful repair outcomes, while pathogenic signaling promotes unresolved inflammation and fibrosis leading to chronic disease. We integrated multiple single-cell and spatial modalities across </w:instrText>
            </w:r>
            <w:r w:rsidR="00635627" w:rsidRPr="00635627">
              <w:rPr>
                <w:rFonts w:ascii="Cambria Math" w:hAnsi="Cambria Math" w:cs="Cambria Math"/>
                <w:szCs w:val="21"/>
              </w:rPr>
              <w:instrText>∼</w:instrText>
            </w:r>
            <w:r w:rsidR="00635627" w:rsidRPr="00635627">
              <w:rPr>
                <w:rFonts w:ascii="Times New Roman" w:hAnsi="Times New Roman" w:cs="Times New Roman"/>
                <w:szCs w:val="21"/>
              </w:rPr>
              <w:instrText>700 samples from &amp;gt;350 patients (</w:instrText>
            </w:r>
            <w:r w:rsidR="00635627" w:rsidRPr="00635627">
              <w:rPr>
                <w:rFonts w:ascii="Cambria Math" w:hAnsi="Cambria Math" w:cs="Cambria Math"/>
                <w:szCs w:val="21"/>
              </w:rPr>
              <w:instrText>∼</w:instrText>
            </w:r>
            <w:r w:rsidR="00635627" w:rsidRPr="00635627">
              <w:rPr>
                <w:rFonts w:ascii="Times New Roman" w:hAnsi="Times New Roman" w:cs="Times New Roman"/>
                <w:szCs w:val="21"/>
              </w:rPr>
              <w:instrText xml:space="preserve">250 research biopsies), analyzing </w:instrText>
            </w:r>
            <w:r w:rsidR="00635627" w:rsidRPr="00635627">
              <w:rPr>
                <w:rFonts w:ascii="Cambria Math" w:hAnsi="Cambria Math" w:cs="Cambria Math"/>
                <w:szCs w:val="21"/>
              </w:rPr>
              <w:instrText>∼</w:instrText>
            </w:r>
            <w:r w:rsidR="00635627" w:rsidRPr="00635627">
              <w:rPr>
                <w:rFonts w:ascii="Times New Roman" w:hAnsi="Times New Roman" w:cs="Times New Roman"/>
                <w:szCs w:val="21"/>
              </w:rPr>
              <w:instrText xml:space="preserve">1.7 million cells alongside complementary mouse multi-omic profiles spanning acute-to-chronic injury and aging (&amp;gt;300,000 cells) and spatial transcriptomic analysis of &amp;gt;150 human biopsies. This cross-species atlas delineates functional pathways and druggable targets across the nephron and defines gene regulatory networks and chromatin landscapes governing tubular, fibroblast, and immune cell transitions from injury to either recovery or failed repair states. We identified distinct cellular states associated with specific pathological features that show dynamic distributions between acute kidney injury (AKI) and chronic kidney disease (CKD), organized within unique spatial niches that reveal progression mechanisms from early injury to unresolved disease. Gene regulatory analyses prioritized key transcription factor activities (SOX4, SOX9, NFKB1, REL, KLFs) and their target networks establishing disease states and tissue microenvironments. These regulatory programs were directly linked to clinical outcomes, identifying molecular signatures of recovery and secreted biomarkers predictive of AKI-to-CKD progression, providing a key resource for therapeutic development and precision medicine approaches in kidney disease.Competing Interest StatementB.B.L., D.D., K.Y.C. are and E.C. and P.V.K. were full-time employees of Altos Labs Inc. L.B. consults for Sangamo, Protalix, Uniquire, and Idorsia; is on scientific advisory boards for Vertex and Nephcure; serves as a grant reviewer for ASN; is on the editorial board of the Journal of Glomerular Diseases. J.M.H. has research funding from: Evotec, Novo Nordisk, Pfizer, Visterra; consults for Novartis. M.L.C. has consultant fees from Armana, Bayer AG, Bayer Pharmaceuticals, Novo Nordisk; has royalties from Up-to-Date; has research grants from Breakthrough T1D, Boehringer Ingelheim, Eli Lilly, Bayer Pharmaceuticals (all paid to institution). P.M.P. did prior consulting for Chiesi USA. S.E.R. receives research funding from Bayer, Astra Zeneca (paid to institution), serves on Steering Committees for FineOne; serves on Scientific Advisory Board for Bayer, AstraZeneca, Travere, Novo Nordisk; is employed by Joslin Diabetes Center at Beth Israel Deaconess Medical Center; Immediate Past President of the National Kidney Foundation. J.R.S. consults for Maze and Goldfinch and receives royalties from Sanofi Genzyme. S.S.W. serves as an expert witness consulting on patent issues, dialysis laboratory testing, and drug safety (Dechert, DLA Piper, Finnegan, Ropes and Gray, Tucker Ellis); consults for industry/pharma on drug development, safety, etc. (Aditum - Motric, Bain, CANbridge, Dechert, Delix, Goldfinch, Ikena, Merck, Mineralys, Ono Pharma, PepGen, Quinn Emanuel, Strataca, Vertex); receives grants to institution (Vertex, Pfizer, J&amp;amp;J, Natera). F.P.W. receives grant support from AHRQ, DOD, Amgen, AstraZeneca; consults for Whoop, WndrHlth.. E.Z.M. is a paid consultant for Atlas Bio. J.S. reports in the last 3 years funding from GSK and Pfizer and fees/honoraria from Travere Therapeutics, Stadapharm, Astex, Owkin, Pfizer, Grunenthal, Tempus and Moderna. N.B. owns equity interest in Thermo Fisher Scientific. P.S. serves on the advisory board of DigPath Inc. FUSION software is protected by Copyright 2023-25 University of Florida Research Foundation, Inc. K.Z is a full-time employee of Altos Labs Inc.; Co-founder, equity holder and serves on the scientific advisory board of Singlera Genomics. M.K. reports grants and contracts through the University of Michigan outside of this work from AstraZeneca, NovoNordisk, Eli Lilly, Boehringer-Ingelheim, European Union Innovative Medicine Initiative, Certa Therapeutics, RenalytixAI, Regeneron, Novo Nordisk, Sanofi, Dimerix, Travere and Vera Therapeutics; has received consulting fees through the University of Michigan from Novo Nordisk, Alexion, Novartis, Roche Diagnostics and Vera Therapeutics; with V.N. has a patent PCT/EP2014/073413- Biomarkers and methods for progression prediction for chronic kidney disease, licensed. C.R.P. is a member of the advisory board of and owns equity in RenalytixAI, and serves as a consultant for Genfit and Novartis. S.J. has consulted with Athenium, receives royalties from Elsevier and with P.S. and T.M.A. has an intellectual property invention disclosure on FUSION histology-omics software tool and may receive royalties from commercial use.NIDDK, U01DK133081, U01DK133091, U01DK133092, U01DK133093NIDDK, U01DK133095, U01DK133097, U01DK114866, U01DK114908, U01DK133090, U01DK133113NIDDK, U01DK133766, U01DK133768, U01DK114907, U01DK114920, U01DK114923, U01DK114933NIDDK, U24DK114886, UH3DK114926, UH3DK114861, UH3DK114915, UH3DK114937NIH Common Fund, https://ror.org/001d55x84, U54DK134301, OT2OD033753","container-title":"bioRxiv","DOI":"10.1101/2025.09.26.678707","page":"2025.09.26.678707","title":"Cellular and Spatial Drivers of Unresolved Injury and Functional Decline in the Human Kidney","author":[{"family":"Lake","given":"Blue B."},{"family":"Melo Ferreira","given":"Ricardo"},{"family":"Hansen","given":"Jens"},{"family":"Menon","given":"Rajasree"},{"family":"Basta","given":"Jeannine"},{"family":"Thiessen Philbrook","given":"Heather"},{"family":"Reinert","given":"Stephanie"},{"family":"Fallegger","given":"Robin"},{"family":"Lagwankar","given":"Asmita K."},{"family":"Chen","given":"Xi"},{"family":"Maity","given":"Soumya"},{"family":"Djambazova","given":"Katerina V."},{"family":"Gorman","given":"Brittney L."},{"family":"Lucarelli","given":"Nicholas"},{"family":"Gisch","given":"Debora L."},{"family":"Schmidt","given":"Insa M."},{"family":"Nair","given":"Viji"},{"family":"Alakwaa","given":"Fadhl"},{"family":"Kefaloyianni","given":"Eirini"},{"family":"Zhang","given":"Bo"},{"family":"Knoten","given":"Amanda L."},{"family":"Kaushal","given":"Madhurima"},{"family":"Otto","given":"Edgar A."},{"family":"Farrow","given":"Melissa A."},{"family":"Diep","given":"Dinh"},{"family":"Velickovic","given":"Dusan"},{"family":"Sabo","given":"Angela R."},{"family":"Cole","given":"Elijah"},{"family":"Tamayo","given":"Ian"},{"family":"Tanevski","given":"Jovan"},{"family":"Conklin","given":"Kimberly Y."},{"family":"Sealfon","given":"Rachel S. G."},{"family":"He","given":"Yongqun"},{"family":"Brennan","given":"Michelle"},{"family":"Robbins","given":"Lynn"},{"family":"Cheng","given":"Ying-Hua"},{"family":"Bitzer","given":"Markus"},{"family":"Surapaneni","given":"Aditya"},{"family":"Menez","given":"Steven"},{"family":"Kharchenko","given":"Peter V."},{"family":"Alpers","given":"Charles E."},{"family":"Balis","given":"Ulysses G. J."},{"family":"Barisoni","given":"Laura"},{"family":"Boer","given":"Ian H.","non-dropping-particle":"de"},{"family":"Demeke","given":"Dawit"},{"family":"Fogo","given":"Agnes B."},{"family":"Henderson","given":"Joel M."},{"family":"Herlitz","given":"Leal"},{"family":"Moeckel","given":"Gilbert W."},{"family":"Randhawa","given":"Parmjeet S."},{"family":"Rosenberg","given":"Avi Z."},{"family":"Schaub","given":"Jennifer A."},{"family":"Setty","given":"Suman"},{"family":"Brosius","given":"Frank C."},{"family":"Caramori","given":"Maria L."},{"family":"Coca","given":"Steven G."},{"family":"Figenshau","given":"Robert S."},{"family":"Kim","given":"Eric H."},{"family":"Kiryluk","given":"Krzysztof"},{"family":"Lash","given":"James P."},{"family":"Miller","given":"R. Tyler"},{"family":"O’Toole","given":"John F."},{"family":"Palevsky","given":"Paul M."},{"family":"Rhee","given":"Eugene P."},{"family":"Ricardo","given":"Ana C."},{"family":"Rosas","given":"Sylvia E."},{"family":"Roy-Chaudhury","given":"Prabir"},{"family":"Sarwal","given":"Minnie M."},{"family":"Sedor","given":"John R."},{"family":"Toto","given":"Robert D."},{"family":"Türkmen","given":"Aydın"},{"family":"Waikar","given":"Sushrut S."},{"family":"Williams","given":"James C."},{"family":"Wilson","given":"F P."},{"family":"Woodle","given":"E. Steve"},{"family":"Macosko","given":"Evan Z."},{"family":"Saez-Rodriguez","given":"Julio"},{"family":"Dagher","given":"Pierre C"},{"family":"Grams","given":"Morgan E."},{"family":"Bjornstad","given":"Petter"},{"family":"El-Achkar","given":"Tarek M."},{"family":"Troyanskaya","given":"Olga G."},{"family":"Bonevich","given":"Nikole"},{"family":"Sarder","given":"Pinaki"},{"family":"Kumar","given":"Sanjeev"},{"family":"Anderton","given":"Christopher R."},{"family":"Spraggins","given":"Jeffrey M."},{"family":"Sharma","given":"Kumar"},{"family":"Rauchman","given":"Michael"},{"family":"Himmelfarb","given":"Jonathan"},{"family":"Gaut","given":"Joseph P."},{"literal":"Kidney Precision Medicine Project"},{"family":"Zhang","given":"Kun"},{"family":"Iyengar","given":"Ravi"},{"family":"Kretzler","given":"Matthias"},{"family":"Hodgin","given":"Jeffrey B."},{"family":"Parikh","given":"Chirag R."},{"family":"Eadon","given":"Michael T."},{"family":"Jain","given":"Sanjay"},{"literal":"HuBMAP consortium and Kidney Precision Medicine Project"}],"issued":{"date-parts":[["2025",1,1]]}}}],"schema":"https://github.com/citation-style-language/schema/raw/master/csl-citation.json"}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[11]</w:t>
            </w:r>
            <w:r w:rsidRPr="00635627">
              <w:rPr>
                <w:rFonts w:ascii="Times New Roman" w:hAnsi="Times New Roman" w:cs="Times New Roman"/>
                <w:szCs w:val="21"/>
              </w:rPr>
              <w:fldChar w:fldCharType="end"/>
            </w:r>
          </w:p>
        </w:tc>
        <w:tc>
          <w:tcPr>
            <w:tcW w:w="1559" w:type="dxa"/>
            <w:tcBorders>
              <w:top w:val="nil"/>
              <w:left w:val="nil"/>
              <w:bottom w:val="single" w:sz="4" w:space="0" w:color="auto"/>
              <w:right w:val="nil"/>
            </w:tcBorders>
            <w:vAlign w:val="center"/>
          </w:tcPr>
          <w:p w14:paraId="24685F01"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CELLxGENE </w:t>
            </w:r>
          </w:p>
        </w:tc>
        <w:tc>
          <w:tcPr>
            <w:tcW w:w="1985" w:type="dxa"/>
            <w:tcBorders>
              <w:top w:val="nil"/>
              <w:left w:val="nil"/>
              <w:bottom w:val="single" w:sz="4" w:space="0" w:color="auto"/>
              <w:right w:val="nil"/>
            </w:tcBorders>
            <w:vAlign w:val="center"/>
          </w:tcPr>
          <w:p w14:paraId="53116109"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cellxgene.cziscience.com/collections/9c9d04c4-8899-417f-bb6f-6107dcadf14f</w:t>
            </w:r>
          </w:p>
        </w:tc>
      </w:tr>
      <w:tr w:rsidR="00CB58D4" w:rsidRPr="00635627" w14:paraId="6030D1E4" w14:textId="77777777" w:rsidTr="00BC562B">
        <w:tc>
          <w:tcPr>
            <w:tcW w:w="3119" w:type="dxa"/>
            <w:vMerge w:val="restart"/>
            <w:tcBorders>
              <w:top w:val="nil"/>
              <w:left w:val="nil"/>
              <w:right w:val="nil"/>
            </w:tcBorders>
            <w:vAlign w:val="center"/>
          </w:tcPr>
          <w:p w14:paraId="76D1568E"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Alignment-free microbe embedding</w:t>
            </w:r>
          </w:p>
        </w:tc>
        <w:tc>
          <w:tcPr>
            <w:tcW w:w="1701" w:type="dxa"/>
            <w:tcBorders>
              <w:top w:val="single" w:sz="4" w:space="0" w:color="auto"/>
              <w:left w:val="nil"/>
              <w:bottom w:val="nil"/>
              <w:right w:val="nil"/>
            </w:tcBorders>
            <w:vAlign w:val="center"/>
          </w:tcPr>
          <w:p w14:paraId="57F28F27" w14:textId="34A1BD72"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Human gut smRNA-seq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{"citationID":"76JLYk6A","properties":{"unsorted":false,"formattedCitation":"[12]","plainCitation":"[12]","noteIndex":0},"citationItems":[{"id":28,"uris":["http://zotero.org/users/19832712/items/69ZKZC7R"],"itemData":{"id":28,"type":"article-journal","abstract":"Microbial communities such as those residing in the human gut are highly diverse and complex, and many with important implications for health and diseases. The effects and functions of these microbial communities are determined not only by their species compositions and diversities but also by the dynamic intra- and inter-cellular states at the transcriptional level. Powerful and scalable technologies capable of acquiring single-microbe-resolution RNA sequencing information in order to achieve a comprehensive understanding of complex microbial communities together with their hosts are therefore utterly needed. Here we report the development and utilization of a droplet-based smRNA-seq (single-microbe RNA sequencing) method capable of identifying large species varieties in human samples, which we name smRandom-seq2. Together with a triple-module computational pipeline designed for the bacteria and bacteriophage sequencing data by smRandom-seq2 in four human gut samples, we established a single-cell level bacterial transcriptional landscape of human gut microbiome, which included 29,742 single microbes and 329 unique species. Distinct adaptive response states among species in Prevotella and Roseburia genera and intrinsic adaptive strategy heterogeneity in Phascolarctobacterium succinatutens were uncovered. Additionally, we identified hundreds of novel host-phage transcriptional activity associations in the human gut microbiome. Our results indicated that smRandom-seq2 is a high-throughput and high-resolution smRNA-seq technique that is highly adaptable to complex microbial communities in real-world situations and promises new perspectives in the understanding of human microbiomes.","container-title":"Protein &amp; Cell","DOI":"10.1093/procel/pwae027","ISSN":"1674-800X","issue":"3","journalAbbreviation":"Protein &amp; Cell","page":"211-226","title":"High-throughput single-microbe RNA sequencing reveals adaptive state heterogeneity and host-phage activity associations in human gut microbiome","volume":"16","author":[{"family":"Shen","given":"Yifei"},{"family":"Qian","given":"Qinghong"},{"family":"Ding","given":"Liguo"},{"family":"Qu","given":"Wenxin"},{"family":"Zhang","given":"Tianyu"},{"family":"Song","given":"Mengdi"},{"family":"Huang","given":"Yingjuan"},{"family":"Wang","given":"Mengting"},{"family":"Xu","given":"Ziye"},{"family":"Chen","given":"Jiaye"},{"family":"Dong","given":"Ling"},{"family":"Chen","given":"Hongyu"},{"family":"Shen","given":"Enhui"},{"family":"Zheng","given":"Shufa"},{"family":"Chen","given":"Yu"},{"family":"Liu","given":"Jiong"},{"family":"Fan","given":"Longjiang"},{"family":"Wang","given":"Yongcheng"}],"issued":{"date-parts":[["2025",3,1]]}}}],"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[12]</w:t>
            </w:r>
            <w:r w:rsidRPr="00635627">
              <w:rPr>
                <w:rFonts w:ascii="Times New Roman" w:hAnsi="Times New Roman" w:cs="Times New Roman"/>
                <w:szCs w:val="21"/>
              </w:rPr>
              <w:fldChar w:fldCharType="end"/>
            </w:r>
          </w:p>
        </w:tc>
        <w:tc>
          <w:tcPr>
            <w:tcW w:w="1559" w:type="dxa"/>
            <w:tcBorders>
              <w:top w:val="single" w:sz="4" w:space="0" w:color="auto"/>
              <w:left w:val="nil"/>
              <w:bottom w:val="nil"/>
              <w:right w:val="nil"/>
            </w:tcBorders>
            <w:vAlign w:val="center"/>
          </w:tcPr>
          <w:p w14:paraId="0F6AB7E4" w14:textId="746ECE68"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Genome Sequence Archive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{"citationID":"cigZizqx","properties":{"unsorted":false,"formattedCitation":"[13]","plainCitation":"[13]","noteIndex":0},"citationItems":[{"id":117,"uris":["http://zotero.org/users/19832712/items/N7QGIR79"],"itemData":{"id":117,"type":"article-journal","abstract":"With the rapid development of sequencing technologies towards higher throughput and lower cost, sequence data are generated at an unprecedentedly explosive rate. To provide an efficient and easy-to-use platform for managing huge sequence data, here we present Genome Sequence Archive (GSA; http://bigd.big.ac.cn/gsa or http://gsa.big.ac.cn), a data repository for archiving raw sequence data. In compliance with data standards and structures of the International Nucleotide Sequence Database Collaboration (INSDC), GSA adopts four data objects (BioProject, BioSample, Experiment, and Run) for data organization, accepts raw sequence reads produced by a variety of sequencing platforms, stores both sequence reads and metadata submitted from all over the world, and makes all these data publicly available to worldwide scientific communities. In the era of big data, GSA is not only an important complement to existing INSDC members by alleviating the increasing burdens of handling sequence data deluge, but also takes the significant responsibility for global big data archive and provides free unrestricted access to all publicly available data in support of research activities throughout the world.","container-title":"Genomics, Proteomics &amp; Bioinformatics","DOI":"10.1016/j.gpb.2017.01.001","ISSN":"1672-0229","issue":"1","journalAbbreviation":"Genomics, Proteomics &amp; Bioinformatics","page":"14-18","title":"GSA: Genome Sequence Archive*","volume":"15","author":[{"family":"Wang","given":"Yanqing"},{"family":"Song","given":"Fuhai"},{"family":"Zhu","given":"Junwei"},{"family":"Zhang","given":"Sisi"},{"family":"Yang","given":"Yadong"},{"family":"Chen","given":"Tingting"},{"family":"Tang","given":"Bixia"},{"family":"Dong","given":"Lili"},{"family":"Ding","given":"Nan"},{"family":"Zhang","given":"Qian"},{"family":"Bai","given":"Zhouxian"},{"family":"Dong","given":"Xunong"},{"family":"Chen","given":"Huanxin"},{"family":"Sun","given":"Mingyuan"},{"family":"Zhai","given":"Shuang"},{"family":"Sun","given":"Yubin"},{"family":"Yu","given":"Lei"},{"family":"Lan","given":"Li"},{"family":"Xiao","given":"Jingfa"},{"family":"Fang","given":"Xiangdong"},{"family":"Lei","given":"Hongxing"},{"family":"Zhang","given":"Zhang"},{"family":"Zhao","given":"Wenming"}],"issued":{"date-parts":[["2017",2,1]]}}}],"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[13]</w:t>
            </w:r>
            <w:r w:rsidRPr="00635627">
              <w:rPr>
                <w:rFonts w:ascii="Times New Roman" w:hAnsi="Times New Roman" w:cs="Times New Roman"/>
                <w:szCs w:val="21"/>
              </w:rPr>
              <w:fldChar w:fldCharType="end"/>
            </w:r>
          </w:p>
        </w:tc>
        <w:tc>
          <w:tcPr>
            <w:tcW w:w="1985" w:type="dxa"/>
            <w:tcBorders>
              <w:top w:val="single" w:sz="4" w:space="0" w:color="auto"/>
              <w:left w:val="nil"/>
              <w:bottom w:val="nil"/>
              <w:right w:val="nil"/>
            </w:tcBorders>
            <w:vAlign w:val="center"/>
          </w:tcPr>
          <w:p w14:paraId="0C1D6ED0"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PRJCA017256</w:t>
            </w:r>
          </w:p>
        </w:tc>
      </w:tr>
      <w:tr w:rsidR="00CB58D4" w:rsidRPr="00635627" w14:paraId="3D0F4CEF" w14:textId="77777777" w:rsidTr="00BC562B">
        <w:tc>
          <w:tcPr>
            <w:tcW w:w="3119" w:type="dxa"/>
            <w:vMerge/>
            <w:tcBorders>
              <w:left w:val="nil"/>
              <w:bottom w:val="nil"/>
              <w:right w:val="nil"/>
            </w:tcBorders>
            <w:vAlign w:val="center"/>
          </w:tcPr>
          <w:p w14:paraId="4BF0F7BC" w14:textId="77777777" w:rsidR="00CB58D4" w:rsidRPr="00635627" w:rsidRDefault="00CB58D4" w:rsidP="00BC562B">
            <w:pPr>
              <w:spacing w:beforeLines="50" w:before="156" w:afterLines="50" w:after="156"/>
              <w:jc w:val="center"/>
              <w:rPr>
                <w:rFonts w:ascii="Times New Roman" w:hAnsi="Times New Roman" w:cs="Times New Roman"/>
                <w:szCs w:val="21"/>
              </w:rPr>
            </w:pPr>
          </w:p>
        </w:tc>
        <w:tc>
          <w:tcPr>
            <w:tcW w:w="1701" w:type="dxa"/>
            <w:tcBorders>
              <w:top w:val="nil"/>
              <w:left w:val="nil"/>
              <w:bottom w:val="single" w:sz="4" w:space="0" w:color="auto"/>
              <w:right w:val="nil"/>
            </w:tcBorders>
            <w:vAlign w:val="center"/>
          </w:tcPr>
          <w:p w14:paraId="765CD451" w14:textId="21E28D5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Bacterial culture smRNA-seq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{"citationID":"ewQCHfYB","properties":{"unsorted":false,"formattedCitation":"[14]","plainCitation":"[14]","noteIndex":0},"citationItems":[{"id":29,"uris":["http://zotero.org/users/19832712/items/4A9WF3PA"],"itemData":{"id":29,"type":"article-journal","abstract":"Bacteria colonize almost all parts of the human body and can differ significantly. However, the population level transcriptomics measurements can only describe the average bacteria population behaviors, ignoring the heterogeneity among bacteria. Here, we report a droplet-based high-throughput single-microbe RNA-seq assay (smRandom-seq), using random primers for in situ cDNA generation, droplets for single-microbe barcoding, and CRISPR-based rRNA depletion for mRNA enrichment. smRandom-seq showed a high species specificity (99%), a minor doublet rate (1.6%), a reduced rRNA percentage (32%), and a sensitive gene detection (a median of ~1000 genes per single E. coli). Furthermore, smRandom-seq successfully captured transcriptome changes of thousands of individual E. coli and discovered a few antibiotic resistant subpopulations displaying distinct gene expression patterns of SOS response and metabolic pathways in E. coli population upon antibiotic stress. smRandom-seq provides a high-throughput single-microbe transcriptome profiling tool that will facilitate future discoveries in microbial resistance, persistence, microbe-host interaction, and microbiome research.","container-title":"Nature Communications","DOI":"10.1038/s41467-023-40137-9","ISSN":"2041-1723","issue":"1","journalAbbreviation":"Nature Communications","page":"5130","title":"Droplet-based high-throughput single microbe RNA sequencing by smRandom-seq","volume":"14","author":[{"family":"Xu","given":"Ziye"},{"family":"Wang","given":"Yuting"},{"family":"Sheng","given":"Kuanwei"},{"family":"Rosenthal","given":"Raoul"},{"family":"Liu","given":"Nan"},{"family":"Hua","given":"Xiaoting"},{"family":"Zhang","given":"Tianyu"},{"family":"Chen","given":"Jiaye"},{"family":"Song","given":"Mengdi"},{"family":"Lv","given":"Yuexiao"},{"family":"Zhang","given":"Shunji"},{"family":"Huang","given":"Yingjuan"},{"family":"Wang","given":"Zhaolun"},{"family":"Cao","given":"Ting"},{"family":"Shen","given":"Yifei"},{"family":"Jiang","given":"Yan"},{"family":"Yu","given":"Yunsong"},{"family":"Chen","given":"Yu"},{"family":"Guo","given":"Guoji"},{"family":"Yin","given":"Peng"},{"family":"Weitz","given":"David A."},{"family":"Wang","given":"Yongcheng"}],"issued":{"date-parts":[["2023",8,23]]}}}],"schema":"https://github.com/citation-style-language/schema/raw/master/csl-citation.json"}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[14]</w:t>
            </w:r>
            <w:r w:rsidRPr="00635627">
              <w:rPr>
                <w:rFonts w:ascii="Times New Roman" w:hAnsi="Times New Roman" w:cs="Times New Roman"/>
                <w:szCs w:val="21"/>
              </w:rPr>
              <w:fldChar w:fldCharType="end"/>
            </w:r>
          </w:p>
        </w:tc>
        <w:tc>
          <w:tcPr>
            <w:tcW w:w="1559" w:type="dxa"/>
            <w:tcBorders>
              <w:top w:val="nil"/>
              <w:left w:val="nil"/>
              <w:bottom w:val="single" w:sz="4" w:space="0" w:color="auto"/>
              <w:right w:val="nil"/>
            </w:tcBorders>
            <w:vAlign w:val="center"/>
          </w:tcPr>
          <w:p w14:paraId="624A0C47"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Genome Sequence Archive</w:t>
            </w:r>
          </w:p>
        </w:tc>
        <w:tc>
          <w:tcPr>
            <w:tcW w:w="1985" w:type="dxa"/>
            <w:tcBorders>
              <w:top w:val="nil"/>
              <w:left w:val="nil"/>
              <w:bottom w:val="single" w:sz="4" w:space="0" w:color="auto"/>
              <w:right w:val="nil"/>
            </w:tcBorders>
            <w:vAlign w:val="center"/>
          </w:tcPr>
          <w:p w14:paraId="4DC5EC83"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CRA011274</w:t>
            </w:r>
          </w:p>
        </w:tc>
      </w:tr>
      <w:tr w:rsidR="00CB58D4" w:rsidRPr="00635627" w14:paraId="56901023" w14:textId="77777777" w:rsidTr="00BC562B">
        <w:tc>
          <w:tcPr>
            <w:tcW w:w="3119" w:type="dxa"/>
            <w:tcBorders>
              <w:top w:val="nil"/>
              <w:left w:val="nil"/>
              <w:bottom w:val="nil"/>
              <w:right w:val="nil"/>
            </w:tcBorders>
            <w:vAlign w:val="center"/>
          </w:tcPr>
          <w:p w14:paraId="0F074385"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Gene perturbation prediction</w:t>
            </w:r>
          </w:p>
        </w:tc>
        <w:tc>
          <w:tcPr>
            <w:tcW w:w="1701" w:type="dxa"/>
            <w:tcBorders>
              <w:top w:val="single" w:sz="4" w:space="0" w:color="auto"/>
              <w:left w:val="nil"/>
              <w:bottom w:val="single" w:sz="4" w:space="0" w:color="auto"/>
              <w:right w:val="nil"/>
            </w:tcBorders>
            <w:vAlign w:val="center"/>
          </w:tcPr>
          <w:p w14:paraId="24B5FEDD" w14:textId="4F9FD095"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Adamson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{"citationID":"Moc4kEOg","properties":{"unsorted":false,"formattedCitation":"[15]","plainCitation":"[15]","noteIndex":0},"citationItems":[{"id":30,"uris":["http://zotero.org/users/19832712/items/YK8QRRLP"],"itemData":{"id":30,"type":"article-journal","abstract":"Functional genomics efforts face tradeoffs between number of perturbations examined and complexity of phenotypes measured. We bridge this gap with Perturb-seq, which combines droplet-based single-cell RNA-seq with a strategy for barcoding CRISPR-mediated perturbations, allowing many perturbations to be profiled in pooled format. We applied Perturb-seq to dissect the mammalian unfolded protein response (UPR) using single and combinatorial CRISPR perturbations. Two genome-scale CRISPR interference (CRISPRi) screens identified genes whose repression perturbs ER homeostasis. Subjecting ?100 hits to Perturb-seq enabled high-precision functional clustering of genes. Single-cell analyses decoupled the three UPR branches, revealed bifurcated UPR branch activation among cells subject to the same perturbation, and uncovered differential activation of the branches across hits, including an isolated feedback loop between the translocon and IRE1α. These studies provide insight into how the three sensors of ER homeostasis monitor distinct types of stress and highlight the ability of Perturb-seq to dissect complex cellular responses.","container-title":"Cell","DOI":"10.1016/j.cell.2016.11.048","ISSN":"0092-8674","issue":"7","page":"1867-1882.e21","publisher":"Elsevier","title":"A Multiplexed Single-Cell CRISPR Screening Platform Enables Systematic Dissection of the Unfolded Protein Response","volume":"167","author":[{"family":"Adamson","given":"Britt"},{"family":"Norman","given":"Thomas M."},{"family":"Jost","given":"Marco"},{"family":"Cho","given":"Min Y."},{"family":"Nuñez","given":"James K."},{"family":"Chen","given":"Yuwen"},{"family":"Villalta","given":"Jacqueline E."},{"family":"Gilbert","given":"Luke A."},{"family":"Horlbeck","given":"Max A."},{"family":"Hein","given":"Marco Y."},{"family":"Pak","given":"Ryan A."},{"family":"Gray","given":"Andrew N."},{"family":"Gross","given":"Carol A."},{"family":"Dixit","given":"Atray"},{"family":"Parnas","given":"Oren"},{"family":"Regev","given":"Aviv"},{"family":"Weissman","given":"Jonathan S."}],"issued":{"date-parts":[["2016",12,15]]}}}],"schema":"https://github.com/citation-style-language/schema/raw/master/csl-citation.json"}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[15]</w:t>
            </w:r>
            <w:r w:rsidRPr="00635627">
              <w:rPr>
                <w:rFonts w:ascii="Times New Roman" w:hAnsi="Times New Roman" w:cs="Times New Roman"/>
                <w:szCs w:val="21"/>
              </w:rPr>
              <w:fldChar w:fldCharType="end"/>
            </w:r>
          </w:p>
        </w:tc>
        <w:tc>
          <w:tcPr>
            <w:tcW w:w="1559" w:type="dxa"/>
            <w:tcBorders>
              <w:top w:val="single" w:sz="4" w:space="0" w:color="auto"/>
              <w:left w:val="nil"/>
              <w:bottom w:val="single" w:sz="4" w:space="0" w:color="auto"/>
              <w:right w:val="nil"/>
            </w:tcBorders>
            <w:vAlign w:val="center"/>
          </w:tcPr>
          <w:p w14:paraId="74FF2AF1"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GEO</w:t>
            </w:r>
          </w:p>
        </w:tc>
        <w:tc>
          <w:tcPr>
            <w:tcW w:w="1985" w:type="dxa"/>
            <w:tcBorders>
              <w:top w:val="single" w:sz="4" w:space="0" w:color="auto"/>
              <w:left w:val="nil"/>
              <w:bottom w:val="single" w:sz="4" w:space="0" w:color="auto"/>
              <w:right w:val="nil"/>
            </w:tcBorders>
            <w:vAlign w:val="center"/>
          </w:tcPr>
          <w:p w14:paraId="7C1F4467"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GSE90546</w:t>
            </w:r>
          </w:p>
        </w:tc>
      </w:tr>
      <w:tr w:rsidR="00CB58D4" w:rsidRPr="00635627" w14:paraId="4B596AAE" w14:textId="77777777" w:rsidTr="00BC562B">
        <w:tc>
          <w:tcPr>
            <w:tcW w:w="3119" w:type="dxa"/>
            <w:tcBorders>
              <w:top w:val="nil"/>
              <w:left w:val="nil"/>
              <w:bottom w:val="nil"/>
              <w:right w:val="nil"/>
            </w:tcBorders>
            <w:vAlign w:val="center"/>
          </w:tcPr>
          <w:p w14:paraId="6FC7FE21"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SNP-associated gene expressions</w:t>
            </w:r>
          </w:p>
        </w:tc>
        <w:tc>
          <w:tcPr>
            <w:tcW w:w="1701" w:type="dxa"/>
            <w:tcBorders>
              <w:top w:val="single" w:sz="4" w:space="0" w:color="auto"/>
              <w:left w:val="nil"/>
              <w:bottom w:val="single" w:sz="4" w:space="0" w:color="auto"/>
              <w:right w:val="nil"/>
            </w:tcBorders>
            <w:vAlign w:val="center"/>
          </w:tcPr>
          <w:p w14:paraId="666D3C03" w14:textId="34368392"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OneK1K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{"citationID":"r49p9PRI","properties":{"unsorted":false,"formattedCitation":"[16]","plainCitation":"[16]","noteIndex":0},"citationItems":[{"id":35,"uris":["http://zotero.org/users/19832712/items/E4EEQB3U"],"itemData":{"id":35,"type":"article-journal","abstract":"The human immune system displays substantial variation between individuals, leading to differences in susceptibility to autoimmune disease. We present single-cell RNA sequencing (scRNA-seq) data from 1,267,758 peripheral blood mononuclear cells from 982 healthy human subjects. For 14 cell types, we identified 26,597 independent cis-expression quantitative trait loci (eQTLs) and 990 trans-eQTLs, with most showing cell type?specific effects on gene expression. We subsequently show how eQTLs have dynamic allelic effects in B cells that are transitioning from naïve to memory states and demonstrate how commonly segregating alleles lead to interindividual variation in immune function. Finally, using a Mendelian randomization approach, we identify the causal route by which 305 risk loci contribute to autoimmune disease at the cellular level. This work brings together genetic epidemiology with scRNA-seq to uncover drivers of interindividual variation in the immune system. Diseases involving the immune system are heritable, but it is unknown how genetic variation contributes to different diseases. To identify how implicated loci affect gene expression in immune cells from individuals from different populations, two groups performed single-cell RNA sequencing of immune cells, with each study investigating hundreds of individuals and more than 1 million immune cells (see the Perspective by Sumida and Hafler). These studies examined both proximal (cis) and distal (trans) genetic variants affecting gene expression in 14 different immune cell types. Perez et al. studied healthy individuals of both European and Asian descent, as well as individuals diagnosed with systemic lupus erythematosus. Yazar et al. performed a population-based study investigating how segregating alleles contribute to variation in immune function. Integrating these data with autoimmune disease cohorts identifies causal effects for more than 160 loci. Both studies observe how gene expression patterns are cell-type and context specific and can explain observed variation in immune cell function among individuals. Both studies also identify causal links between genome-wide analyses and expression quantitative trait loci, identifying potential mechanisms underlying autoimmune diseases. ?LMZ Cell type and context affects gene expression affecting immune-mediated disease.","container-title":"Science","DOI":"10.1126/science.abf3041","issue":"6589","journalAbbreviation":"Science","page":"eabf3041","publisher":"American Association for the Advancement of Science","title":"Single-cell eQTL mapping identifies cell type–specific genetic control of autoimmune disease","volume":"376","author":[{"family":"Yazar","given":"Seyhan"},{"family":"Alquicira-Hernandez","given":"Jose"},{"family":"Wing","given":"Kristof"},{"family":"Senabouth","given":"Anne"},{"family":"Gordon","given":"M. Grace"},{"family":"Andersen","given":"Stacey"},{"family":"Lu","given":"Qinyi"},{"family":"Rowson","given":"Antonia"},{"family":"Taylor","given":"Thomas R. P."},{"family":"Clarke","given":"Linda"},{"family":"Maccora","given":"Katia"},{"family":"Chen","given":"Christine"},{"family":"Cook","given":"Anthony L."},{"family":"Ye","given":"Chun Jimmie"},{"family":"Fairfax","given":"Kirsten A."},{"family":"Hewitt","given":"Alex W."},{"family":"Powell","given":"Joseph E."}],"issued":{"date-parts":[["2022",8,8]]}}}],"schema":"https://github.com/citation-style-language/schema/raw/master/csl-citation.json"}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[16]</w:t>
            </w:r>
            <w:r w:rsidRPr="00635627">
              <w:rPr>
                <w:rFonts w:ascii="Times New Roman" w:hAnsi="Times New Roman" w:cs="Times New Roman"/>
                <w:szCs w:val="21"/>
              </w:rPr>
              <w:fldChar w:fldCharType="end"/>
            </w:r>
          </w:p>
        </w:tc>
        <w:tc>
          <w:tcPr>
            <w:tcW w:w="1559" w:type="dxa"/>
            <w:tcBorders>
              <w:top w:val="single" w:sz="4" w:space="0" w:color="auto"/>
              <w:left w:val="nil"/>
              <w:bottom w:val="single" w:sz="4" w:space="0" w:color="auto"/>
              <w:right w:val="nil"/>
            </w:tcBorders>
            <w:vAlign w:val="center"/>
          </w:tcPr>
          <w:p w14:paraId="07A41B08"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GEO</w:t>
            </w:r>
          </w:p>
        </w:tc>
        <w:tc>
          <w:tcPr>
            <w:tcW w:w="1985" w:type="dxa"/>
            <w:tcBorders>
              <w:top w:val="single" w:sz="4" w:space="0" w:color="auto"/>
              <w:left w:val="nil"/>
              <w:bottom w:val="single" w:sz="4" w:space="0" w:color="auto"/>
              <w:right w:val="nil"/>
            </w:tcBorders>
            <w:vAlign w:val="center"/>
          </w:tcPr>
          <w:p w14:paraId="3DADB083"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GSE196830</w:t>
            </w:r>
          </w:p>
        </w:tc>
      </w:tr>
      <w:tr w:rsidR="00CB58D4" w:rsidRPr="00635627" w14:paraId="68CEABC7" w14:textId="77777777" w:rsidTr="00BC562B">
        <w:tc>
          <w:tcPr>
            <w:tcW w:w="3119" w:type="dxa"/>
            <w:vMerge w:val="restart"/>
            <w:tcBorders>
              <w:top w:val="nil"/>
              <w:left w:val="nil"/>
              <w:right w:val="nil"/>
            </w:tcBorders>
            <w:vAlign w:val="center"/>
          </w:tcPr>
          <w:p w14:paraId="405E6DED"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Viral load prediction</w:t>
            </w:r>
          </w:p>
        </w:tc>
        <w:tc>
          <w:tcPr>
            <w:tcW w:w="1701" w:type="dxa"/>
            <w:tcBorders>
              <w:top w:val="single" w:sz="4" w:space="0" w:color="auto"/>
              <w:left w:val="nil"/>
              <w:bottom w:val="nil"/>
              <w:right w:val="nil"/>
            </w:tcBorders>
            <w:vAlign w:val="center"/>
          </w:tcPr>
          <w:p w14:paraId="01ABF957" w14:textId="4FF71C12"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PR8_A549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{"citationID":"nA5KHyJr","properties":{"unsorted":false,"formattedCitation":"[17]","plainCitation":"[17]","noteIndex":0},"citationItems":[{"id":40,"uris":["http://zotero.org/users/19832712/items/UIFKMRVI"],"itemData":{"id":40,"type":"article-journal","container-title":"Journal of Virology","DOI":"10.1128/jvi.00559-19","issue":"20","journalAbbreviation":"Journal of Virology","page":"10.1128/jvi.00559-19","publisher":"American Society for Microbiology","title":"Innate Immune Response to Influenza Virus at Single-Cell Resolution in Human Epithelial Cells Revealed Paracrine Induction of Interferon Lambda 1","volume":"93","author":[{"literal":"Ramos Irene"},{"literal":"Smith Gregory"},{"literal":"Ruf-Zamojski Frederique"},{"literal":"Martínez-Romero Carles"},{"literal":"Fribourg Miguel"},{"literal":"Carbajal Edwin A."},{"literal":"Hartmann Boris M."},{"literal":"Nair Venugopalan D."},{"literal":"Marjanovic Nada"},{"literal":"Monteagudo Paula L."},{"literal":"DeJesus Veronica A."},{"literal":"Mutetwa Tinaye"},{"literal":"Zamojski Michel"},{"literal":"Tan Gene S."},{"literal":"Jayaprakash Ciriyam"},{"literal":"Zaslavsky Elena"},{"literal":"Albrecht Randy A."},{"literal":"Sealfon Stuart C."},{"literal":"García-Sastre Adolfo"},{"literal":"Fernandez-Sesma Ana"}],"issued":{"date-parts":[["2019",9,30]]}}}],"schema":"https://github.com/citation-style-language/schema/raw/master/csl-citation.json"}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[17]</w:t>
            </w:r>
            <w:r w:rsidRPr="00635627">
              <w:rPr>
                <w:rFonts w:ascii="Times New Roman" w:hAnsi="Times New Roman" w:cs="Times New Roman"/>
                <w:szCs w:val="21"/>
              </w:rPr>
              <w:fldChar w:fldCharType="end"/>
            </w:r>
          </w:p>
        </w:tc>
        <w:tc>
          <w:tcPr>
            <w:tcW w:w="1559" w:type="dxa"/>
            <w:tcBorders>
              <w:top w:val="single" w:sz="4" w:space="0" w:color="auto"/>
              <w:left w:val="nil"/>
              <w:bottom w:val="nil"/>
              <w:right w:val="nil"/>
            </w:tcBorders>
            <w:vAlign w:val="center"/>
          </w:tcPr>
          <w:p w14:paraId="3D8922B9"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GEO</w:t>
            </w:r>
          </w:p>
        </w:tc>
        <w:tc>
          <w:tcPr>
            <w:tcW w:w="1985" w:type="dxa"/>
            <w:tcBorders>
              <w:top w:val="single" w:sz="4" w:space="0" w:color="auto"/>
              <w:left w:val="nil"/>
              <w:bottom w:val="nil"/>
              <w:right w:val="nil"/>
            </w:tcBorders>
            <w:vAlign w:val="center"/>
          </w:tcPr>
          <w:p w14:paraId="5105DBD0"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GSE122031</w:t>
            </w:r>
          </w:p>
        </w:tc>
      </w:tr>
      <w:tr w:rsidR="00CB58D4" w:rsidRPr="00635627" w14:paraId="5B3A873E" w14:textId="77777777" w:rsidTr="00BC562B">
        <w:tc>
          <w:tcPr>
            <w:tcW w:w="3119" w:type="dxa"/>
            <w:vMerge/>
            <w:tcBorders>
              <w:left w:val="nil"/>
              <w:right w:val="nil"/>
            </w:tcBorders>
            <w:vAlign w:val="center"/>
          </w:tcPr>
          <w:p w14:paraId="5BA0DCBD" w14:textId="77777777" w:rsidR="00CB58D4" w:rsidRPr="00635627" w:rsidRDefault="00CB58D4" w:rsidP="00BC562B">
            <w:pPr>
              <w:spacing w:beforeLines="50" w:before="156" w:afterLines="50" w:after="156"/>
              <w:jc w:val="center"/>
              <w:rPr>
                <w:rFonts w:ascii="Times New Roman" w:hAnsi="Times New Roman" w:cs="Times New Roman"/>
                <w:szCs w:val="21"/>
              </w:rPr>
            </w:pPr>
          </w:p>
        </w:tc>
        <w:tc>
          <w:tcPr>
            <w:tcW w:w="1701" w:type="dxa"/>
            <w:tcBorders>
              <w:top w:val="nil"/>
              <w:left w:val="nil"/>
              <w:bottom w:val="nil"/>
              <w:right w:val="nil"/>
            </w:tcBorders>
            <w:vAlign w:val="center"/>
          </w:tcPr>
          <w:p w14:paraId="45412AA2" w14:textId="7C561FB4"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Cal07_ A549 and Perth09_ A549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{"citationID":"g6XHLw1J","properties":{"unsorted":false,"formattedCitation":"[18]","plainCitation":"[18]","noteIndex":0},"citationItems":[{"id":42,"uris":["http://zotero.org/users/19832712/items/KK8GMQI2"],"itemData":{"id":42,"type":"article-journal","abstract":"Author summary The combination of the enormous diversity of viral populations, underlying heterogeneity within host cells, and random chance mean that no two infected cells look exactly the same. The role that single cell heterogeneity plays in determining infection outcomes remains very poorly understood. Here, we describe an approach that allowed us to quantify both viral and host gene expression in thousands of influenza A virus infected cells. We observed an enormous degree of heterogeneity in both viral and host gene expression between individual infected cells. We found that virions that fail to express the viral NS gene can be major drivers of host antiviral immune activation. Comparison of antiviral gene expression patterns between H1N1 and H3N2 infection revealed surprising differences in single cell patterns of innate immune activation. Altogether, these studies identify patterns of single cell heterogeneity in both host and viral gene expression as a significant driver of infection outcomes.","container-title":"PLOS Pathogens","DOI":"10.1371/journal.ppat.1008671","issue":"7","journalAbbreviation":"PLOS Pathogens","page":"e1008671","publisher":"Public Library of Science","title":"Single cell heterogeneity in influenza A virus gene expression shapes the innate antiviral response to infection","volume":"16","author":[{"family":"Sun","given":"Jiayi"},{"family":"Vera","given":"J. Cristobal"},{"family":"Drnevich","given":"Jenny"},{"family":"Lin","given":"Yen Ting"},{"family":"Ke","given":"Ruian"},{"family":"Brooke","given":"Christopher B."}],"issued":{"date-parts":[["2020",7,2]]}}}],"schema":"https://github.com/citation-style-language/schema/raw/master/csl-citation.json"}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[18]</w:t>
            </w:r>
            <w:r w:rsidRPr="00635627">
              <w:rPr>
                <w:rFonts w:ascii="Times New Roman" w:hAnsi="Times New Roman" w:cs="Times New Roman"/>
                <w:szCs w:val="21"/>
              </w:rPr>
              <w:fldChar w:fldCharType="end"/>
            </w:r>
          </w:p>
        </w:tc>
        <w:tc>
          <w:tcPr>
            <w:tcW w:w="1559" w:type="dxa"/>
            <w:tcBorders>
              <w:top w:val="nil"/>
              <w:left w:val="nil"/>
              <w:bottom w:val="nil"/>
              <w:right w:val="nil"/>
            </w:tcBorders>
            <w:vAlign w:val="center"/>
          </w:tcPr>
          <w:p w14:paraId="700D58DF"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GEO</w:t>
            </w:r>
          </w:p>
        </w:tc>
        <w:tc>
          <w:tcPr>
            <w:tcW w:w="1985" w:type="dxa"/>
            <w:tcBorders>
              <w:top w:val="nil"/>
              <w:left w:val="nil"/>
              <w:bottom w:val="nil"/>
              <w:right w:val="nil"/>
            </w:tcBorders>
            <w:vAlign w:val="center"/>
          </w:tcPr>
          <w:p w14:paraId="4B1762EA"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GSE143167</w:t>
            </w:r>
          </w:p>
        </w:tc>
      </w:tr>
      <w:tr w:rsidR="00CB58D4" w:rsidRPr="00635627" w14:paraId="2BA514CC" w14:textId="77777777" w:rsidTr="00BC562B">
        <w:tc>
          <w:tcPr>
            <w:tcW w:w="3119" w:type="dxa"/>
            <w:vMerge/>
            <w:tcBorders>
              <w:left w:val="nil"/>
              <w:right w:val="nil"/>
            </w:tcBorders>
            <w:vAlign w:val="center"/>
          </w:tcPr>
          <w:p w14:paraId="6F63465D" w14:textId="77777777" w:rsidR="00CB58D4" w:rsidRPr="00635627" w:rsidRDefault="00CB58D4" w:rsidP="00BC562B">
            <w:pPr>
              <w:spacing w:beforeLines="50" w:before="156" w:afterLines="50" w:after="156"/>
              <w:jc w:val="center"/>
              <w:rPr>
                <w:rFonts w:ascii="Times New Roman" w:hAnsi="Times New Roman" w:cs="Times New Roman"/>
                <w:szCs w:val="21"/>
              </w:rPr>
            </w:pPr>
          </w:p>
        </w:tc>
        <w:tc>
          <w:tcPr>
            <w:tcW w:w="1701" w:type="dxa"/>
            <w:tcBorders>
              <w:top w:val="nil"/>
              <w:left w:val="nil"/>
              <w:bottom w:val="nil"/>
              <w:right w:val="nil"/>
            </w:tcBorders>
            <w:vAlign w:val="center"/>
          </w:tcPr>
          <w:p w14:paraId="4E8F4CC1" w14:textId="3BC173E1"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PR8_LCLs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{"citationID":"muQvcmhf","properties":{"unsorted":false,"formattedCitation":"[19]","plainCitation":"[19]","noteIndex":0},"citationItems":[{"id":43,"uris":["http://zotero.org/users/19832712/items/HNCA9KAC"],"itemData":{"id":43,"type":"article-journal","abstract":"During pandemics, individuals exhibit differences in risk and clinical outcomes. Here, we developed single-cell high-throughput human in vitro susceptibility testing (scHi-HOST), a method for rapidly identifying genetic variants that confer resistance and susceptibility. We applied this method to influenza A virus (IAV), the cause of four pandemics since the start of the 20th century. scHi-HOST leverages single-cell RNA sequencing (scRNA-seq) to simultaneously assign genetic identity to cells in mixed infections of cell lines of European, African, and Asian origin, reveal associated genetic variants for viral burden, and identify expression quantitative trait loci. Integration of scHi-HOST with human challenge and experimental validation demonstrated that a missense variant in endoplasmic reticulum aminopeptidase 1 (ERAP1; rs27895) increased IAV burden in cells and human volunteers. rs27895 exhibits population differentiation, likely contributing to greater permissivity of cells from African populations to IAV. scHi-HOST is a broadly applicable method and resource for decoding infectious-disease genetics.","container-title":"Cell Genomics","DOI":"10.1016/j.xgen.2022.100207","ISSN":"2666-979X","issue":"11","publisher":"Elsevier","title":"Single-cell genome-wide association reveals that a nonsynonymous variant in ERAP1 confers increased susceptibility to influenza virus","URL":"https://doi.org/10.1016/j.xgen.2022.100207","volume":"2","author":[{"family":"Schott","given":"Benjamin H."},{"family":"Wang","given":"Liuyang"},{"family":"Zhu","given":"Xinyu"},{"family":"Harding","given":"Alfred T."},{"family":"Ko","given":"Emily R."},{"family":"Bourgeois","given":"Jeffrey S."},{"family":"Washington","given":"Erica J."},{"family":"Burke","given":"Thomas W."},{"family":"Anderson","given":"Jack"},{"family":"Bergstrom","given":"Emma"},{"family":"Gardener","given":"Zoe"},{"family":"Paterson","given":"Suzanna"},{"family":"Brennan","given":"Richard G."},{"family":"Chiu","given":"Christopher"},{"family":"McClain","given":"Micah T."},{"family":"Woods","given":"Christopher W."},{"family":"Gregory","given":"Simon G."},{"family":"Heaton","given":"Nicholas S."},{"family":"Ko","given":"Dennis C."}],"accessed":{"date-parts":[["2026",5,29]]},"issued":{"date-parts":[["2022",11,9]]}}}],"schema":"https://github.com/citation-style-language/schema/raw/master/csl-citation.json"}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[19]</w:t>
            </w:r>
            <w:r w:rsidRPr="00635627">
              <w:rPr>
                <w:rFonts w:ascii="Times New Roman" w:hAnsi="Times New Roman" w:cs="Times New Roman"/>
                <w:szCs w:val="21"/>
              </w:rPr>
              <w:fldChar w:fldCharType="end"/>
            </w:r>
          </w:p>
        </w:tc>
        <w:tc>
          <w:tcPr>
            <w:tcW w:w="1559" w:type="dxa"/>
            <w:tcBorders>
              <w:top w:val="nil"/>
              <w:left w:val="nil"/>
              <w:bottom w:val="nil"/>
              <w:right w:val="nil"/>
            </w:tcBorders>
            <w:vAlign w:val="center"/>
          </w:tcPr>
          <w:p w14:paraId="6A806266"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GEO</w:t>
            </w:r>
          </w:p>
        </w:tc>
        <w:tc>
          <w:tcPr>
            <w:tcW w:w="1985" w:type="dxa"/>
            <w:tcBorders>
              <w:top w:val="nil"/>
              <w:left w:val="nil"/>
              <w:bottom w:val="nil"/>
              <w:right w:val="nil"/>
            </w:tcBorders>
            <w:vAlign w:val="center"/>
          </w:tcPr>
          <w:p w14:paraId="5A4BDE89"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GSE205796</w:t>
            </w:r>
          </w:p>
        </w:tc>
      </w:tr>
      <w:tr w:rsidR="00CB58D4" w:rsidRPr="00635627" w14:paraId="7359D9CB" w14:textId="77777777" w:rsidTr="00BC562B">
        <w:tc>
          <w:tcPr>
            <w:tcW w:w="3119" w:type="dxa"/>
            <w:vMerge/>
            <w:tcBorders>
              <w:left w:val="nil"/>
              <w:bottom w:val="single" w:sz="4" w:space="0" w:color="auto"/>
              <w:right w:val="nil"/>
            </w:tcBorders>
            <w:vAlign w:val="center"/>
          </w:tcPr>
          <w:p w14:paraId="771BA694" w14:textId="77777777" w:rsidR="00CB58D4" w:rsidRPr="00635627" w:rsidRDefault="00CB58D4" w:rsidP="00BC562B">
            <w:pPr>
              <w:spacing w:beforeLines="50" w:before="156" w:afterLines="50" w:after="156"/>
              <w:jc w:val="center"/>
              <w:rPr>
                <w:rFonts w:ascii="Times New Roman" w:hAnsi="Times New Roman" w:cs="Times New Roman"/>
                <w:szCs w:val="21"/>
              </w:rPr>
            </w:pPr>
          </w:p>
        </w:tc>
        <w:tc>
          <w:tcPr>
            <w:tcW w:w="1701" w:type="dxa"/>
            <w:tcBorders>
              <w:top w:val="nil"/>
              <w:left w:val="nil"/>
              <w:bottom w:val="single" w:sz="4" w:space="0" w:color="auto"/>
              <w:right w:val="nil"/>
            </w:tcBorders>
            <w:vAlign w:val="center"/>
          </w:tcPr>
          <w:p w14:paraId="7AD27F1D" w14:textId="6400A912"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Russell </w:t>
            </w:r>
            <w:r w:rsidRPr="00635627">
              <w:rPr>
                <w:rFonts w:ascii="Times New Roman" w:hAnsi="Times New Roman" w:cs="Times New Roman"/>
                <w:szCs w:val="21"/>
              </w:rPr>
              <w:fldChar w:fldCharType="begin"/>
            </w:r>
            <w:r w:rsidR="00635627" w:rsidRPr="00635627">
              <w:rPr>
                <w:rFonts w:ascii="Times New Roman" w:hAnsi="Times New Roman" w:cs="Times New Roman"/>
                <w:szCs w:val="21"/>
              </w:rPr>
              <w:instrText xml:space="preserve"> ADDIN ZOTERO_ITEM CSL_CITATION {"citationID":"gcGN64LD","properties":{"unsorted":false,"formattedCitation":"[20]","plainCitation":"[20]","noteIndex":0},"citationItems":[{"id":39,"uris":["http://zotero.org/users/19832712/items/LCJ7CIFV"],"itemData":{"id":39,"type":"article-journal","abstract":"Viral infection can dramatically alter a cell’s transcriptome. However, these changes have mostly been studied by bulk measurements on many cells. Here we use single-cell mRNA sequencing to examine the transcriptional consequences of influenza virus infection. We find extremely wide cell-to-cell variation in the productivity of viral transcription – viral transcripts comprise less than a percent of total mRNA in many infected cells, but a few cells derive over half their mRNA from virus. Some infected cells fail to express at least one viral gene, but this gene absence only partially explains variation in viral transcriptional load. Despite variation in viral load, the relative abundances of viral mRNAs are fairly consistent across infected cells. Activation of innate immune pathways is rare, but some cellular genes co-vary in abundance with the amount of viral mRNA. Overall, our results highlight the complexity of viral infection at the level of single cells.","container-title":"eLife","DOI":"10.7554/eLife.32303","ISSN":"2050-084X","page":"e32303","publisher":"eLife Sciences Publications, Ltd","title":"Extreme heterogeneity of influenza virus infection in single cells","volume":"7","author":[{"family":"Russell","given":"Alistair B"},{"family":"Trapnell","given":"Cole"},{"family":"Bloom","given":"Jesse D"}],"editor":[{"family":"Chakraborty","given":"Arup K"}],"issued":{"date-parts":[["2018",2,16]]}}}],"schema":"https://github.com/citation-style-language/schema/raw/master/csl-citation.json"} </w:instrText>
            </w:r>
            <w:r w:rsidRPr="00635627">
              <w:rPr>
                <w:rFonts w:ascii="Times New Roman" w:hAnsi="Times New Roman" w:cs="Times New Roman"/>
                <w:szCs w:val="21"/>
              </w:rPr>
              <w:fldChar w:fldCharType="separate"/>
            </w:r>
            <w:r w:rsidR="00635627" w:rsidRPr="00635627">
              <w:rPr>
                <w:rFonts w:ascii="Times New Roman" w:hAnsi="Times New Roman" w:cs="Times New Roman"/>
              </w:rPr>
              <w:t>[20]</w:t>
            </w:r>
            <w:r w:rsidRPr="00635627">
              <w:rPr>
                <w:rFonts w:ascii="Times New Roman" w:hAnsi="Times New Roman" w:cs="Times New Roman"/>
                <w:szCs w:val="21"/>
              </w:rPr>
              <w:fldChar w:fldCharType="end"/>
            </w:r>
          </w:p>
        </w:tc>
        <w:tc>
          <w:tcPr>
            <w:tcW w:w="1559" w:type="dxa"/>
            <w:tcBorders>
              <w:top w:val="nil"/>
              <w:left w:val="nil"/>
              <w:bottom w:val="single" w:sz="4" w:space="0" w:color="auto"/>
              <w:right w:val="nil"/>
            </w:tcBorders>
            <w:vAlign w:val="center"/>
          </w:tcPr>
          <w:p w14:paraId="78636568"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w:t>
            </w:r>
          </w:p>
        </w:tc>
        <w:tc>
          <w:tcPr>
            <w:tcW w:w="1985" w:type="dxa"/>
            <w:tcBorders>
              <w:top w:val="nil"/>
              <w:left w:val="nil"/>
              <w:bottom w:val="single" w:sz="4" w:space="0" w:color="auto"/>
              <w:right w:val="nil"/>
            </w:tcBorders>
            <w:vAlign w:val="center"/>
          </w:tcPr>
          <w:p w14:paraId="183639F3" w14:textId="77777777" w:rsidR="00CB58D4" w:rsidRPr="00635627" w:rsidRDefault="00CB58D4"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datadryad.org/dataset/doi:10.5061/dryad.qp0t3</w:t>
            </w:r>
          </w:p>
        </w:tc>
      </w:tr>
    </w:tbl>
    <w:p w14:paraId="59053BA1" w14:textId="77777777" w:rsidR="00CB58D4" w:rsidRPr="00635627" w:rsidRDefault="00CB58D4" w:rsidP="00811A06">
      <w:pPr>
        <w:spacing w:line="360" w:lineRule="auto"/>
        <w:ind w:firstLine="420"/>
        <w:rPr>
          <w:rFonts w:ascii="Times New Roman" w:hAnsi="Times New Roman" w:cs="Times New Roman"/>
          <w:szCs w:val="21"/>
        </w:rPr>
      </w:pPr>
      <w:r w:rsidRPr="00635627">
        <w:rPr>
          <w:rFonts w:ascii="Times New Roman" w:hAnsi="Times New Roman" w:cs="Times New Roman"/>
          <w:szCs w:val="21"/>
        </w:rPr>
        <w:t>None of the datasets used for downstream tasks were included in the pre-training corpus.</w:t>
      </w:r>
    </w:p>
    <w:p w14:paraId="16B4DA94" w14:textId="7D324046" w:rsidR="00CB58D4" w:rsidRPr="00635627" w:rsidRDefault="00CB58D4">
      <w:pPr>
        <w:widowControl/>
        <w:jc w:val="left"/>
        <w:rPr>
          <w:rFonts w:ascii="Times New Roman" w:hAnsi="Times New Roman" w:cs="Times New Roman"/>
        </w:rPr>
      </w:pPr>
      <w:r w:rsidRPr="00635627">
        <w:rPr>
          <w:rFonts w:ascii="Times New Roman" w:hAnsi="Times New Roman" w:cs="Times New Roman"/>
        </w:rPr>
        <w:br w:type="page"/>
      </w:r>
    </w:p>
    <w:p w14:paraId="044CF216" w14:textId="2F5F8C65" w:rsidR="00CB58D4" w:rsidRPr="00635627" w:rsidRDefault="00CB58D4" w:rsidP="00811A06">
      <w:pPr>
        <w:spacing w:line="360" w:lineRule="auto"/>
        <w:rPr>
          <w:rFonts w:ascii="Times New Roman" w:hAnsi="Times New Roman" w:cs="Times New Roman"/>
          <w:szCs w:val="21"/>
        </w:rPr>
      </w:pPr>
      <w:r w:rsidRPr="00635627">
        <w:rPr>
          <w:rFonts w:ascii="Times New Roman" w:hAnsi="Times New Roman" w:cs="Times New Roman"/>
          <w:szCs w:val="21"/>
        </w:rPr>
        <w:lastRenderedPageBreak/>
        <w:t>Table S3. Task-specific hyperparameters for downstream tasks</w:t>
      </w:r>
    </w:p>
    <w:tbl>
      <w:tblPr>
        <w:tblStyle w:val="a7"/>
        <w:tblW w:w="8222" w:type="dxa"/>
        <w:tblLayout w:type="fixed"/>
        <w:tblLook w:val="04A0" w:firstRow="1" w:lastRow="0" w:firstColumn="1" w:lastColumn="0" w:noHBand="0" w:noVBand="1"/>
      </w:tblPr>
      <w:tblGrid>
        <w:gridCol w:w="1985"/>
        <w:gridCol w:w="1134"/>
        <w:gridCol w:w="1276"/>
        <w:gridCol w:w="708"/>
        <w:gridCol w:w="993"/>
        <w:gridCol w:w="992"/>
        <w:gridCol w:w="1134"/>
      </w:tblGrid>
      <w:tr w:rsidR="00962D5E" w:rsidRPr="00635627" w14:paraId="650B9FEE" w14:textId="77777777" w:rsidTr="00661E17">
        <w:tc>
          <w:tcPr>
            <w:tcW w:w="1985" w:type="dxa"/>
            <w:tcBorders>
              <w:top w:val="single" w:sz="4" w:space="0" w:color="auto"/>
              <w:left w:val="nil"/>
              <w:bottom w:val="single" w:sz="4" w:space="0" w:color="auto"/>
              <w:right w:val="nil"/>
            </w:tcBorders>
            <w:vAlign w:val="center"/>
          </w:tcPr>
          <w:p w14:paraId="16EFEECA"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Tasks</w:t>
            </w:r>
          </w:p>
        </w:tc>
        <w:tc>
          <w:tcPr>
            <w:tcW w:w="1134" w:type="dxa"/>
            <w:tcBorders>
              <w:top w:val="single" w:sz="4" w:space="0" w:color="auto"/>
              <w:left w:val="nil"/>
              <w:bottom w:val="single" w:sz="4" w:space="0" w:color="auto"/>
              <w:right w:val="nil"/>
            </w:tcBorders>
            <w:vAlign w:val="center"/>
          </w:tcPr>
          <w:p w14:paraId="0DA88916"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Maximum epochs</w:t>
            </w:r>
          </w:p>
        </w:tc>
        <w:tc>
          <w:tcPr>
            <w:tcW w:w="1276" w:type="dxa"/>
            <w:tcBorders>
              <w:top w:val="single" w:sz="4" w:space="0" w:color="auto"/>
              <w:left w:val="nil"/>
              <w:bottom w:val="single" w:sz="4" w:space="0" w:color="auto"/>
              <w:right w:val="nil"/>
            </w:tcBorders>
            <w:vAlign w:val="center"/>
          </w:tcPr>
          <w:p w14:paraId="159FD255" w14:textId="3F699D82" w:rsidR="00962D5E" w:rsidRPr="00635627" w:rsidRDefault="00661E17"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Peak l</w:t>
            </w:r>
            <w:r w:rsidR="00962D5E" w:rsidRPr="00635627">
              <w:rPr>
                <w:rFonts w:ascii="Times New Roman" w:hAnsi="Times New Roman" w:cs="Times New Roman"/>
                <w:szCs w:val="21"/>
              </w:rPr>
              <w:t>earning rate</w:t>
            </w:r>
          </w:p>
        </w:tc>
        <w:tc>
          <w:tcPr>
            <w:tcW w:w="708" w:type="dxa"/>
            <w:tcBorders>
              <w:top w:val="single" w:sz="4" w:space="0" w:color="auto"/>
              <w:left w:val="nil"/>
              <w:bottom w:val="single" w:sz="4" w:space="0" w:color="auto"/>
              <w:right w:val="nil"/>
            </w:tcBorders>
            <w:vAlign w:val="center"/>
          </w:tcPr>
          <w:p w14:paraId="2F54C957"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Batch size</w:t>
            </w:r>
          </w:p>
        </w:tc>
        <w:tc>
          <w:tcPr>
            <w:tcW w:w="993" w:type="dxa"/>
            <w:tcBorders>
              <w:top w:val="single" w:sz="4" w:space="0" w:color="auto"/>
              <w:left w:val="nil"/>
              <w:bottom w:val="single" w:sz="4" w:space="0" w:color="auto"/>
              <w:right w:val="nil"/>
            </w:tcBorders>
            <w:vAlign w:val="center"/>
          </w:tcPr>
          <w:p w14:paraId="62BCECDD"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Warmup steps</w:t>
            </w:r>
          </w:p>
        </w:tc>
        <w:tc>
          <w:tcPr>
            <w:tcW w:w="992" w:type="dxa"/>
            <w:tcBorders>
              <w:top w:val="single" w:sz="4" w:space="0" w:color="auto"/>
              <w:left w:val="nil"/>
              <w:bottom w:val="single" w:sz="4" w:space="0" w:color="auto"/>
              <w:right w:val="nil"/>
            </w:tcBorders>
          </w:tcPr>
          <w:p w14:paraId="25908ABE" w14:textId="04E3ACE5"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 xml:space="preserve">Loss </w:t>
            </w:r>
            <w:r w:rsidR="00A10930" w:rsidRPr="00635627">
              <w:rPr>
                <w:rFonts w:ascii="Times New Roman" w:hAnsi="Times New Roman" w:cs="Times New Roman"/>
                <w:szCs w:val="21"/>
              </w:rPr>
              <w:t>t</w:t>
            </w:r>
            <w:r w:rsidRPr="00635627">
              <w:rPr>
                <w:rFonts w:ascii="Times New Roman" w:hAnsi="Times New Roman" w:cs="Times New Roman"/>
                <w:szCs w:val="21"/>
              </w:rPr>
              <w:t>ype</w:t>
            </w:r>
          </w:p>
        </w:tc>
        <w:tc>
          <w:tcPr>
            <w:tcW w:w="1134" w:type="dxa"/>
            <w:tcBorders>
              <w:top w:val="single" w:sz="4" w:space="0" w:color="auto"/>
              <w:left w:val="nil"/>
              <w:bottom w:val="single" w:sz="4" w:space="0" w:color="auto"/>
              <w:right w:val="nil"/>
            </w:tcBorders>
            <w:vAlign w:val="center"/>
          </w:tcPr>
          <w:p w14:paraId="04D7C776" w14:textId="5406D7C5"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Best metric</w:t>
            </w:r>
          </w:p>
        </w:tc>
      </w:tr>
      <w:tr w:rsidR="00962D5E" w:rsidRPr="00635627" w14:paraId="066DA465" w14:textId="77777777" w:rsidTr="00661E17">
        <w:tc>
          <w:tcPr>
            <w:tcW w:w="1985" w:type="dxa"/>
            <w:tcBorders>
              <w:top w:val="single" w:sz="4" w:space="0" w:color="auto"/>
              <w:left w:val="nil"/>
              <w:bottom w:val="nil"/>
              <w:right w:val="nil"/>
            </w:tcBorders>
            <w:vAlign w:val="center"/>
          </w:tcPr>
          <w:p w14:paraId="0A0351CB"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Cross-species cell type prediction</w:t>
            </w:r>
          </w:p>
        </w:tc>
        <w:tc>
          <w:tcPr>
            <w:tcW w:w="1134" w:type="dxa"/>
            <w:tcBorders>
              <w:top w:val="single" w:sz="4" w:space="0" w:color="auto"/>
              <w:left w:val="nil"/>
              <w:bottom w:val="nil"/>
              <w:right w:val="nil"/>
            </w:tcBorders>
            <w:vAlign w:val="center"/>
          </w:tcPr>
          <w:p w14:paraId="3C65948A"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80</w:t>
            </w:r>
          </w:p>
        </w:tc>
        <w:tc>
          <w:tcPr>
            <w:tcW w:w="1276" w:type="dxa"/>
            <w:tcBorders>
              <w:top w:val="single" w:sz="4" w:space="0" w:color="auto"/>
              <w:left w:val="nil"/>
              <w:bottom w:val="nil"/>
              <w:right w:val="nil"/>
            </w:tcBorders>
            <w:vAlign w:val="center"/>
          </w:tcPr>
          <w:p w14:paraId="20004A07"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2×10</w:t>
            </w:r>
            <w:r w:rsidRPr="00635627">
              <w:rPr>
                <w:rFonts w:ascii="Times New Roman" w:hAnsi="Times New Roman" w:cs="Times New Roman"/>
                <w:szCs w:val="21"/>
                <w:vertAlign w:val="superscript"/>
              </w:rPr>
              <w:t>-4</w:t>
            </w:r>
          </w:p>
        </w:tc>
        <w:tc>
          <w:tcPr>
            <w:tcW w:w="708" w:type="dxa"/>
            <w:tcBorders>
              <w:top w:val="single" w:sz="4" w:space="0" w:color="auto"/>
              <w:left w:val="nil"/>
              <w:bottom w:val="nil"/>
              <w:right w:val="nil"/>
            </w:tcBorders>
            <w:vAlign w:val="center"/>
          </w:tcPr>
          <w:p w14:paraId="4624A47E" w14:textId="6B2BD044"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w:t>
            </w:r>
            <w:r w:rsidR="00661E17" w:rsidRPr="00635627">
              <w:rPr>
                <w:rFonts w:ascii="Times New Roman" w:hAnsi="Times New Roman" w:cs="Times New Roman"/>
                <w:szCs w:val="21"/>
              </w:rPr>
              <w:t>6</w:t>
            </w:r>
          </w:p>
        </w:tc>
        <w:tc>
          <w:tcPr>
            <w:tcW w:w="993" w:type="dxa"/>
            <w:tcBorders>
              <w:top w:val="single" w:sz="4" w:space="0" w:color="auto"/>
              <w:left w:val="nil"/>
              <w:bottom w:val="nil"/>
              <w:right w:val="nil"/>
            </w:tcBorders>
            <w:vAlign w:val="center"/>
          </w:tcPr>
          <w:p w14:paraId="06C74739"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1,000</w:t>
            </w:r>
          </w:p>
        </w:tc>
        <w:tc>
          <w:tcPr>
            <w:tcW w:w="992" w:type="dxa"/>
            <w:tcBorders>
              <w:top w:val="single" w:sz="4" w:space="0" w:color="auto"/>
              <w:left w:val="nil"/>
              <w:bottom w:val="nil"/>
              <w:right w:val="nil"/>
            </w:tcBorders>
          </w:tcPr>
          <w:p w14:paraId="42319CB2" w14:textId="04219C4B"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Cross entropy</w:t>
            </w:r>
          </w:p>
        </w:tc>
        <w:tc>
          <w:tcPr>
            <w:tcW w:w="1134" w:type="dxa"/>
            <w:tcBorders>
              <w:top w:val="single" w:sz="4" w:space="0" w:color="auto"/>
              <w:left w:val="nil"/>
              <w:bottom w:val="nil"/>
              <w:right w:val="nil"/>
            </w:tcBorders>
            <w:vAlign w:val="center"/>
          </w:tcPr>
          <w:p w14:paraId="26041A32" w14:textId="2BB0B17D" w:rsidR="00962D5E" w:rsidRPr="00635627" w:rsidRDefault="00643649"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Macro-</w:t>
            </w:r>
            <w:r w:rsidR="00962D5E" w:rsidRPr="00635627">
              <w:rPr>
                <w:rFonts w:ascii="Times New Roman" w:hAnsi="Times New Roman" w:cs="Times New Roman"/>
                <w:szCs w:val="21"/>
              </w:rPr>
              <w:t>F1</w:t>
            </w:r>
          </w:p>
        </w:tc>
      </w:tr>
      <w:tr w:rsidR="00962D5E" w:rsidRPr="00635627" w14:paraId="41A3977F" w14:textId="77777777" w:rsidTr="00661E17">
        <w:tc>
          <w:tcPr>
            <w:tcW w:w="1985" w:type="dxa"/>
            <w:tcBorders>
              <w:top w:val="nil"/>
              <w:left w:val="nil"/>
              <w:bottom w:val="nil"/>
              <w:right w:val="nil"/>
            </w:tcBorders>
            <w:vAlign w:val="center"/>
          </w:tcPr>
          <w:p w14:paraId="37485AF5"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Alignment-free microbe embedding</w:t>
            </w:r>
          </w:p>
        </w:tc>
        <w:tc>
          <w:tcPr>
            <w:tcW w:w="1134" w:type="dxa"/>
            <w:tcBorders>
              <w:top w:val="nil"/>
              <w:left w:val="nil"/>
              <w:bottom w:val="nil"/>
              <w:right w:val="nil"/>
            </w:tcBorders>
            <w:vAlign w:val="center"/>
          </w:tcPr>
          <w:p w14:paraId="6DD63F8B"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100</w:t>
            </w:r>
          </w:p>
        </w:tc>
        <w:tc>
          <w:tcPr>
            <w:tcW w:w="1276" w:type="dxa"/>
            <w:tcBorders>
              <w:top w:val="nil"/>
              <w:left w:val="nil"/>
              <w:bottom w:val="nil"/>
              <w:right w:val="nil"/>
            </w:tcBorders>
            <w:vAlign w:val="center"/>
          </w:tcPr>
          <w:p w14:paraId="4F50AFD5"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2×10</w:t>
            </w:r>
            <w:r w:rsidRPr="00635627">
              <w:rPr>
                <w:rFonts w:ascii="Times New Roman" w:hAnsi="Times New Roman" w:cs="Times New Roman"/>
                <w:szCs w:val="21"/>
                <w:vertAlign w:val="superscript"/>
              </w:rPr>
              <w:t>-4</w:t>
            </w:r>
          </w:p>
        </w:tc>
        <w:tc>
          <w:tcPr>
            <w:tcW w:w="708" w:type="dxa"/>
            <w:tcBorders>
              <w:top w:val="nil"/>
              <w:left w:val="nil"/>
              <w:bottom w:val="nil"/>
              <w:right w:val="nil"/>
            </w:tcBorders>
            <w:vAlign w:val="center"/>
          </w:tcPr>
          <w:p w14:paraId="65764D6D" w14:textId="0AE1AC8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w:t>
            </w:r>
            <w:r w:rsidR="00661E17" w:rsidRPr="00635627">
              <w:rPr>
                <w:rFonts w:ascii="Times New Roman" w:hAnsi="Times New Roman" w:cs="Times New Roman"/>
                <w:szCs w:val="21"/>
              </w:rPr>
              <w:t>6</w:t>
            </w:r>
          </w:p>
        </w:tc>
        <w:tc>
          <w:tcPr>
            <w:tcW w:w="993" w:type="dxa"/>
            <w:tcBorders>
              <w:top w:val="nil"/>
              <w:left w:val="nil"/>
              <w:bottom w:val="nil"/>
              <w:right w:val="nil"/>
            </w:tcBorders>
            <w:vAlign w:val="center"/>
          </w:tcPr>
          <w:p w14:paraId="068540A4"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1,000</w:t>
            </w:r>
          </w:p>
        </w:tc>
        <w:tc>
          <w:tcPr>
            <w:tcW w:w="992" w:type="dxa"/>
            <w:tcBorders>
              <w:top w:val="nil"/>
              <w:left w:val="nil"/>
              <w:bottom w:val="nil"/>
              <w:right w:val="nil"/>
            </w:tcBorders>
          </w:tcPr>
          <w:p w14:paraId="527F7C0B" w14:textId="7D53890B"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Cross entropy</w:t>
            </w:r>
          </w:p>
        </w:tc>
        <w:tc>
          <w:tcPr>
            <w:tcW w:w="1134" w:type="dxa"/>
            <w:tcBorders>
              <w:top w:val="nil"/>
              <w:left w:val="nil"/>
              <w:bottom w:val="nil"/>
              <w:right w:val="nil"/>
            </w:tcBorders>
            <w:vAlign w:val="center"/>
          </w:tcPr>
          <w:p w14:paraId="410D9896" w14:textId="02941872" w:rsidR="00962D5E" w:rsidRPr="00635627" w:rsidRDefault="00643649"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Macro-</w:t>
            </w:r>
            <w:r w:rsidR="00962D5E" w:rsidRPr="00635627">
              <w:rPr>
                <w:rFonts w:ascii="Times New Roman" w:hAnsi="Times New Roman" w:cs="Times New Roman"/>
                <w:szCs w:val="21"/>
              </w:rPr>
              <w:t>F1</w:t>
            </w:r>
          </w:p>
        </w:tc>
      </w:tr>
      <w:tr w:rsidR="00962D5E" w:rsidRPr="00635627" w14:paraId="2C4890EC" w14:textId="77777777" w:rsidTr="00661E17">
        <w:tc>
          <w:tcPr>
            <w:tcW w:w="1985" w:type="dxa"/>
            <w:tcBorders>
              <w:top w:val="nil"/>
              <w:left w:val="nil"/>
              <w:bottom w:val="nil"/>
              <w:right w:val="nil"/>
            </w:tcBorders>
            <w:vAlign w:val="center"/>
          </w:tcPr>
          <w:p w14:paraId="3BF7B748"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Gene perturbation prediction</w:t>
            </w:r>
          </w:p>
        </w:tc>
        <w:tc>
          <w:tcPr>
            <w:tcW w:w="1134" w:type="dxa"/>
            <w:tcBorders>
              <w:top w:val="nil"/>
              <w:left w:val="nil"/>
              <w:bottom w:val="nil"/>
              <w:right w:val="nil"/>
            </w:tcBorders>
            <w:vAlign w:val="center"/>
          </w:tcPr>
          <w:p w14:paraId="293F1E53"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200</w:t>
            </w:r>
          </w:p>
        </w:tc>
        <w:tc>
          <w:tcPr>
            <w:tcW w:w="1276" w:type="dxa"/>
            <w:tcBorders>
              <w:top w:val="nil"/>
              <w:left w:val="nil"/>
              <w:bottom w:val="nil"/>
              <w:right w:val="nil"/>
            </w:tcBorders>
            <w:vAlign w:val="center"/>
          </w:tcPr>
          <w:p w14:paraId="757B0F78"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1×10</w:t>
            </w:r>
            <w:r w:rsidRPr="00635627">
              <w:rPr>
                <w:rFonts w:ascii="Times New Roman" w:hAnsi="Times New Roman" w:cs="Times New Roman"/>
                <w:szCs w:val="21"/>
                <w:vertAlign w:val="superscript"/>
              </w:rPr>
              <w:t>-4</w:t>
            </w:r>
          </w:p>
        </w:tc>
        <w:tc>
          <w:tcPr>
            <w:tcW w:w="708" w:type="dxa"/>
            <w:tcBorders>
              <w:top w:val="nil"/>
              <w:left w:val="nil"/>
              <w:bottom w:val="nil"/>
              <w:right w:val="nil"/>
            </w:tcBorders>
            <w:vAlign w:val="center"/>
          </w:tcPr>
          <w:p w14:paraId="0D0D6D13"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16</w:t>
            </w:r>
          </w:p>
        </w:tc>
        <w:tc>
          <w:tcPr>
            <w:tcW w:w="993" w:type="dxa"/>
            <w:tcBorders>
              <w:top w:val="nil"/>
              <w:left w:val="nil"/>
              <w:bottom w:val="nil"/>
              <w:right w:val="nil"/>
            </w:tcBorders>
            <w:vAlign w:val="center"/>
          </w:tcPr>
          <w:p w14:paraId="571E3CC1"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1,000</w:t>
            </w:r>
          </w:p>
        </w:tc>
        <w:tc>
          <w:tcPr>
            <w:tcW w:w="992" w:type="dxa"/>
            <w:tcBorders>
              <w:top w:val="nil"/>
              <w:left w:val="nil"/>
              <w:bottom w:val="nil"/>
              <w:right w:val="nil"/>
            </w:tcBorders>
          </w:tcPr>
          <w:p w14:paraId="02171E14" w14:textId="3C8A15C4"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Global MSE</w:t>
            </w:r>
          </w:p>
        </w:tc>
        <w:tc>
          <w:tcPr>
            <w:tcW w:w="1134" w:type="dxa"/>
            <w:tcBorders>
              <w:top w:val="nil"/>
              <w:left w:val="nil"/>
              <w:bottom w:val="nil"/>
              <w:right w:val="nil"/>
            </w:tcBorders>
            <w:vAlign w:val="center"/>
          </w:tcPr>
          <w:p w14:paraId="3E0DA390" w14:textId="7FC6A0E3"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Pearson correlation</w:t>
            </w:r>
          </w:p>
        </w:tc>
      </w:tr>
      <w:tr w:rsidR="00962D5E" w:rsidRPr="00635627" w14:paraId="72020CAA" w14:textId="77777777" w:rsidTr="00661E17">
        <w:tc>
          <w:tcPr>
            <w:tcW w:w="1985" w:type="dxa"/>
            <w:tcBorders>
              <w:top w:val="nil"/>
              <w:left w:val="nil"/>
              <w:bottom w:val="nil"/>
              <w:right w:val="nil"/>
            </w:tcBorders>
            <w:vAlign w:val="center"/>
          </w:tcPr>
          <w:p w14:paraId="76EC7DC1"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SNP-associated gene expressions</w:t>
            </w:r>
          </w:p>
        </w:tc>
        <w:tc>
          <w:tcPr>
            <w:tcW w:w="1134" w:type="dxa"/>
            <w:tcBorders>
              <w:top w:val="nil"/>
              <w:left w:val="nil"/>
              <w:bottom w:val="nil"/>
              <w:right w:val="nil"/>
            </w:tcBorders>
            <w:vAlign w:val="center"/>
          </w:tcPr>
          <w:p w14:paraId="69A15503"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300</w:t>
            </w:r>
          </w:p>
        </w:tc>
        <w:tc>
          <w:tcPr>
            <w:tcW w:w="1276" w:type="dxa"/>
            <w:tcBorders>
              <w:top w:val="nil"/>
              <w:left w:val="nil"/>
              <w:bottom w:val="nil"/>
              <w:right w:val="nil"/>
            </w:tcBorders>
            <w:vAlign w:val="center"/>
          </w:tcPr>
          <w:p w14:paraId="6D4756B0"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1×10</w:t>
            </w:r>
            <w:r w:rsidRPr="00635627">
              <w:rPr>
                <w:rFonts w:ascii="Times New Roman" w:hAnsi="Times New Roman" w:cs="Times New Roman"/>
                <w:szCs w:val="21"/>
                <w:vertAlign w:val="superscript"/>
              </w:rPr>
              <w:t>-4</w:t>
            </w:r>
          </w:p>
        </w:tc>
        <w:tc>
          <w:tcPr>
            <w:tcW w:w="708" w:type="dxa"/>
            <w:tcBorders>
              <w:top w:val="nil"/>
              <w:left w:val="nil"/>
              <w:bottom w:val="nil"/>
              <w:right w:val="nil"/>
            </w:tcBorders>
            <w:vAlign w:val="center"/>
          </w:tcPr>
          <w:p w14:paraId="64D58EC7"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16</w:t>
            </w:r>
          </w:p>
        </w:tc>
        <w:tc>
          <w:tcPr>
            <w:tcW w:w="993" w:type="dxa"/>
            <w:tcBorders>
              <w:top w:val="nil"/>
              <w:left w:val="nil"/>
              <w:bottom w:val="nil"/>
              <w:right w:val="nil"/>
            </w:tcBorders>
            <w:vAlign w:val="center"/>
          </w:tcPr>
          <w:p w14:paraId="6FD35769"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1,000</w:t>
            </w:r>
          </w:p>
        </w:tc>
        <w:tc>
          <w:tcPr>
            <w:tcW w:w="992" w:type="dxa"/>
            <w:tcBorders>
              <w:top w:val="nil"/>
              <w:left w:val="nil"/>
              <w:bottom w:val="nil"/>
              <w:right w:val="nil"/>
            </w:tcBorders>
          </w:tcPr>
          <w:p w14:paraId="5A760FA1" w14:textId="0C9DE90D"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Global MSE</w:t>
            </w:r>
          </w:p>
        </w:tc>
        <w:tc>
          <w:tcPr>
            <w:tcW w:w="1134" w:type="dxa"/>
            <w:tcBorders>
              <w:top w:val="nil"/>
              <w:left w:val="nil"/>
              <w:bottom w:val="nil"/>
              <w:right w:val="nil"/>
            </w:tcBorders>
            <w:vAlign w:val="center"/>
          </w:tcPr>
          <w:p w14:paraId="19CD3F4C" w14:textId="4BE99140"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Pearson correlation</w:t>
            </w:r>
          </w:p>
        </w:tc>
      </w:tr>
      <w:tr w:rsidR="00962D5E" w:rsidRPr="00635627" w14:paraId="1788EFD9" w14:textId="77777777" w:rsidTr="00661E17">
        <w:tc>
          <w:tcPr>
            <w:tcW w:w="1985" w:type="dxa"/>
            <w:tcBorders>
              <w:top w:val="nil"/>
              <w:left w:val="nil"/>
              <w:bottom w:val="single" w:sz="4" w:space="0" w:color="auto"/>
              <w:right w:val="nil"/>
            </w:tcBorders>
            <w:vAlign w:val="center"/>
          </w:tcPr>
          <w:p w14:paraId="53ACCF97"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Viral load prediction</w:t>
            </w:r>
          </w:p>
        </w:tc>
        <w:tc>
          <w:tcPr>
            <w:tcW w:w="1134" w:type="dxa"/>
            <w:tcBorders>
              <w:top w:val="nil"/>
              <w:left w:val="nil"/>
              <w:bottom w:val="single" w:sz="4" w:space="0" w:color="auto"/>
              <w:right w:val="nil"/>
            </w:tcBorders>
            <w:vAlign w:val="center"/>
          </w:tcPr>
          <w:p w14:paraId="27A4BB2F"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500</w:t>
            </w:r>
          </w:p>
        </w:tc>
        <w:tc>
          <w:tcPr>
            <w:tcW w:w="1276" w:type="dxa"/>
            <w:tcBorders>
              <w:top w:val="nil"/>
              <w:left w:val="nil"/>
              <w:bottom w:val="single" w:sz="4" w:space="0" w:color="auto"/>
              <w:right w:val="nil"/>
            </w:tcBorders>
            <w:vAlign w:val="center"/>
          </w:tcPr>
          <w:p w14:paraId="75ADC00E"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1×10</w:t>
            </w:r>
            <w:r w:rsidRPr="00635627">
              <w:rPr>
                <w:rFonts w:ascii="Times New Roman" w:hAnsi="Times New Roman" w:cs="Times New Roman"/>
                <w:szCs w:val="21"/>
                <w:vertAlign w:val="superscript"/>
              </w:rPr>
              <w:t>-5</w:t>
            </w:r>
          </w:p>
        </w:tc>
        <w:tc>
          <w:tcPr>
            <w:tcW w:w="708" w:type="dxa"/>
            <w:tcBorders>
              <w:top w:val="nil"/>
              <w:left w:val="nil"/>
              <w:bottom w:val="single" w:sz="4" w:space="0" w:color="auto"/>
              <w:right w:val="nil"/>
            </w:tcBorders>
            <w:vAlign w:val="center"/>
          </w:tcPr>
          <w:p w14:paraId="25ADCBF4"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16</w:t>
            </w:r>
          </w:p>
        </w:tc>
        <w:tc>
          <w:tcPr>
            <w:tcW w:w="993" w:type="dxa"/>
            <w:tcBorders>
              <w:top w:val="nil"/>
              <w:left w:val="nil"/>
              <w:bottom w:val="single" w:sz="4" w:space="0" w:color="auto"/>
              <w:right w:val="nil"/>
            </w:tcBorders>
            <w:vAlign w:val="center"/>
          </w:tcPr>
          <w:p w14:paraId="177614A7" w14:textId="77777777"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1,000</w:t>
            </w:r>
          </w:p>
        </w:tc>
        <w:tc>
          <w:tcPr>
            <w:tcW w:w="992" w:type="dxa"/>
            <w:tcBorders>
              <w:top w:val="nil"/>
              <w:left w:val="nil"/>
              <w:bottom w:val="single" w:sz="4" w:space="0" w:color="auto"/>
              <w:right w:val="nil"/>
            </w:tcBorders>
          </w:tcPr>
          <w:p w14:paraId="574ECB55" w14:textId="491AAE9B"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Global MSE</w:t>
            </w:r>
          </w:p>
        </w:tc>
        <w:tc>
          <w:tcPr>
            <w:tcW w:w="1134" w:type="dxa"/>
            <w:tcBorders>
              <w:top w:val="nil"/>
              <w:left w:val="nil"/>
              <w:bottom w:val="single" w:sz="4" w:space="0" w:color="auto"/>
              <w:right w:val="nil"/>
            </w:tcBorders>
            <w:vAlign w:val="center"/>
          </w:tcPr>
          <w:p w14:paraId="2803094F" w14:textId="7E4279FD" w:rsidR="00962D5E" w:rsidRPr="00635627" w:rsidRDefault="00962D5E" w:rsidP="00BC562B">
            <w:pPr>
              <w:spacing w:beforeLines="50" w:before="156" w:afterLines="50" w:after="156"/>
              <w:jc w:val="center"/>
              <w:rPr>
                <w:rFonts w:ascii="Times New Roman" w:hAnsi="Times New Roman" w:cs="Times New Roman"/>
                <w:szCs w:val="21"/>
              </w:rPr>
            </w:pPr>
            <w:r w:rsidRPr="00635627">
              <w:rPr>
                <w:rFonts w:ascii="Times New Roman" w:hAnsi="Times New Roman" w:cs="Times New Roman"/>
                <w:szCs w:val="21"/>
              </w:rPr>
              <w:t>Pearson correlation</w:t>
            </w:r>
          </w:p>
        </w:tc>
      </w:tr>
    </w:tbl>
    <w:p w14:paraId="31B266B6" w14:textId="707FA054" w:rsidR="00EA17A6" w:rsidRPr="00635627" w:rsidRDefault="00A16FF0" w:rsidP="00811A06">
      <w:pPr>
        <w:spacing w:line="360" w:lineRule="auto"/>
        <w:ind w:firstLine="420"/>
        <w:rPr>
          <w:rFonts w:ascii="Times New Roman" w:hAnsi="Times New Roman" w:cs="Times New Roman"/>
          <w:szCs w:val="21"/>
        </w:rPr>
      </w:pPr>
      <w:r w:rsidRPr="00635627">
        <w:rPr>
          <w:rFonts w:ascii="Times New Roman" w:hAnsi="Times New Roman" w:cs="Times New Roman"/>
          <w:szCs w:val="21"/>
        </w:rPr>
        <w:t>‘Maximum epochs’ were task-specific to account for differences in training difficulty and convergence speed</w:t>
      </w:r>
      <w:r w:rsidR="00185B3C" w:rsidRPr="00635627">
        <w:rPr>
          <w:rFonts w:ascii="Times New Roman" w:hAnsi="Times New Roman" w:cs="Times New Roman"/>
          <w:szCs w:val="21"/>
        </w:rPr>
        <w:t>,</w:t>
      </w:r>
      <w:r w:rsidRPr="00635627">
        <w:rPr>
          <w:rFonts w:ascii="Times New Roman" w:hAnsi="Times New Roman" w:cs="Times New Roman"/>
          <w:szCs w:val="21"/>
        </w:rPr>
        <w:t xml:space="preserve"> ‘Peak learning rates’ were tuned according to target granularity</w:t>
      </w:r>
      <w:r w:rsidR="00185B3C" w:rsidRPr="00635627">
        <w:rPr>
          <w:rFonts w:ascii="Times New Roman" w:hAnsi="Times New Roman" w:cs="Times New Roman"/>
          <w:szCs w:val="21"/>
        </w:rPr>
        <w:t>,</w:t>
      </w:r>
      <w:r w:rsidRPr="00635627">
        <w:rPr>
          <w:rFonts w:ascii="Times New Roman" w:hAnsi="Times New Roman" w:cs="Times New Roman"/>
          <w:szCs w:val="21"/>
        </w:rPr>
        <w:t xml:space="preserve"> </w:t>
      </w:r>
      <w:r w:rsidR="00525E32" w:rsidRPr="00635627">
        <w:rPr>
          <w:rFonts w:ascii="Times New Roman" w:hAnsi="Times New Roman" w:cs="Times New Roman"/>
          <w:szCs w:val="21"/>
        </w:rPr>
        <w:t>‘</w:t>
      </w:r>
      <w:r w:rsidR="00EA17A6" w:rsidRPr="00635627">
        <w:rPr>
          <w:rFonts w:ascii="Times New Roman" w:hAnsi="Times New Roman" w:cs="Times New Roman"/>
          <w:szCs w:val="21"/>
        </w:rPr>
        <w:t>Loss Type</w:t>
      </w:r>
      <w:r w:rsidR="00525E32" w:rsidRPr="00635627">
        <w:rPr>
          <w:rFonts w:ascii="Times New Roman" w:hAnsi="Times New Roman" w:cs="Times New Roman"/>
          <w:szCs w:val="21"/>
        </w:rPr>
        <w:t>’</w:t>
      </w:r>
      <w:r w:rsidR="00EA17A6" w:rsidRPr="00635627">
        <w:rPr>
          <w:rFonts w:ascii="Times New Roman" w:hAnsi="Times New Roman" w:cs="Times New Roman"/>
          <w:szCs w:val="21"/>
        </w:rPr>
        <w:t xml:space="preserve"> denotes the training objective used during model </w:t>
      </w:r>
      <w:r w:rsidR="00516C8C" w:rsidRPr="00635627">
        <w:rPr>
          <w:rFonts w:ascii="Times New Roman" w:hAnsi="Times New Roman" w:cs="Times New Roman"/>
          <w:szCs w:val="21"/>
        </w:rPr>
        <w:t>building</w:t>
      </w:r>
      <w:r w:rsidR="00EA17A6" w:rsidRPr="00635627">
        <w:rPr>
          <w:rFonts w:ascii="Times New Roman" w:hAnsi="Times New Roman" w:cs="Times New Roman"/>
          <w:szCs w:val="21"/>
        </w:rPr>
        <w:t xml:space="preserve">, and </w:t>
      </w:r>
      <w:r w:rsidR="00525E32" w:rsidRPr="00635627">
        <w:rPr>
          <w:rFonts w:ascii="Times New Roman" w:hAnsi="Times New Roman" w:cs="Times New Roman"/>
          <w:szCs w:val="21"/>
        </w:rPr>
        <w:t>‘</w:t>
      </w:r>
      <w:r w:rsidR="00EA17A6" w:rsidRPr="00635627">
        <w:rPr>
          <w:rFonts w:ascii="Times New Roman" w:hAnsi="Times New Roman" w:cs="Times New Roman"/>
          <w:szCs w:val="21"/>
        </w:rPr>
        <w:t>Best metric</w:t>
      </w:r>
      <w:r w:rsidR="00525E32" w:rsidRPr="00635627">
        <w:rPr>
          <w:rFonts w:ascii="Times New Roman" w:hAnsi="Times New Roman" w:cs="Times New Roman"/>
          <w:szCs w:val="21"/>
        </w:rPr>
        <w:t>’</w:t>
      </w:r>
      <w:r w:rsidR="00EA17A6" w:rsidRPr="00635627">
        <w:rPr>
          <w:rFonts w:ascii="Times New Roman" w:hAnsi="Times New Roman" w:cs="Times New Roman"/>
          <w:szCs w:val="21"/>
        </w:rPr>
        <w:t xml:space="preserve"> denotes the validation metric used to select the best checkpoint</w:t>
      </w:r>
      <w:r w:rsidR="00516C8C" w:rsidRPr="00635627">
        <w:rPr>
          <w:rFonts w:ascii="Times New Roman" w:hAnsi="Times New Roman" w:cs="Times New Roman"/>
          <w:szCs w:val="21"/>
        </w:rPr>
        <w:t xml:space="preserve"> </w:t>
      </w:r>
      <w:r w:rsidR="00B60FD4" w:rsidRPr="00635627">
        <w:rPr>
          <w:rFonts w:ascii="Times New Roman" w:hAnsi="Times New Roman" w:cs="Times New Roman"/>
          <w:szCs w:val="21"/>
        </w:rPr>
        <w:t xml:space="preserve">at the epoch level </w:t>
      </w:r>
      <w:r w:rsidR="00516C8C" w:rsidRPr="00635627">
        <w:rPr>
          <w:rFonts w:ascii="Times New Roman" w:hAnsi="Times New Roman" w:cs="Times New Roman"/>
          <w:szCs w:val="21"/>
        </w:rPr>
        <w:t>for performance reporting</w:t>
      </w:r>
      <w:r w:rsidR="00464CAB" w:rsidRPr="00635627">
        <w:rPr>
          <w:rFonts w:ascii="Times New Roman" w:hAnsi="Times New Roman" w:cs="Times New Roman"/>
          <w:szCs w:val="21"/>
        </w:rPr>
        <w:t xml:space="preserve"> on test dataset</w:t>
      </w:r>
      <w:r w:rsidR="00516C8C" w:rsidRPr="00635627">
        <w:rPr>
          <w:rFonts w:ascii="Times New Roman" w:hAnsi="Times New Roman" w:cs="Times New Roman"/>
          <w:szCs w:val="21"/>
        </w:rPr>
        <w:t xml:space="preserve"> and inference</w:t>
      </w:r>
      <w:r w:rsidR="00EA17A6" w:rsidRPr="00635627">
        <w:rPr>
          <w:rFonts w:ascii="Times New Roman" w:hAnsi="Times New Roman" w:cs="Times New Roman"/>
          <w:szCs w:val="21"/>
        </w:rPr>
        <w:t>.</w:t>
      </w:r>
      <w:r w:rsidR="008C102F" w:rsidRPr="00635627">
        <w:rPr>
          <w:rFonts w:ascii="Times New Roman" w:hAnsi="Times New Roman" w:cs="Times New Roman"/>
          <w:szCs w:val="21"/>
        </w:rPr>
        <w:t xml:space="preserve"> </w:t>
      </w:r>
      <w:r w:rsidR="0002429B" w:rsidRPr="00635627">
        <w:rPr>
          <w:rFonts w:ascii="Times New Roman" w:hAnsi="Times New Roman" w:cs="Times New Roman"/>
          <w:szCs w:val="21"/>
        </w:rPr>
        <w:t>For all comparative experiments, the models were trained and evaluated using identical hyperparameter settings and random seeds, and all downstream tasks were conducted on a single NVIDIA A100 GPU.</w:t>
      </w:r>
      <w:r w:rsidR="00B60FD4" w:rsidRPr="00635627">
        <w:rPr>
          <w:rFonts w:ascii="Times New Roman" w:hAnsi="Times New Roman" w:cs="Times New Roman"/>
          <w:szCs w:val="21"/>
        </w:rPr>
        <w:t xml:space="preserve"> </w:t>
      </w:r>
      <w:r w:rsidR="00B90CDB" w:rsidRPr="00635627">
        <w:rPr>
          <w:rFonts w:ascii="Times New Roman" w:hAnsi="Times New Roman" w:cs="Times New Roman"/>
          <w:szCs w:val="21"/>
        </w:rPr>
        <w:t xml:space="preserve">No task-specific hyperparameter tuning was performed for the comparative experiments, ensuring a fair comparison. </w:t>
      </w:r>
      <w:r w:rsidR="00B60FD4" w:rsidRPr="00635627">
        <w:rPr>
          <w:rFonts w:ascii="Times New Roman" w:hAnsi="Times New Roman" w:cs="Times New Roman"/>
          <w:szCs w:val="21"/>
        </w:rPr>
        <w:t>Unless otherwise noted, all downstream tasks used the hyperparameters summarized here.</w:t>
      </w:r>
      <w:r w:rsidR="00B90CDB" w:rsidRPr="00635627">
        <w:rPr>
          <w:rFonts w:ascii="Times New Roman" w:hAnsi="Times New Roman" w:cs="Times New Roman"/>
          <w:szCs w:val="21"/>
        </w:rPr>
        <w:t xml:space="preserve"> </w:t>
      </w:r>
    </w:p>
    <w:p w14:paraId="0E676F4D" w14:textId="77777777" w:rsidR="00B90CDB" w:rsidRPr="00635627" w:rsidRDefault="00B90CDB" w:rsidP="00811A06">
      <w:pPr>
        <w:spacing w:line="360" w:lineRule="auto"/>
        <w:ind w:firstLine="420"/>
        <w:rPr>
          <w:rFonts w:ascii="Times New Roman" w:hAnsi="Times New Roman" w:cs="Times New Roman"/>
          <w:szCs w:val="21"/>
        </w:rPr>
      </w:pPr>
    </w:p>
    <w:p w14:paraId="676E5A8E" w14:textId="77777777" w:rsidR="00B60FD4" w:rsidRPr="00635627" w:rsidRDefault="00B60FD4" w:rsidP="00EA17A6">
      <w:pPr>
        <w:ind w:firstLine="420"/>
        <w:rPr>
          <w:rFonts w:ascii="Times New Roman" w:hAnsi="Times New Roman" w:cs="Times New Roman"/>
          <w:szCs w:val="21"/>
        </w:rPr>
      </w:pPr>
    </w:p>
    <w:p w14:paraId="0BD8BB2A" w14:textId="241B15E8" w:rsidR="00751A9C" w:rsidRPr="00635627" w:rsidRDefault="00751A9C">
      <w:pPr>
        <w:rPr>
          <w:rFonts w:ascii="Times New Roman" w:hAnsi="Times New Roman" w:cs="Times New Roman"/>
          <w:szCs w:val="21"/>
        </w:rPr>
      </w:pPr>
    </w:p>
    <w:p w14:paraId="205B6640" w14:textId="74B8F6D9" w:rsidR="00A87269" w:rsidRPr="00635627" w:rsidRDefault="00A87269">
      <w:pPr>
        <w:widowControl/>
        <w:jc w:val="left"/>
        <w:rPr>
          <w:rFonts w:ascii="Times New Roman" w:hAnsi="Times New Roman" w:cs="Times New Roman"/>
          <w:szCs w:val="21"/>
        </w:rPr>
      </w:pPr>
      <w:r w:rsidRPr="00635627">
        <w:rPr>
          <w:rFonts w:ascii="Times New Roman" w:hAnsi="Times New Roman" w:cs="Times New Roman"/>
          <w:szCs w:val="21"/>
        </w:rPr>
        <w:br w:type="page"/>
      </w:r>
    </w:p>
    <w:p w14:paraId="69807D92" w14:textId="609A0066" w:rsidR="00A87269" w:rsidRPr="00635627" w:rsidRDefault="00A87269" w:rsidP="00A87269">
      <w:pPr>
        <w:pStyle w:val="a8"/>
        <w:rPr>
          <w:rFonts w:ascii="Times New Roman" w:hAnsi="Times New Roman" w:cs="Times New Roman"/>
          <w:b/>
          <w:bCs/>
        </w:rPr>
      </w:pPr>
      <w:r w:rsidRPr="00635627">
        <w:rPr>
          <w:rFonts w:ascii="Times New Roman" w:hAnsi="Times New Roman" w:cs="Times New Roman"/>
          <w:b/>
          <w:bCs/>
        </w:rPr>
        <w:lastRenderedPageBreak/>
        <w:t>Reference</w:t>
      </w:r>
    </w:p>
    <w:p w14:paraId="30EAD905" w14:textId="77777777" w:rsidR="00635627" w:rsidRPr="00635627" w:rsidRDefault="00A87269" w:rsidP="00635627">
      <w:pPr>
        <w:pStyle w:val="a8"/>
        <w:rPr>
          <w:rFonts w:ascii="Times New Roman" w:hAnsi="Times New Roman" w:cs="Times New Roman"/>
        </w:rPr>
      </w:pPr>
      <w:r w:rsidRPr="00635627">
        <w:rPr>
          <w:rFonts w:ascii="Times New Roman" w:hAnsi="Times New Roman" w:cs="Times New Roman"/>
        </w:rPr>
        <w:fldChar w:fldCharType="begin"/>
      </w:r>
      <w:r w:rsidR="00635627" w:rsidRPr="00635627">
        <w:rPr>
          <w:rFonts w:ascii="Times New Roman" w:hAnsi="Times New Roman" w:cs="Times New Roman"/>
        </w:rPr>
        <w:instrText xml:space="preserve"> ADDIN ZOTERO_BIBL {"uncited":[],"omitted":[],"custom":[]} CSL_BIBLIOGRAPHY </w:instrText>
      </w:r>
      <w:r w:rsidRPr="00635627">
        <w:rPr>
          <w:rFonts w:ascii="Times New Roman" w:hAnsi="Times New Roman" w:cs="Times New Roman"/>
        </w:rPr>
        <w:fldChar w:fldCharType="separate"/>
      </w:r>
      <w:r w:rsidR="00635627" w:rsidRPr="00635627">
        <w:rPr>
          <w:rFonts w:ascii="Times New Roman" w:hAnsi="Times New Roman" w:cs="Times New Roman"/>
        </w:rPr>
        <w:t>1. Theodoris CV, Xiao L, Chopra A, Chaffin MD, Al Sayed ZR, Hill MC, et al. Transfer learning enables predictions in network biology. Nature. 2023;618:616–24. https://doi.org/10.1038/s41586-023-06139-9</w:t>
      </w:r>
    </w:p>
    <w:p w14:paraId="3C946EA8"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2. Hao M, Gong J, Zeng X, Liu C, Guo Y, Cheng X, et al. Large-scale foundation model on single-cell transcriptomics. Nat Methods. 2024;21:1481–91. https://doi.org/10.1038/s41592-024-02305-7</w:t>
      </w:r>
    </w:p>
    <w:p w14:paraId="2565F4B4"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3. Cui H, Wang C, Maan H, Pang K, Luo F, Duan N, et al. scGPT: toward building a foundation model for single-cell multi-omics using generative AI. Nat Methods. 2024;21:1470–80. https://doi.org/10.1038/s41592-024-02201-0</w:t>
      </w:r>
    </w:p>
    <w:p w14:paraId="536976C7"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4. Zeng Y, Xie J, Shangguan N, Wei Z, Li W, Su Y, et al. CellFM: a large-scale foundation model pre-trained on transcriptomics of 100 million human cells. Nat Commun. 2025;16:4679. https://doi.org/10.1038/s41467-025-59926-5</w:t>
      </w:r>
    </w:p>
    <w:p w14:paraId="0FFEA4E2"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5. Pearce JD, Simmonds SE, Mahmoudabadi G, Krishnan L, Palla G, Istrate A-M, et al. TranscriptFormer: A generative cell atlas across 1.5 billion years of evolution. Science. American Association for the Advancement of Science; 2026;393:aec8514. https://doi.org/10.1126/science.aec8514</w:t>
      </w:r>
    </w:p>
    <w:p w14:paraId="37083DDB"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6. Rosen Y, Roohani Y, Agrawal A, Samotorčan L, Quake SR, Leskovec J, et al. Universal cell embedding provides a foundation model for cell biology. Nature. 2026;656:183–91. https://doi.org/10.1038/s41586-026-10689-z</w:t>
      </w:r>
    </w:p>
    <w:p w14:paraId="5239C689"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7. Reck M, Baird DP, Veizades S, Sutherland C, Bell RMB, Hur H, et al. Multiomic analysis of human kidney disease identifies a tractable inflammatory and pro-fibrotic tubular cell phenotype. Nat Commun. 2025;16:4745. https://doi.org/10.1038/s41467-025-59997-4</w:t>
      </w:r>
    </w:p>
    <w:p w14:paraId="0D8256A8"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8. Edgar R, Domrachev M, Lash AE. Gene Expression Omnibus: NCBI gene expression and hybridization array data repository. Nucleic Acids Res. 2002;30:207–10. https://doi.org/10.1093/nar/30.1.207</w:t>
      </w:r>
    </w:p>
    <w:p w14:paraId="5C431930"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9. de Morree A, De Vlaminck I, Shapiro L, Razafindrakoto A, Ravelonjanahary HN, Wright P, et al. A molecular cell atlas of mouse lemur, an emerging model primate. Nature. 2025;644:173–84. https://doi.org/10.1038/s41586-025-09113-9</w:t>
      </w:r>
    </w:p>
    <w:p w14:paraId="152A1C15"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10. CZI Cell Science Program, Abdulla S, Aevermann B, Assis P, Badajoz S, Bell SM, et al. CZ CELLxGENE Discover: a single-cell data platform for scalable exploration, analysis and modeling of aggregated data. Nucleic Acids Res. 2025;53:D886–900. https://doi.org/10.1093/nar/gkae1142</w:t>
      </w:r>
    </w:p>
    <w:p w14:paraId="0B841CB6"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11. Lake BB, Melo Ferreira R, Hansen J, Menon R, Basta J, Thiessen Philbrook H, et al. Cellular and Spatial Drivers of Unresolved Injury and Functional Decline in the Human Kidney. bioRxiv. 2025;2025.09.26.678707. https://doi.org/10.1101/2025.09.26.678707</w:t>
      </w:r>
    </w:p>
    <w:p w14:paraId="664E25BE"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 xml:space="preserve">12. Shen Y, Qian Q, Ding L, Qu W, Zhang T, Song M, et al. High-throughput single-microbe RNA </w:t>
      </w:r>
      <w:r w:rsidRPr="00635627">
        <w:rPr>
          <w:rFonts w:ascii="Times New Roman" w:hAnsi="Times New Roman" w:cs="Times New Roman"/>
        </w:rPr>
        <w:lastRenderedPageBreak/>
        <w:t>sequencing reveals adaptive state heterogeneity and host-phage activity associations in human gut microbiome. Protein Cell. 2025;16:211–26. https://doi.org/10.1093/procel/pwae027</w:t>
      </w:r>
    </w:p>
    <w:p w14:paraId="5F0AC9A1"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13. Wang Y, Song F, Zhu J, Zhang S, Yang Y, Chen T, et al. GSA: Genome Sequence Archive*. Genomics Proteomics Bioinformatics. 2017;15:14–8. https://doi.org/10.1016/j.gpb.2017.01.001</w:t>
      </w:r>
    </w:p>
    <w:p w14:paraId="3BE61D00"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14. Xu Z, Wang Y, Sheng K, Rosenthal R, Liu N, Hua X, et al. Droplet-based high-throughput single microbe RNA sequencing by smRandom-seq. Nat Commun. 2023;14:5130. https://doi.org/10.1038/s41467-023-40137-9</w:t>
      </w:r>
    </w:p>
    <w:p w14:paraId="05F357FA"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15. Adamson B, Norman TM, Jost M, Cho MY, Nuñez JK, Chen Y, et al. A Multiplexed Single-Cell CRISPR Screening Platform Enables Systematic Dissection of the Unfolded Protein Response. Cell. Elsevier; 2016;167:1867-1882.e21. https://doi.org/10.1016/j.cell.2016.11.048</w:t>
      </w:r>
    </w:p>
    <w:p w14:paraId="6382D687"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16. Yazar S, Alquicira-Hernandez J, Wing K, Senabouth A, Gordon MG, Andersen S, et al. Single-cell eQTL mapping identifies cell type–specific genetic control of autoimmune disease. Science. American Association for the Advancement of Science; 2022;376:eabf3041. https://doi.org/10.1126/science.abf3041</w:t>
      </w:r>
    </w:p>
    <w:p w14:paraId="2D6CE88A"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17. Ramos Irene, Smith Gregory, Ruf-Zamojski Frederique, Martínez-Romero Carles, Fribourg Miguel, Carbajal Edwin A., et al. Innate Immune Response to Influenza Virus at Single-Cell Resolution in Human Epithelial Cells Revealed Paracrine Induction of Interferon Lambda 1. J Virol. American Society for Microbiology; 2019;93:10.1128/jvi.00559-19. https://doi.org/10.1128/jvi.00559-19</w:t>
      </w:r>
    </w:p>
    <w:p w14:paraId="4621B466"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18. Sun J, Vera JC, Drnevich J, Lin YT, Ke R, Brooke CB. Single cell heterogeneity in influenza A virus gene expression shapes the innate antiviral response to infection. PLOS Pathog. Public Library of Science; 2020;16:e1008671. https://doi.org/10.1371/journal.ppat.1008671</w:t>
      </w:r>
    </w:p>
    <w:p w14:paraId="161284B9"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19. Schott BH, Wang L, Zhu X, Harding AT, Ko ER, Bourgeois JS, et al. Single-cell genome-wide association reveals that a nonsynonymous variant in ERAP1 confers increased susceptibility to influenza virus. Cell Genomics [Internet]. Elsevier; 2022 [cited 2026 May 29];2. https://doi.org/10.1016/j.xgen.2022.100207</w:t>
      </w:r>
    </w:p>
    <w:p w14:paraId="5F7A749D" w14:textId="77777777" w:rsidR="00635627" w:rsidRPr="00635627" w:rsidRDefault="00635627" w:rsidP="00635627">
      <w:pPr>
        <w:pStyle w:val="a8"/>
        <w:rPr>
          <w:rFonts w:ascii="Times New Roman" w:hAnsi="Times New Roman" w:cs="Times New Roman"/>
        </w:rPr>
      </w:pPr>
      <w:r w:rsidRPr="00635627">
        <w:rPr>
          <w:rFonts w:ascii="Times New Roman" w:hAnsi="Times New Roman" w:cs="Times New Roman"/>
        </w:rPr>
        <w:t>20. Russell AB, Trapnell C, Bloom JD. Extreme heterogeneity of influenza virus infection in single cells. Chakraborty AK, editor. eLife. eLife Sciences Publications, Ltd; 2018;7:e32303. https://doi.org/10.7554/eLife.32303</w:t>
      </w:r>
    </w:p>
    <w:p w14:paraId="76E2D77E" w14:textId="4906B031" w:rsidR="00A87269" w:rsidRPr="00635627" w:rsidRDefault="00A87269">
      <w:pPr>
        <w:rPr>
          <w:rFonts w:ascii="Times New Roman" w:hAnsi="Times New Roman" w:cs="Times New Roman"/>
        </w:rPr>
      </w:pPr>
      <w:r w:rsidRPr="00635627">
        <w:rPr>
          <w:rFonts w:ascii="Times New Roman" w:hAnsi="Times New Roman" w:cs="Times New Roman"/>
        </w:rPr>
        <w:fldChar w:fldCharType="end"/>
      </w:r>
    </w:p>
    <w:sectPr w:rsidR="00A87269" w:rsidRPr="00635627" w:rsidSect="00F93A6B">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6DBDB" w14:textId="77777777" w:rsidR="00960F3C" w:rsidRDefault="00960F3C" w:rsidP="00751A9C">
      <w:r>
        <w:separator/>
      </w:r>
    </w:p>
  </w:endnote>
  <w:endnote w:type="continuationSeparator" w:id="0">
    <w:p w14:paraId="6E634CDA" w14:textId="77777777" w:rsidR="00960F3C" w:rsidRDefault="00960F3C" w:rsidP="0075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BDDD6" w14:textId="77777777" w:rsidR="00960F3C" w:rsidRDefault="00960F3C" w:rsidP="00751A9C">
      <w:r>
        <w:separator/>
      </w:r>
    </w:p>
  </w:footnote>
  <w:footnote w:type="continuationSeparator" w:id="0">
    <w:p w14:paraId="7F37D1C2" w14:textId="77777777" w:rsidR="00960F3C" w:rsidRDefault="00960F3C" w:rsidP="00751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6E66E2"/>
    <w:multiLevelType w:val="hybridMultilevel"/>
    <w:tmpl w:val="BC86D486"/>
    <w:lvl w:ilvl="0" w:tplc="D3BEBE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D46"/>
    <w:rsid w:val="00015980"/>
    <w:rsid w:val="0002429B"/>
    <w:rsid w:val="000620D2"/>
    <w:rsid w:val="000756D9"/>
    <w:rsid w:val="000A7EFA"/>
    <w:rsid w:val="0010492D"/>
    <w:rsid w:val="001200C9"/>
    <w:rsid w:val="00185B3C"/>
    <w:rsid w:val="001879CA"/>
    <w:rsid w:val="001B4C68"/>
    <w:rsid w:val="001E2950"/>
    <w:rsid w:val="001F6D70"/>
    <w:rsid w:val="00214C4D"/>
    <w:rsid w:val="00237E94"/>
    <w:rsid w:val="00246031"/>
    <w:rsid w:val="002D1177"/>
    <w:rsid w:val="003239BD"/>
    <w:rsid w:val="00393682"/>
    <w:rsid w:val="003936FE"/>
    <w:rsid w:val="00411E42"/>
    <w:rsid w:val="00413D2E"/>
    <w:rsid w:val="00461BDE"/>
    <w:rsid w:val="00464CAB"/>
    <w:rsid w:val="004C5FCB"/>
    <w:rsid w:val="004E5D65"/>
    <w:rsid w:val="004F7BBC"/>
    <w:rsid w:val="005036D5"/>
    <w:rsid w:val="00515E14"/>
    <w:rsid w:val="00516C8C"/>
    <w:rsid w:val="00525E32"/>
    <w:rsid w:val="0054020F"/>
    <w:rsid w:val="005649DE"/>
    <w:rsid w:val="00635627"/>
    <w:rsid w:val="00643649"/>
    <w:rsid w:val="00661E17"/>
    <w:rsid w:val="006C4A94"/>
    <w:rsid w:val="00725EF2"/>
    <w:rsid w:val="00751A9C"/>
    <w:rsid w:val="007B20CC"/>
    <w:rsid w:val="00811A06"/>
    <w:rsid w:val="008939A7"/>
    <w:rsid w:val="008C102F"/>
    <w:rsid w:val="00900952"/>
    <w:rsid w:val="00960F3C"/>
    <w:rsid w:val="00962D5E"/>
    <w:rsid w:val="009E616D"/>
    <w:rsid w:val="00A10930"/>
    <w:rsid w:val="00A126BD"/>
    <w:rsid w:val="00A16FF0"/>
    <w:rsid w:val="00A721D9"/>
    <w:rsid w:val="00A87269"/>
    <w:rsid w:val="00AA559E"/>
    <w:rsid w:val="00B60FD4"/>
    <w:rsid w:val="00B90CDB"/>
    <w:rsid w:val="00BF2D2E"/>
    <w:rsid w:val="00BF7264"/>
    <w:rsid w:val="00C65268"/>
    <w:rsid w:val="00CB58D4"/>
    <w:rsid w:val="00CD4AE4"/>
    <w:rsid w:val="00D32C22"/>
    <w:rsid w:val="00D50680"/>
    <w:rsid w:val="00D5488B"/>
    <w:rsid w:val="00D628D2"/>
    <w:rsid w:val="00E42625"/>
    <w:rsid w:val="00E754DE"/>
    <w:rsid w:val="00EA17A6"/>
    <w:rsid w:val="00F54099"/>
    <w:rsid w:val="00F76D46"/>
    <w:rsid w:val="00F93A6B"/>
    <w:rsid w:val="00FA1AED"/>
    <w:rsid w:val="00FA5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D26873"/>
  <w14:discardImageEditingData/>
  <w14:defaultImageDpi w14:val="32767"/>
  <w15:chartTrackingRefBased/>
  <w15:docId w15:val="{CBC69AD9-E527-482A-B2A2-C8635499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8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1A9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51A9C"/>
    <w:rPr>
      <w:sz w:val="18"/>
      <w:szCs w:val="18"/>
    </w:rPr>
  </w:style>
  <w:style w:type="paragraph" w:styleId="a5">
    <w:name w:val="footer"/>
    <w:basedOn w:val="a"/>
    <w:link w:val="a6"/>
    <w:uiPriority w:val="99"/>
    <w:unhideWhenUsed/>
    <w:rsid w:val="00751A9C"/>
    <w:pPr>
      <w:tabs>
        <w:tab w:val="center" w:pos="4153"/>
        <w:tab w:val="right" w:pos="8306"/>
      </w:tabs>
      <w:snapToGrid w:val="0"/>
      <w:jc w:val="left"/>
    </w:pPr>
    <w:rPr>
      <w:sz w:val="18"/>
      <w:szCs w:val="18"/>
    </w:rPr>
  </w:style>
  <w:style w:type="character" w:customStyle="1" w:styleId="a6">
    <w:name w:val="页脚 字符"/>
    <w:basedOn w:val="a0"/>
    <w:link w:val="a5"/>
    <w:uiPriority w:val="99"/>
    <w:rsid w:val="00751A9C"/>
    <w:rPr>
      <w:sz w:val="18"/>
      <w:szCs w:val="18"/>
    </w:rPr>
  </w:style>
  <w:style w:type="table" w:styleId="a7">
    <w:name w:val="Table Grid"/>
    <w:basedOn w:val="a1"/>
    <w:uiPriority w:val="39"/>
    <w:rsid w:val="00751A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ibliography"/>
    <w:basedOn w:val="a"/>
    <w:next w:val="a"/>
    <w:uiPriority w:val="37"/>
    <w:unhideWhenUsed/>
    <w:rsid w:val="00A87269"/>
    <w:pPr>
      <w:spacing w:after="240"/>
    </w:pPr>
  </w:style>
  <w:style w:type="paragraph" w:styleId="a9">
    <w:name w:val="List Paragraph"/>
    <w:basedOn w:val="a"/>
    <w:uiPriority w:val="34"/>
    <w:qFormat/>
    <w:rsid w:val="00BF2D2E"/>
    <w:pPr>
      <w:ind w:firstLineChars="200" w:firstLine="420"/>
    </w:pPr>
  </w:style>
  <w:style w:type="character" w:styleId="aa">
    <w:name w:val="line number"/>
    <w:basedOn w:val="a0"/>
    <w:uiPriority w:val="99"/>
    <w:semiHidden/>
    <w:unhideWhenUsed/>
    <w:rsid w:val="00F93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sv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9</Pages>
  <Words>11271</Words>
  <Characters>64246</Characters>
  <Application>Microsoft Office Word</Application>
  <DocSecurity>0</DocSecurity>
  <Lines>535</Lines>
  <Paragraphs>150</Paragraphs>
  <ScaleCrop>false</ScaleCrop>
  <Company/>
  <LinksUpToDate>false</LinksUpToDate>
  <CharactersWithSpaces>75367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Ssyy</dc:creator>
  <cp:keywords/>
  <dc:description/>
  <cp:lastModifiedBy>Ssyy</cp:lastModifiedBy>
  <cp:revision>13</cp:revision>
  <cp:lastPrinted>2026-09-21T04:32:00Z</cp:lastPrinted>
  <dcterms:created xsi:type="dcterms:W3CDTF">2026-09-21T03:34:00Z</dcterms:created>
  <dcterms:modified xsi:type="dcterms:W3CDTF">2026-09-24T09:02:00Z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id="TUrMjzVY"/&gt;&lt;style id="http://www.zotero.org/styles/genome-biology" hasBibliography="1" bibliographyStyleHasBeenSet="1"/&gt;&lt;prefs&gt;&lt;pref name="fieldType" value="Field"/&gt;&lt;pref name="automaticJournalAbb</vt:lpwstr>
  </property>
  <property fmtid="{D5CDD505-2E9C-101B-9397-08002B2CF9AE}" pid="3" name="ZOTERO_PREF_2">
    <vt:lpwstr>reviations" value="true"/&gt;&lt;/prefs&gt;&lt;/data&gt;</vt:lpwstr>
  </property>
</Properties>
</file>