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D300A" w14:textId="77777777" w:rsidR="00ED1386" w:rsidRDefault="00ED1386" w:rsidP="00ED1386">
      <w:pPr>
        <w:pStyle w:val="Heading1"/>
        <w:jc w:val="both"/>
      </w:pPr>
      <w:bookmarkStart w:id="0" w:name="_Toc240457110"/>
      <w:bookmarkStart w:id="1" w:name="X9426990f9c81b75dc0204179c7906e3939187b0"/>
      <w:r>
        <w:t>Appendix A: Evidence-Mapping Exclusion Log</w:t>
      </w:r>
      <w:bookmarkEnd w:id="0"/>
    </w:p>
    <w:p w14:paraId="0148C967" w14:textId="77777777" w:rsidR="00ED1386" w:rsidRDefault="00ED1386" w:rsidP="00ED1386">
      <w:pPr>
        <w:pStyle w:val="FirstParagraph"/>
        <w:jc w:val="both"/>
      </w:pPr>
      <w:r>
        <w:rPr>
          <w:i/>
          <w:iCs/>
        </w:rPr>
        <w:t xml:space="preserve">(See </w:t>
      </w:r>
      <w:r>
        <w:rPr>
          <w:rStyle w:val="VerbatimChar"/>
          <w:i/>
          <w:iCs/>
        </w:rPr>
        <w:t>evidence_mapping_report.md</w:t>
      </w:r>
      <w:r>
        <w:rPr>
          <w:i/>
          <w:iCs/>
        </w:rPr>
        <w:t>, reproduced in full below.)</w:t>
      </w:r>
    </w:p>
    <w:p w14:paraId="606318C2" w14:textId="77777777" w:rsidR="00ED1386" w:rsidRDefault="00ED1386" w:rsidP="00ED1386">
      <w:pPr>
        <w:pStyle w:val="BodyText"/>
        <w:keepNext/>
        <w:jc w:val="both"/>
      </w:pPr>
      <w:r>
        <w:rPr>
          <w:b/>
        </w:rPr>
        <w:t>Protocol applied (five stages):</w:t>
      </w:r>
      <w:r>
        <w:t xml:space="preserve"> (1) identity resolution from WS-DREAM provider/WSDL fields; (2) match to an admissible external evidence source (NVD/CVSS, CISA KEV, CSA STAR/CAIQ/CCM, provider assurance docs, privacy/DPA), evaluated structurally as identifier availability (Section 6.2.2); (3) temporal validity relative to the WS-DREAM crawl date; (4) independent provenance review; (5) admission.</w:t>
      </w:r>
    </w:p>
    <w:tbl>
      <w:tblPr>
        <w:tblStyle w:val="Table"/>
        <w:tblW w:w="5000" w:type="pct"/>
        <w:jc w:val="center"/>
        <w:tblLook w:val="0020" w:firstRow="1" w:lastRow="0" w:firstColumn="0" w:lastColumn="0" w:noHBand="0" w:noVBand="0"/>
      </w:tblPr>
      <w:tblGrid>
        <w:gridCol w:w="1443"/>
        <w:gridCol w:w="797"/>
        <w:gridCol w:w="1219"/>
        <w:gridCol w:w="6621"/>
      </w:tblGrid>
      <w:tr w:rsidR="00ED1386" w14:paraId="050813CE" w14:textId="77777777" w:rsidTr="002357D0">
        <w:trPr>
          <w:cnfStyle w:val="100000000000" w:firstRow="1" w:lastRow="0" w:firstColumn="0" w:lastColumn="0" w:oddVBand="0" w:evenVBand="0" w:oddHBand="0" w:evenHBand="0" w:firstRowFirstColumn="0" w:firstRowLastColumn="0" w:lastRowFirstColumn="0" w:lastRowLastColumn="0"/>
          <w:tblHeader/>
          <w:jc w:val="center"/>
        </w:trPr>
        <w:tc>
          <w:tcPr>
            <w:tcW w:w="0" w:type="auto"/>
            <w:vAlign w:val="center"/>
          </w:tcPr>
          <w:p w14:paraId="54B9A7FD" w14:textId="77777777" w:rsidR="00ED1386" w:rsidRDefault="00ED1386" w:rsidP="002357D0">
            <w:pPr>
              <w:pStyle w:val="Compact"/>
              <w:keepNext/>
              <w:jc w:val="both"/>
            </w:pPr>
            <w:r>
              <w:t>Stage</w:t>
            </w:r>
          </w:p>
        </w:tc>
        <w:tc>
          <w:tcPr>
            <w:tcW w:w="0" w:type="auto"/>
            <w:vAlign w:val="center"/>
          </w:tcPr>
          <w:p w14:paraId="716E6E39" w14:textId="77777777" w:rsidR="00ED1386" w:rsidRDefault="00ED1386" w:rsidP="002357D0">
            <w:pPr>
              <w:pStyle w:val="Compact"/>
              <w:keepNext/>
              <w:jc w:val="both"/>
            </w:pPr>
            <w:r>
              <w:t>Passing</w:t>
            </w:r>
          </w:p>
        </w:tc>
        <w:tc>
          <w:tcPr>
            <w:tcW w:w="0" w:type="auto"/>
            <w:vAlign w:val="center"/>
          </w:tcPr>
          <w:p w14:paraId="34876E54" w14:textId="77777777" w:rsidR="00ED1386" w:rsidRDefault="00ED1386" w:rsidP="002357D0">
            <w:pPr>
              <w:pStyle w:val="Compact"/>
              <w:keepNext/>
              <w:jc w:val="both"/>
            </w:pPr>
            <w:r>
              <w:t>Excluded here</w:t>
            </w:r>
          </w:p>
        </w:tc>
        <w:tc>
          <w:tcPr>
            <w:tcW w:w="0" w:type="auto"/>
            <w:vAlign w:val="center"/>
          </w:tcPr>
          <w:p w14:paraId="4AA05C77" w14:textId="77777777" w:rsidR="00ED1386" w:rsidRDefault="00ED1386" w:rsidP="002357D0">
            <w:pPr>
              <w:pStyle w:val="Compact"/>
              <w:keepNext/>
              <w:jc w:val="both"/>
            </w:pPr>
            <w:r>
              <w:t>Reason</w:t>
            </w:r>
          </w:p>
        </w:tc>
      </w:tr>
      <w:tr w:rsidR="00ED1386" w14:paraId="033AE2BF" w14:textId="77777777" w:rsidTr="002357D0">
        <w:trPr>
          <w:jc w:val="center"/>
        </w:trPr>
        <w:tc>
          <w:tcPr>
            <w:tcW w:w="0" w:type="auto"/>
            <w:vAlign w:val="center"/>
          </w:tcPr>
          <w:p w14:paraId="21EC7FC2" w14:textId="77777777" w:rsidR="00ED1386" w:rsidRDefault="00ED1386" w:rsidP="002357D0">
            <w:pPr>
              <w:pStyle w:val="Compact"/>
              <w:keepNext/>
              <w:jc w:val="both"/>
            </w:pPr>
            <w:r>
              <w:t>Candidate pool</w:t>
            </w:r>
          </w:p>
        </w:tc>
        <w:tc>
          <w:tcPr>
            <w:tcW w:w="0" w:type="auto"/>
            <w:vAlign w:val="center"/>
          </w:tcPr>
          <w:p w14:paraId="08EDF89E" w14:textId="77777777" w:rsidR="00ED1386" w:rsidRDefault="00ED1386" w:rsidP="002357D0">
            <w:pPr>
              <w:pStyle w:val="Compact"/>
              <w:keepNext/>
              <w:jc w:val="both"/>
            </w:pPr>
            <w:r>
              <w:t>5,825</w:t>
            </w:r>
          </w:p>
        </w:tc>
        <w:tc>
          <w:tcPr>
            <w:tcW w:w="0" w:type="auto"/>
            <w:vAlign w:val="center"/>
          </w:tcPr>
          <w:p w14:paraId="2C676F49" w14:textId="77777777" w:rsidR="00ED1386" w:rsidRDefault="00ED1386" w:rsidP="002357D0">
            <w:pPr>
              <w:pStyle w:val="Compact"/>
              <w:keepNext/>
              <w:jc w:val="both"/>
            </w:pPr>
            <w:r>
              <w:t>—</w:t>
            </w:r>
          </w:p>
        </w:tc>
        <w:tc>
          <w:tcPr>
            <w:tcW w:w="0" w:type="auto"/>
            <w:vAlign w:val="center"/>
          </w:tcPr>
          <w:p w14:paraId="17250B9A" w14:textId="77777777" w:rsidR="00ED1386" w:rsidRDefault="00ED1386" w:rsidP="002357D0">
            <w:pPr>
              <w:pStyle w:val="Compact"/>
              <w:keepNext/>
              <w:jc w:val="both"/>
            </w:pPr>
            <w:r>
              <w:t>Full WS-DREAM Dataset 1 service list</w:t>
            </w:r>
          </w:p>
        </w:tc>
      </w:tr>
      <w:tr w:rsidR="00ED1386" w14:paraId="658ADCDE" w14:textId="77777777" w:rsidTr="002357D0">
        <w:trPr>
          <w:jc w:val="center"/>
        </w:trPr>
        <w:tc>
          <w:tcPr>
            <w:tcW w:w="0" w:type="auto"/>
            <w:vAlign w:val="center"/>
          </w:tcPr>
          <w:p w14:paraId="05197E06" w14:textId="77777777" w:rsidR="00ED1386" w:rsidRDefault="00ED1386" w:rsidP="002357D0">
            <w:pPr>
              <w:pStyle w:val="Compact"/>
              <w:keepNext/>
              <w:jc w:val="both"/>
            </w:pPr>
            <w:r>
              <w:t>(1) Identity resolution</w:t>
            </w:r>
          </w:p>
        </w:tc>
        <w:tc>
          <w:tcPr>
            <w:tcW w:w="0" w:type="auto"/>
            <w:vAlign w:val="center"/>
          </w:tcPr>
          <w:p w14:paraId="3E046E58" w14:textId="77777777" w:rsidR="00ED1386" w:rsidRDefault="00ED1386" w:rsidP="002357D0">
            <w:pPr>
              <w:pStyle w:val="Compact"/>
              <w:keepNext/>
              <w:jc w:val="both"/>
            </w:pPr>
            <w:r>
              <w:t>5,647</w:t>
            </w:r>
          </w:p>
        </w:tc>
        <w:tc>
          <w:tcPr>
            <w:tcW w:w="0" w:type="auto"/>
            <w:vAlign w:val="center"/>
          </w:tcPr>
          <w:p w14:paraId="4B09FF59" w14:textId="77777777" w:rsidR="00ED1386" w:rsidRDefault="00ED1386" w:rsidP="002357D0">
            <w:pPr>
              <w:pStyle w:val="Compact"/>
              <w:keepNext/>
              <w:jc w:val="both"/>
            </w:pPr>
            <w:r>
              <w:t>178</w:t>
            </w:r>
          </w:p>
        </w:tc>
        <w:tc>
          <w:tcPr>
            <w:tcW w:w="0" w:type="auto"/>
            <w:vAlign w:val="center"/>
          </w:tcPr>
          <w:p w14:paraId="5995DEA2" w14:textId="77777777" w:rsidR="00ED1386" w:rsidRDefault="00ED1386" w:rsidP="002357D0">
            <w:pPr>
              <w:pStyle w:val="Compact"/>
              <w:keepNext/>
              <w:jc w:val="both"/>
            </w:pPr>
            <w:r>
              <w:t>Provider field is a bare IP with no organizational name</w:t>
            </w:r>
          </w:p>
        </w:tc>
      </w:tr>
      <w:tr w:rsidR="00ED1386" w14:paraId="7C4B3F2C" w14:textId="77777777" w:rsidTr="002357D0">
        <w:trPr>
          <w:jc w:val="center"/>
        </w:trPr>
        <w:tc>
          <w:tcPr>
            <w:tcW w:w="0" w:type="auto"/>
            <w:vAlign w:val="center"/>
          </w:tcPr>
          <w:p w14:paraId="1B481FB2" w14:textId="77777777" w:rsidR="00ED1386" w:rsidRDefault="00ED1386" w:rsidP="002357D0">
            <w:pPr>
              <w:pStyle w:val="Compact"/>
              <w:keepNext/>
              <w:jc w:val="both"/>
            </w:pPr>
            <w:r>
              <w:t>(2) Evidence-source match</w:t>
            </w:r>
          </w:p>
        </w:tc>
        <w:tc>
          <w:tcPr>
            <w:tcW w:w="0" w:type="auto"/>
            <w:vAlign w:val="center"/>
          </w:tcPr>
          <w:p w14:paraId="38F4AA7C" w14:textId="77777777" w:rsidR="00ED1386" w:rsidRDefault="00ED1386" w:rsidP="002357D0">
            <w:pPr>
              <w:pStyle w:val="Compact"/>
              <w:keepNext/>
              <w:jc w:val="both"/>
            </w:pPr>
            <w:r>
              <w:t>0</w:t>
            </w:r>
          </w:p>
        </w:tc>
        <w:tc>
          <w:tcPr>
            <w:tcW w:w="0" w:type="auto"/>
            <w:vAlign w:val="center"/>
          </w:tcPr>
          <w:p w14:paraId="1D3D2114" w14:textId="77777777" w:rsidR="00ED1386" w:rsidRDefault="00ED1386" w:rsidP="002357D0">
            <w:pPr>
              <w:pStyle w:val="Compact"/>
              <w:keepNext/>
              <w:jc w:val="both"/>
            </w:pPr>
            <w:r>
              <w:t>5,647</w:t>
            </w:r>
          </w:p>
        </w:tc>
        <w:tc>
          <w:tcPr>
            <w:tcW w:w="0" w:type="auto"/>
            <w:vAlign w:val="center"/>
          </w:tcPr>
          <w:p w14:paraId="4D2AC16D" w14:textId="77777777" w:rsidR="00ED1386" w:rsidRDefault="00ED1386" w:rsidP="002357D0">
            <w:pPr>
              <w:pStyle w:val="Compact"/>
              <w:keepNext/>
              <w:jc w:val="both"/>
            </w:pPr>
            <w:r>
              <w:t xml:space="preserve">No </w:t>
            </w:r>
            <w:proofErr w:type="spellStart"/>
            <w:proofErr w:type="gramStart"/>
            <w:r>
              <w:t>vendor:product</w:t>
            </w:r>
            <w:proofErr w:type="gramEnd"/>
            <w:r>
              <w:t>:version</w:t>
            </w:r>
            <w:proofErr w:type="spellEnd"/>
            <w:r>
              <w:t xml:space="preserve"> identifier exists anywhere in the dataset; CVE/CVSS/KEV and CSA STAR/CAIQ/CCM are indexed by </w:t>
            </w:r>
            <w:proofErr w:type="spellStart"/>
            <w:r>
              <w:t>product+version</w:t>
            </w:r>
            <w:proofErr w:type="spellEnd"/>
            <w:r>
              <w:t xml:space="preserve"> or named cloud offering, not by anonymous WSDL endpoint</w:t>
            </w:r>
          </w:p>
        </w:tc>
      </w:tr>
      <w:tr w:rsidR="00ED1386" w14:paraId="02355038" w14:textId="77777777" w:rsidTr="002357D0">
        <w:trPr>
          <w:jc w:val="center"/>
        </w:trPr>
        <w:tc>
          <w:tcPr>
            <w:tcW w:w="0" w:type="auto"/>
            <w:vAlign w:val="center"/>
          </w:tcPr>
          <w:p w14:paraId="6DC36D3F" w14:textId="77777777" w:rsidR="00ED1386" w:rsidRDefault="00ED1386" w:rsidP="002357D0">
            <w:pPr>
              <w:pStyle w:val="Compact"/>
              <w:keepNext/>
              <w:jc w:val="both"/>
            </w:pPr>
            <w:r>
              <w:t>(3) Temporal validity</w:t>
            </w:r>
          </w:p>
        </w:tc>
        <w:tc>
          <w:tcPr>
            <w:tcW w:w="0" w:type="auto"/>
            <w:vAlign w:val="center"/>
          </w:tcPr>
          <w:p w14:paraId="7D430A3C" w14:textId="77777777" w:rsidR="00ED1386" w:rsidRDefault="00ED1386" w:rsidP="002357D0">
            <w:pPr>
              <w:pStyle w:val="Compact"/>
              <w:keepNext/>
              <w:jc w:val="both"/>
            </w:pPr>
            <w:r>
              <w:t>0</w:t>
            </w:r>
          </w:p>
        </w:tc>
        <w:tc>
          <w:tcPr>
            <w:tcW w:w="0" w:type="auto"/>
            <w:vAlign w:val="center"/>
          </w:tcPr>
          <w:p w14:paraId="0FECA5D9" w14:textId="77777777" w:rsidR="00ED1386" w:rsidRDefault="00ED1386" w:rsidP="002357D0">
            <w:pPr>
              <w:pStyle w:val="Compact"/>
              <w:keepNext/>
              <w:jc w:val="both"/>
            </w:pPr>
            <w:r>
              <w:t>0</w:t>
            </w:r>
          </w:p>
        </w:tc>
        <w:tc>
          <w:tcPr>
            <w:tcW w:w="0" w:type="auto"/>
            <w:vAlign w:val="center"/>
          </w:tcPr>
          <w:p w14:paraId="04A327AA" w14:textId="77777777" w:rsidR="00ED1386" w:rsidRDefault="00ED1386" w:rsidP="002357D0">
            <w:pPr>
              <w:pStyle w:val="Compact"/>
              <w:keepNext/>
              <w:jc w:val="both"/>
            </w:pPr>
            <w:r>
              <w:t>Not reached</w:t>
            </w:r>
          </w:p>
        </w:tc>
      </w:tr>
      <w:tr w:rsidR="00ED1386" w14:paraId="4605B9FF" w14:textId="77777777" w:rsidTr="002357D0">
        <w:trPr>
          <w:jc w:val="center"/>
        </w:trPr>
        <w:tc>
          <w:tcPr>
            <w:tcW w:w="0" w:type="auto"/>
            <w:vAlign w:val="center"/>
          </w:tcPr>
          <w:p w14:paraId="5253354E" w14:textId="77777777" w:rsidR="00ED1386" w:rsidRDefault="00ED1386" w:rsidP="002357D0">
            <w:pPr>
              <w:pStyle w:val="Compact"/>
              <w:keepNext/>
              <w:jc w:val="both"/>
            </w:pPr>
            <w:r>
              <w:t>(4) Provenance review</w:t>
            </w:r>
          </w:p>
        </w:tc>
        <w:tc>
          <w:tcPr>
            <w:tcW w:w="0" w:type="auto"/>
            <w:vAlign w:val="center"/>
          </w:tcPr>
          <w:p w14:paraId="5D30DDAF" w14:textId="77777777" w:rsidR="00ED1386" w:rsidRDefault="00ED1386" w:rsidP="002357D0">
            <w:pPr>
              <w:pStyle w:val="Compact"/>
              <w:keepNext/>
              <w:jc w:val="both"/>
            </w:pPr>
            <w:r>
              <w:t>0</w:t>
            </w:r>
          </w:p>
        </w:tc>
        <w:tc>
          <w:tcPr>
            <w:tcW w:w="0" w:type="auto"/>
            <w:vAlign w:val="center"/>
          </w:tcPr>
          <w:p w14:paraId="36B56614" w14:textId="77777777" w:rsidR="00ED1386" w:rsidRDefault="00ED1386" w:rsidP="002357D0">
            <w:pPr>
              <w:pStyle w:val="Compact"/>
              <w:keepNext/>
              <w:jc w:val="both"/>
            </w:pPr>
            <w:r>
              <w:t>0</w:t>
            </w:r>
          </w:p>
        </w:tc>
        <w:tc>
          <w:tcPr>
            <w:tcW w:w="0" w:type="auto"/>
            <w:vAlign w:val="center"/>
          </w:tcPr>
          <w:p w14:paraId="6819EF7F" w14:textId="77777777" w:rsidR="00ED1386" w:rsidRDefault="00ED1386" w:rsidP="002357D0">
            <w:pPr>
              <w:pStyle w:val="Compact"/>
              <w:keepNext/>
              <w:jc w:val="both"/>
            </w:pPr>
            <w:r>
              <w:t>Not reached</w:t>
            </w:r>
          </w:p>
        </w:tc>
      </w:tr>
      <w:tr w:rsidR="00ED1386" w14:paraId="503B9B2E" w14:textId="77777777" w:rsidTr="002357D0">
        <w:trPr>
          <w:jc w:val="center"/>
        </w:trPr>
        <w:tc>
          <w:tcPr>
            <w:tcW w:w="0" w:type="auto"/>
            <w:vAlign w:val="center"/>
          </w:tcPr>
          <w:p w14:paraId="64BD43D3" w14:textId="77777777" w:rsidR="00ED1386" w:rsidRDefault="00ED1386" w:rsidP="002357D0">
            <w:pPr>
              <w:pStyle w:val="Compact"/>
              <w:jc w:val="both"/>
            </w:pPr>
            <w:r>
              <w:rPr>
                <w:b/>
                <w:bCs/>
              </w:rPr>
              <w:t>(5) Admitted</w:t>
            </w:r>
          </w:p>
        </w:tc>
        <w:tc>
          <w:tcPr>
            <w:tcW w:w="0" w:type="auto"/>
            <w:vAlign w:val="center"/>
          </w:tcPr>
          <w:p w14:paraId="4BDFEDD6" w14:textId="77777777" w:rsidR="00ED1386" w:rsidRDefault="00ED1386" w:rsidP="002357D0">
            <w:pPr>
              <w:pStyle w:val="Compact"/>
              <w:jc w:val="both"/>
            </w:pPr>
            <w:r>
              <w:rPr>
                <w:b/>
                <w:bCs/>
              </w:rPr>
              <w:t>0</w:t>
            </w:r>
          </w:p>
        </w:tc>
        <w:tc>
          <w:tcPr>
            <w:tcW w:w="0" w:type="auto"/>
            <w:vAlign w:val="center"/>
          </w:tcPr>
          <w:p w14:paraId="68B41211" w14:textId="77777777" w:rsidR="00ED1386" w:rsidRDefault="00ED1386" w:rsidP="002357D0">
            <w:pPr>
              <w:pStyle w:val="Compact"/>
              <w:jc w:val="both"/>
            </w:pPr>
            <w:r>
              <w:rPr>
                <w:b/>
                <w:bCs/>
              </w:rPr>
              <w:t>5,825 total excluded</w:t>
            </w:r>
          </w:p>
        </w:tc>
        <w:tc>
          <w:tcPr>
            <w:tcW w:w="0" w:type="auto"/>
            <w:vAlign w:val="center"/>
          </w:tcPr>
          <w:p w14:paraId="5F260285" w14:textId="77777777" w:rsidR="00ED1386" w:rsidRDefault="00ED1386" w:rsidP="002357D0">
            <w:pPr>
              <w:pStyle w:val="Compact"/>
              <w:jc w:val="both"/>
            </w:pPr>
          </w:p>
        </w:tc>
      </w:tr>
    </w:tbl>
    <w:p w14:paraId="19BD1F03" w14:textId="77777777" w:rsidR="00ED1386" w:rsidRDefault="00ED1386" w:rsidP="00ED1386">
      <w:pPr>
        <w:pStyle w:val="BodyText"/>
        <w:spacing w:before="160"/>
        <w:jc w:val="both"/>
      </w:pPr>
      <w:r>
        <w:t xml:space="preserve">This is a structural property of a 2009–2010 QoS-only </w:t>
      </w:r>
      <w:proofErr w:type="spellStart"/>
      <w:r>
        <w:t>PlanetLab</w:t>
      </w:r>
      <w:proofErr w:type="spellEnd"/>
      <w:r>
        <w:t xml:space="preserve"> crawl, not a search-effort shortfall; most endpoints are custom ASMX/WSDL services with no declared software identity, and many are no longer live.</w:t>
      </w:r>
    </w:p>
    <w:p w14:paraId="075B6DC4" w14:textId="77777777" w:rsidR="00ED1386" w:rsidRDefault="00ED1386" w:rsidP="00ED1386">
      <w:pPr>
        <w:pStyle w:val="BodyText"/>
        <w:jc w:val="both"/>
      </w:pPr>
      <w:r>
        <w:rPr>
          <w:b/>
          <w:bCs/>
        </w:rPr>
        <w:t xml:space="preserve">Independent re-verification: </w:t>
      </w:r>
      <w:r>
        <w:t xml:space="preserve">the Stage-1 identity-resolution counts above were independently recomputed directly from the released wslist.txt file by parsing the Service Provider field for all 5,825 records: 5,647 resolve to a named provider/organization string and 178 resolve to a bare IP address with no organizational name, exactly matching the counts reported above. A supplementary heuristic check searched every WSDL URL for any numeric token resembling a version string (e.g., a </w:t>
      </w:r>
      <w:proofErr w:type="spellStart"/>
      <w:r>
        <w:t>d+.d</w:t>
      </w:r>
      <w:proofErr w:type="spellEnd"/>
      <w:r>
        <w:t xml:space="preserve">+ pattern in the path); 223 of 5,825 URLs (3.8%) contain such a token, but on inspection these are incidental digits in hostnames or path segments (e.g., IP-derived subdomains, arbitrary endpoint numbering), not a </w:t>
      </w:r>
      <w:proofErr w:type="spellStart"/>
      <w:r>
        <w:t>vendor:product:version</w:t>
      </w:r>
      <w:proofErr w:type="spellEnd"/>
      <w:r>
        <w:t xml:space="preserve"> identifier of the kind CVE/CVSS/CISA-KEV/CSA-STAR matching requires. This heuristic check therefore does not change the 0/5,825 admissibility conclusion; it is reported here to show that the absence of usable identity is not an artifact of an overly strict parsing rule.</w:t>
      </w:r>
    </w:p>
    <w:p w14:paraId="598EAA1B" w14:textId="77777777" w:rsidR="00ED1386" w:rsidRDefault="00ED1386" w:rsidP="00ED1386">
      <w:pPr>
        <w:pStyle w:val="Heading1"/>
        <w:jc w:val="both"/>
      </w:pPr>
      <w:bookmarkStart w:id="2" w:name="_Toc240457111"/>
      <w:bookmarkStart w:id="3" w:name="X4a11493864aaa6e64907e072cf13ca0a497a9b9"/>
      <w:bookmarkEnd w:id="1"/>
      <w:r>
        <w:t>Appendix B: Hardware/Software Environment, Seeds, and Released Artifacts</w:t>
      </w:r>
      <w:bookmarkEnd w:id="2"/>
    </w:p>
    <w:tbl>
      <w:tblPr>
        <w:tblStyle w:val="Table"/>
        <w:tblW w:w="0" w:type="auto"/>
        <w:jc w:val="center"/>
        <w:tblLook w:val="04A0" w:firstRow="1" w:lastRow="0" w:firstColumn="1" w:lastColumn="0" w:noHBand="0" w:noVBand="1"/>
      </w:tblPr>
      <w:tblGrid>
        <w:gridCol w:w="3124"/>
        <w:gridCol w:w="6956"/>
      </w:tblGrid>
      <w:tr w:rsidR="00ED1386" w14:paraId="6F3DF1BD" w14:textId="77777777" w:rsidTr="002357D0">
        <w:trPr>
          <w:cnfStyle w:val="100000000000" w:firstRow="1" w:lastRow="0" w:firstColumn="0" w:lastColumn="0" w:oddVBand="0" w:evenVBand="0" w:oddHBand="0" w:evenHBand="0" w:firstRowFirstColumn="0" w:firstRowLastColumn="0" w:lastRowFirstColumn="0" w:lastRowLastColumn="0"/>
          <w:tblHeader/>
          <w:jc w:val="center"/>
        </w:trPr>
        <w:tc>
          <w:tcPr>
            <w:tcW w:w="0" w:type="auto"/>
            <w:vAlign w:val="center"/>
          </w:tcPr>
          <w:p w14:paraId="5120A699" w14:textId="77777777" w:rsidR="00ED1386" w:rsidRDefault="00ED1386" w:rsidP="002357D0">
            <w:pPr>
              <w:pStyle w:val="Compact"/>
              <w:jc w:val="both"/>
            </w:pPr>
            <w:r>
              <w:t>Item</w:t>
            </w:r>
          </w:p>
        </w:tc>
        <w:tc>
          <w:tcPr>
            <w:tcW w:w="0" w:type="auto"/>
            <w:vAlign w:val="center"/>
          </w:tcPr>
          <w:p w14:paraId="6CA41EC9" w14:textId="77777777" w:rsidR="00ED1386" w:rsidRDefault="00ED1386" w:rsidP="002357D0">
            <w:pPr>
              <w:pStyle w:val="Compact"/>
              <w:jc w:val="both"/>
            </w:pPr>
            <w:r>
              <w:t>Value</w:t>
            </w:r>
          </w:p>
        </w:tc>
      </w:tr>
      <w:tr w:rsidR="00ED1386" w14:paraId="053AB2C2" w14:textId="77777777" w:rsidTr="002357D0">
        <w:trPr>
          <w:jc w:val="center"/>
        </w:trPr>
        <w:tc>
          <w:tcPr>
            <w:tcW w:w="0" w:type="auto"/>
            <w:vAlign w:val="center"/>
          </w:tcPr>
          <w:p w14:paraId="366FCF14" w14:textId="77777777" w:rsidR="00ED1386" w:rsidRDefault="00ED1386" w:rsidP="002357D0">
            <w:pPr>
              <w:pStyle w:val="Compact"/>
              <w:jc w:val="both"/>
            </w:pPr>
            <w:r>
              <w:t>Python</w:t>
            </w:r>
          </w:p>
        </w:tc>
        <w:tc>
          <w:tcPr>
            <w:tcW w:w="0" w:type="auto"/>
            <w:vAlign w:val="center"/>
          </w:tcPr>
          <w:p w14:paraId="7A680FFF" w14:textId="77777777" w:rsidR="00ED1386" w:rsidRDefault="00ED1386" w:rsidP="002357D0">
            <w:pPr>
              <w:pStyle w:val="Compact"/>
              <w:jc w:val="both"/>
            </w:pPr>
            <w:r>
              <w:t>3.12.3</w:t>
            </w:r>
          </w:p>
        </w:tc>
      </w:tr>
      <w:tr w:rsidR="00ED1386" w14:paraId="3A3DA0B6" w14:textId="77777777" w:rsidTr="002357D0">
        <w:trPr>
          <w:jc w:val="center"/>
        </w:trPr>
        <w:tc>
          <w:tcPr>
            <w:tcW w:w="0" w:type="auto"/>
            <w:vAlign w:val="center"/>
          </w:tcPr>
          <w:p w14:paraId="37E87F8A" w14:textId="77777777" w:rsidR="00ED1386" w:rsidRDefault="00ED1386" w:rsidP="002357D0">
            <w:pPr>
              <w:pStyle w:val="Compact"/>
              <w:jc w:val="both"/>
            </w:pPr>
            <w:r>
              <w:t>NumPy</w:t>
            </w:r>
          </w:p>
        </w:tc>
        <w:tc>
          <w:tcPr>
            <w:tcW w:w="0" w:type="auto"/>
            <w:vAlign w:val="center"/>
          </w:tcPr>
          <w:p w14:paraId="6D719A69" w14:textId="77777777" w:rsidR="00ED1386" w:rsidRDefault="00ED1386" w:rsidP="002357D0">
            <w:pPr>
              <w:pStyle w:val="Compact"/>
              <w:jc w:val="both"/>
            </w:pPr>
            <w:r>
              <w:t>2.4.4</w:t>
            </w:r>
          </w:p>
        </w:tc>
      </w:tr>
      <w:tr w:rsidR="00ED1386" w14:paraId="1EF79054" w14:textId="77777777" w:rsidTr="002357D0">
        <w:trPr>
          <w:jc w:val="center"/>
        </w:trPr>
        <w:tc>
          <w:tcPr>
            <w:tcW w:w="0" w:type="auto"/>
            <w:vAlign w:val="center"/>
          </w:tcPr>
          <w:p w14:paraId="694B359D" w14:textId="77777777" w:rsidR="00ED1386" w:rsidRDefault="00ED1386" w:rsidP="002357D0">
            <w:pPr>
              <w:pStyle w:val="Compact"/>
              <w:jc w:val="both"/>
            </w:pPr>
            <w:r>
              <w:t>SciPy</w:t>
            </w:r>
          </w:p>
        </w:tc>
        <w:tc>
          <w:tcPr>
            <w:tcW w:w="0" w:type="auto"/>
            <w:vAlign w:val="center"/>
          </w:tcPr>
          <w:p w14:paraId="0554BD87" w14:textId="77777777" w:rsidR="00ED1386" w:rsidRDefault="00ED1386" w:rsidP="002357D0">
            <w:pPr>
              <w:pStyle w:val="Compact"/>
              <w:jc w:val="both"/>
            </w:pPr>
            <w:r>
              <w:t>1.17.1</w:t>
            </w:r>
          </w:p>
        </w:tc>
      </w:tr>
      <w:tr w:rsidR="00ED1386" w14:paraId="416405BC" w14:textId="77777777" w:rsidTr="002357D0">
        <w:trPr>
          <w:jc w:val="center"/>
        </w:trPr>
        <w:tc>
          <w:tcPr>
            <w:tcW w:w="0" w:type="auto"/>
            <w:vAlign w:val="center"/>
          </w:tcPr>
          <w:p w14:paraId="1A68A768" w14:textId="77777777" w:rsidR="00ED1386" w:rsidRDefault="00ED1386" w:rsidP="002357D0">
            <w:pPr>
              <w:pStyle w:val="Compact"/>
              <w:jc w:val="both"/>
            </w:pPr>
            <w:r>
              <w:t>pandas</w:t>
            </w:r>
          </w:p>
        </w:tc>
        <w:tc>
          <w:tcPr>
            <w:tcW w:w="0" w:type="auto"/>
            <w:vAlign w:val="center"/>
          </w:tcPr>
          <w:p w14:paraId="3BEAFFCC" w14:textId="77777777" w:rsidR="00ED1386" w:rsidRDefault="00ED1386" w:rsidP="002357D0">
            <w:pPr>
              <w:pStyle w:val="Compact"/>
              <w:jc w:val="both"/>
            </w:pPr>
            <w:r>
              <w:t>2.x (results/CSV handling)</w:t>
            </w:r>
          </w:p>
        </w:tc>
      </w:tr>
      <w:tr w:rsidR="00ED1386" w14:paraId="696DD567" w14:textId="77777777" w:rsidTr="002357D0">
        <w:trPr>
          <w:jc w:val="center"/>
        </w:trPr>
        <w:tc>
          <w:tcPr>
            <w:tcW w:w="0" w:type="auto"/>
            <w:vAlign w:val="center"/>
          </w:tcPr>
          <w:p w14:paraId="353CC1DB" w14:textId="77777777" w:rsidR="00ED1386" w:rsidRDefault="00ED1386" w:rsidP="002357D0">
            <w:pPr>
              <w:pStyle w:val="Compact"/>
              <w:jc w:val="both"/>
            </w:pPr>
            <w:r>
              <w:t>Matplotlib</w:t>
            </w:r>
          </w:p>
        </w:tc>
        <w:tc>
          <w:tcPr>
            <w:tcW w:w="0" w:type="auto"/>
            <w:vAlign w:val="center"/>
          </w:tcPr>
          <w:p w14:paraId="76E5D01D" w14:textId="77777777" w:rsidR="00ED1386" w:rsidRDefault="00ED1386" w:rsidP="002357D0">
            <w:pPr>
              <w:pStyle w:val="Compact"/>
              <w:jc w:val="both"/>
            </w:pPr>
            <w:r>
              <w:t>3.x (Figs. 2–7 only)</w:t>
            </w:r>
          </w:p>
        </w:tc>
      </w:tr>
      <w:tr w:rsidR="00ED1386" w14:paraId="0E4B04DF" w14:textId="77777777" w:rsidTr="002357D0">
        <w:trPr>
          <w:jc w:val="center"/>
        </w:trPr>
        <w:tc>
          <w:tcPr>
            <w:tcW w:w="0" w:type="auto"/>
            <w:vAlign w:val="center"/>
          </w:tcPr>
          <w:p w14:paraId="35A0CDC6" w14:textId="77777777" w:rsidR="00ED1386" w:rsidRDefault="00ED1386" w:rsidP="002357D0">
            <w:pPr>
              <w:pStyle w:val="Compact"/>
              <w:jc w:val="both"/>
            </w:pPr>
            <w:r>
              <w:t>Platform</w:t>
            </w:r>
          </w:p>
        </w:tc>
        <w:tc>
          <w:tcPr>
            <w:tcW w:w="0" w:type="auto"/>
            <w:vAlign w:val="center"/>
          </w:tcPr>
          <w:p w14:paraId="7502FA58" w14:textId="77777777" w:rsidR="00ED1386" w:rsidRDefault="00ED1386" w:rsidP="002357D0">
            <w:pPr>
              <w:pStyle w:val="Compact"/>
              <w:jc w:val="both"/>
            </w:pPr>
            <w:r>
              <w:t>Linux x86_64 container, single core</w:t>
            </w:r>
          </w:p>
        </w:tc>
      </w:tr>
      <w:tr w:rsidR="00ED1386" w14:paraId="769C57CC" w14:textId="77777777" w:rsidTr="002357D0">
        <w:trPr>
          <w:jc w:val="center"/>
        </w:trPr>
        <w:tc>
          <w:tcPr>
            <w:tcW w:w="0" w:type="auto"/>
            <w:vAlign w:val="center"/>
          </w:tcPr>
          <w:p w14:paraId="6F069F13" w14:textId="77777777" w:rsidR="00ED1386" w:rsidRDefault="00ED1386" w:rsidP="002357D0">
            <w:pPr>
              <w:pStyle w:val="Compact"/>
              <w:jc w:val="both"/>
            </w:pPr>
            <w:proofErr w:type="spellStart"/>
            <w:r>
              <w:t>pymoo</w:t>
            </w:r>
            <w:proofErr w:type="spellEnd"/>
          </w:p>
        </w:tc>
        <w:tc>
          <w:tcPr>
            <w:tcW w:w="0" w:type="auto"/>
            <w:vAlign w:val="center"/>
          </w:tcPr>
          <w:p w14:paraId="6C11815A" w14:textId="77777777" w:rsidR="00ED1386" w:rsidRDefault="00ED1386" w:rsidP="002357D0">
            <w:pPr>
              <w:pStyle w:val="Compact"/>
              <w:jc w:val="both"/>
            </w:pPr>
            <w:r>
              <w:t>Not used — the NSGA-II-lineage GA is a native implementation (Sec. 6.5)</w:t>
            </w:r>
          </w:p>
        </w:tc>
      </w:tr>
      <w:tr w:rsidR="00ED1386" w14:paraId="3FF9312D" w14:textId="77777777" w:rsidTr="002357D0">
        <w:trPr>
          <w:jc w:val="center"/>
        </w:trPr>
        <w:tc>
          <w:tcPr>
            <w:tcW w:w="0" w:type="auto"/>
            <w:vAlign w:val="center"/>
          </w:tcPr>
          <w:p w14:paraId="66E121EC" w14:textId="77777777" w:rsidR="00ED1386" w:rsidRDefault="00ED1386" w:rsidP="002357D0">
            <w:pPr>
              <w:pStyle w:val="Compact"/>
              <w:jc w:val="both"/>
            </w:pPr>
            <w:r>
              <w:lastRenderedPageBreak/>
              <w:t>Total wall time, Sec. 7.1 (360 runs + convergence capture)</w:t>
            </w:r>
          </w:p>
        </w:tc>
        <w:tc>
          <w:tcPr>
            <w:tcW w:w="0" w:type="auto"/>
            <w:vAlign w:val="center"/>
          </w:tcPr>
          <w:p w14:paraId="65DF3B77" w14:textId="77777777" w:rsidR="00ED1386" w:rsidRDefault="00ED1386" w:rsidP="002357D0">
            <w:pPr>
              <w:pStyle w:val="Compact"/>
              <w:jc w:val="both"/>
            </w:pPr>
            <w:r>
              <w:t>≈125 s (single measured run; convergence-trace capture rerun adds a comparable second pass)</w:t>
            </w:r>
          </w:p>
        </w:tc>
      </w:tr>
      <w:tr w:rsidR="00ED1386" w14:paraId="1F62C5A9" w14:textId="77777777" w:rsidTr="002357D0">
        <w:trPr>
          <w:jc w:val="center"/>
        </w:trPr>
        <w:tc>
          <w:tcPr>
            <w:tcW w:w="0" w:type="auto"/>
            <w:vAlign w:val="center"/>
          </w:tcPr>
          <w:p w14:paraId="55E0693B" w14:textId="77777777" w:rsidR="00ED1386" w:rsidRDefault="00ED1386" w:rsidP="002357D0">
            <w:pPr>
              <w:pStyle w:val="Compact"/>
              <w:jc w:val="both"/>
            </w:pPr>
            <w:r>
              <w:t>Total wall time, Sec. 7.2–7.9 (all sensitivity studies)</w:t>
            </w:r>
          </w:p>
        </w:tc>
        <w:tc>
          <w:tcPr>
            <w:tcW w:w="0" w:type="auto"/>
            <w:vAlign w:val="center"/>
          </w:tcPr>
          <w:p w14:paraId="1D31ED21" w14:textId="77777777" w:rsidR="00ED1386" w:rsidRDefault="00ED1386" w:rsidP="002357D0">
            <w:pPr>
              <w:pStyle w:val="Compact"/>
              <w:jc w:val="both"/>
            </w:pPr>
            <w:r>
              <w:t>On the order of a few minutes total, single core</w:t>
            </w:r>
          </w:p>
        </w:tc>
      </w:tr>
      <w:tr w:rsidR="00ED1386" w14:paraId="649AFF63" w14:textId="77777777" w:rsidTr="002357D0">
        <w:trPr>
          <w:jc w:val="center"/>
        </w:trPr>
        <w:tc>
          <w:tcPr>
            <w:tcW w:w="0" w:type="auto"/>
            <w:vAlign w:val="center"/>
          </w:tcPr>
          <w:p w14:paraId="2B45A07D" w14:textId="77777777" w:rsidR="00ED1386" w:rsidRDefault="00ED1386" w:rsidP="002357D0">
            <w:pPr>
              <w:pStyle w:val="Compact"/>
              <w:jc w:val="both"/>
            </w:pPr>
            <w:r>
              <w:t>Seeds</w:t>
            </w:r>
          </w:p>
        </w:tc>
        <w:tc>
          <w:tcPr>
            <w:tcW w:w="0" w:type="auto"/>
            <w:vAlign w:val="center"/>
          </w:tcPr>
          <w:p w14:paraId="292AA8D0" w14:textId="77777777" w:rsidR="00ED1386" w:rsidRDefault="00ED1386" w:rsidP="002357D0">
            <w:pPr>
              <w:pStyle w:val="Compact"/>
              <w:jc w:val="both"/>
            </w:pPr>
            <w:r>
              <w:t>1–30 (identical across all four algorithms in Sec. 7.1; “matched”); Sec. 7.2–7.9 use deterministic per-study seed offsets documented in run_all.py</w:t>
            </w:r>
          </w:p>
        </w:tc>
      </w:tr>
      <w:tr w:rsidR="00ED1386" w14:paraId="66D360B1" w14:textId="77777777" w:rsidTr="002357D0">
        <w:trPr>
          <w:jc w:val="center"/>
        </w:trPr>
        <w:tc>
          <w:tcPr>
            <w:tcW w:w="0" w:type="auto"/>
            <w:vAlign w:val="center"/>
          </w:tcPr>
          <w:p w14:paraId="29447247" w14:textId="77777777" w:rsidR="00ED1386" w:rsidRDefault="00ED1386" w:rsidP="002357D0">
            <w:pPr>
              <w:pStyle w:val="Compact"/>
              <w:jc w:val="both"/>
            </w:pPr>
            <w:r>
              <w:t>Master candidate-pool seed</w:t>
            </w:r>
          </w:p>
        </w:tc>
        <w:tc>
          <w:tcPr>
            <w:tcW w:w="0" w:type="auto"/>
            <w:vAlign w:val="center"/>
          </w:tcPr>
          <w:p w14:paraId="41E0C431" w14:textId="77777777" w:rsidR="00ED1386" w:rsidRDefault="00ED1386" w:rsidP="002357D0">
            <w:pPr>
              <w:pStyle w:val="Compact"/>
              <w:jc w:val="both"/>
            </w:pPr>
            <w:r>
              <w:t>20260916</w:t>
            </w:r>
          </w:p>
        </w:tc>
      </w:tr>
      <w:tr w:rsidR="00ED1386" w14:paraId="1C35AA6C" w14:textId="77777777" w:rsidTr="002357D0">
        <w:trPr>
          <w:jc w:val="center"/>
        </w:trPr>
        <w:tc>
          <w:tcPr>
            <w:tcW w:w="0" w:type="auto"/>
            <w:vAlign w:val="center"/>
          </w:tcPr>
          <w:p w14:paraId="56315EC9" w14:textId="77777777" w:rsidR="00ED1386" w:rsidRDefault="00ED1386" w:rsidP="002357D0">
            <w:pPr>
              <w:pStyle w:val="Compact"/>
              <w:jc w:val="both"/>
            </w:pPr>
            <w:r>
              <w:t>Metadata generation seed</w:t>
            </w:r>
          </w:p>
        </w:tc>
        <w:tc>
          <w:tcPr>
            <w:tcW w:w="0" w:type="auto"/>
            <w:vAlign w:val="center"/>
          </w:tcPr>
          <w:p w14:paraId="3F0E21DB" w14:textId="77777777" w:rsidR="00ED1386" w:rsidRDefault="00ED1386" w:rsidP="002357D0">
            <w:pPr>
              <w:pStyle w:val="Compact"/>
              <w:jc w:val="both"/>
            </w:pPr>
            <w:r>
              <w:t>20260917</w:t>
            </w:r>
          </w:p>
        </w:tc>
      </w:tr>
    </w:tbl>
    <w:p w14:paraId="51D7BF3C" w14:textId="77777777" w:rsidR="00ED1386" w:rsidRDefault="00ED1386" w:rsidP="00ED1386">
      <w:pPr>
        <w:pStyle w:val="BodyText"/>
        <w:spacing w:before="160"/>
        <w:jc w:val="both"/>
      </w:pPr>
      <w:r>
        <w:rPr>
          <w:b/>
        </w:rPr>
        <w:t>Released files:</w:t>
      </w:r>
      <w:r>
        <w:t xml:space="preserve"> common.py (data loading, candidate-pool construction, synthetic metadata, objective function), algorithms.py (reference constrained PSO, custom constrained-domination NSGA-II-lineage GA, MOPSO, Random), run_all.py (driver for Sections 7.1–7.9), save_convergence.py (per-iteration trace capture), make_figures.py (Figs. 2–7), results_7_1.csv (360 rows: policy, algorithm, seed, F, feasible, runtime, SR, PE), convergence.csv (18,000 rows: per-iteration best-feasible-F trace for every Section 7.1 run), </w:t>
      </w:r>
      <w:proofErr w:type="spellStart"/>
      <w:r>
        <w:t>stats_summary.json</w:t>
      </w:r>
      <w:proofErr w:type="spellEnd"/>
      <w:r>
        <w:t xml:space="preserve"> (Friedman, Holm-adjusted p-values, rank-biserial effect sizes), policy_sensitivity_7_2.csv, ablation_7_3.csv, threshold_grid_7_4.csv, staleness_7_5.csv, noise_7_6.csv, location_sensitivity_7_7.csv, weight_sensitivity_7_8.csv, forecast_error_7_9.csv (one file per sensitivity study, Sec. 7.2–7.9), and the evidence-mapping verification script and its output underlying Appendix A. All files are produced directly by the released code from the seeds listed above; no manuscript number in Tables 5–8 or Figs. 2–7 was hand-edited after generation.</w:t>
      </w:r>
    </w:p>
    <w:p w14:paraId="5CD03E02" w14:textId="77777777" w:rsidR="00ED1386" w:rsidRDefault="00ED1386" w:rsidP="00ED1386">
      <w:pPr>
        <w:pStyle w:val="BodyText"/>
        <w:jc w:val="both"/>
      </w:pPr>
      <w:r>
        <w:rPr>
          <w:b/>
        </w:rPr>
        <w:t>Table B1. Objective components, aggregation rules, normalization, and weights (entries in yellow are to be completed from the released common.py before submission).</w:t>
      </w:r>
    </w:p>
    <w:tbl>
      <w:tblPr>
        <w:tblStyle w:val="Table"/>
        <w:tblW w:w="0" w:type="auto"/>
        <w:jc w:val="center"/>
        <w:tblLook w:val="0020" w:firstRow="1" w:lastRow="0" w:firstColumn="0" w:lastColumn="0" w:noHBand="0" w:noVBand="0"/>
      </w:tblPr>
      <w:tblGrid>
        <w:gridCol w:w="3168"/>
        <w:gridCol w:w="6192"/>
      </w:tblGrid>
      <w:tr w:rsidR="00ED1386" w14:paraId="60D0D1E8" w14:textId="77777777" w:rsidTr="002357D0">
        <w:trPr>
          <w:cnfStyle w:val="100000000000" w:firstRow="1" w:lastRow="0" w:firstColumn="0" w:lastColumn="0" w:oddVBand="0" w:evenVBand="0" w:oddHBand="0" w:evenHBand="0" w:firstRowFirstColumn="0" w:firstRowLastColumn="0" w:lastRowFirstColumn="0" w:lastRowLastColumn="0"/>
          <w:tblHeader/>
          <w:jc w:val="center"/>
        </w:trPr>
        <w:tc>
          <w:tcPr>
            <w:tcW w:w="3168" w:type="dxa"/>
            <w:vAlign w:val="center"/>
          </w:tcPr>
          <w:p w14:paraId="3BE7AB11" w14:textId="77777777" w:rsidR="00ED1386" w:rsidRDefault="00ED1386" w:rsidP="002357D0">
            <w:pPr>
              <w:pStyle w:val="Compact"/>
              <w:jc w:val="both"/>
            </w:pPr>
            <w:r>
              <w:t>Component</w:t>
            </w:r>
          </w:p>
        </w:tc>
        <w:tc>
          <w:tcPr>
            <w:tcW w:w="6192" w:type="dxa"/>
            <w:vAlign w:val="center"/>
          </w:tcPr>
          <w:p w14:paraId="419A8AEF" w14:textId="77777777" w:rsidR="00ED1386" w:rsidRDefault="00ED1386" w:rsidP="002357D0">
            <w:pPr>
              <w:pStyle w:val="Compact"/>
              <w:jc w:val="both"/>
            </w:pPr>
            <w:r>
              <w:t>Definition, aggregation rule, normalization, weight</w:t>
            </w:r>
          </w:p>
        </w:tc>
      </w:tr>
      <w:tr w:rsidR="00ED1386" w14:paraId="6921F91D" w14:textId="77777777" w:rsidTr="002357D0">
        <w:trPr>
          <w:jc w:val="center"/>
        </w:trPr>
        <w:tc>
          <w:tcPr>
            <w:tcW w:w="3168" w:type="dxa"/>
            <w:vAlign w:val="center"/>
          </w:tcPr>
          <w:p w14:paraId="46119E60" w14:textId="77777777" w:rsidR="00ED1386" w:rsidRDefault="00ED1386" w:rsidP="002357D0">
            <w:pPr>
              <w:pStyle w:val="Compact"/>
              <w:jc w:val="both"/>
            </w:pPr>
            <w:r>
              <w:t>Q(P)</w:t>
            </w:r>
          </w:p>
        </w:tc>
        <w:tc>
          <w:tcPr>
            <w:tcW w:w="6192" w:type="dxa"/>
            <w:vAlign w:val="center"/>
          </w:tcPr>
          <w:p w14:paraId="2CF5B4B3" w14:textId="77777777" w:rsidR="00ED1386" w:rsidRDefault="00ED1386" w:rsidP="002357D0">
            <w:pPr>
              <w:pStyle w:val="Compact"/>
              <w:jc w:val="both"/>
            </w:pPr>
            <w:r>
              <w:rPr>
                <w:highlight w:val="yellow"/>
              </w:rPr>
              <w:t>[Definition of the aggregate QoS utility, aggregation rule, normalization range, weight]</w:t>
            </w:r>
          </w:p>
        </w:tc>
      </w:tr>
      <w:tr w:rsidR="00ED1386" w14:paraId="3A7FAFA9" w14:textId="77777777" w:rsidTr="002357D0">
        <w:trPr>
          <w:jc w:val="center"/>
        </w:trPr>
        <w:tc>
          <w:tcPr>
            <w:tcW w:w="3168" w:type="dxa"/>
            <w:vAlign w:val="center"/>
          </w:tcPr>
          <w:p w14:paraId="575EAF51" w14:textId="77777777" w:rsidR="00ED1386" w:rsidRDefault="00ED1386" w:rsidP="002357D0">
            <w:pPr>
              <w:pStyle w:val="Compact"/>
              <w:jc w:val="both"/>
            </w:pPr>
            <w:r>
              <w:t>C(P), RT(P), TH(P)</w:t>
            </w:r>
          </w:p>
        </w:tc>
        <w:tc>
          <w:tcPr>
            <w:tcW w:w="6192" w:type="dxa"/>
            <w:vAlign w:val="center"/>
          </w:tcPr>
          <w:p w14:paraId="667891D6" w14:textId="77777777" w:rsidR="00ED1386" w:rsidRDefault="00ED1386" w:rsidP="002357D0">
            <w:pPr>
              <w:pStyle w:val="Compact"/>
              <w:jc w:val="both"/>
            </w:pPr>
            <w:r>
              <w:rPr>
                <w:highlight w:val="yellow"/>
              </w:rPr>
              <w:t xml:space="preserve">[Aggregation rule over the K classes, normalization range, weights </w:t>
            </w:r>
            <w:proofErr w:type="spellStart"/>
            <w:r>
              <w:rPr>
                <w:highlight w:val="yellow"/>
              </w:rPr>
              <w:t>λ_c</w:t>
            </w:r>
            <w:proofErr w:type="spellEnd"/>
            <w:r>
              <w:rPr>
                <w:highlight w:val="yellow"/>
              </w:rPr>
              <w:t xml:space="preserve">, </w:t>
            </w:r>
            <w:proofErr w:type="spellStart"/>
            <w:r>
              <w:rPr>
                <w:highlight w:val="yellow"/>
              </w:rPr>
              <w:t>λ_rt</w:t>
            </w:r>
            <w:proofErr w:type="spellEnd"/>
            <w:r>
              <w:rPr>
                <w:highlight w:val="yellow"/>
              </w:rPr>
              <w:t xml:space="preserve">, </w:t>
            </w:r>
            <w:proofErr w:type="spellStart"/>
            <w:r>
              <w:rPr>
                <w:highlight w:val="yellow"/>
              </w:rPr>
              <w:t>λ_th</w:t>
            </w:r>
            <w:proofErr w:type="spellEnd"/>
            <w:r>
              <w:rPr>
                <w:highlight w:val="yellow"/>
              </w:rPr>
              <w:t>]</w:t>
            </w:r>
          </w:p>
        </w:tc>
      </w:tr>
      <w:tr w:rsidR="00ED1386" w14:paraId="607F1CF6" w14:textId="77777777" w:rsidTr="002357D0">
        <w:trPr>
          <w:jc w:val="center"/>
        </w:trPr>
        <w:tc>
          <w:tcPr>
            <w:tcW w:w="3168" w:type="dxa"/>
            <w:vAlign w:val="center"/>
          </w:tcPr>
          <w:p w14:paraId="4F82B5F8" w14:textId="77777777" w:rsidR="00ED1386" w:rsidRDefault="00ED1386" w:rsidP="002357D0">
            <w:pPr>
              <w:pStyle w:val="Compact"/>
              <w:jc w:val="both"/>
            </w:pPr>
            <w:r>
              <w:t>TR(P)</w:t>
            </w:r>
          </w:p>
        </w:tc>
        <w:tc>
          <w:tcPr>
            <w:tcW w:w="6192" w:type="dxa"/>
            <w:vAlign w:val="center"/>
          </w:tcPr>
          <w:p w14:paraId="648BC12F" w14:textId="77777777" w:rsidR="00ED1386" w:rsidRDefault="00ED1386" w:rsidP="002357D0">
            <w:pPr>
              <w:pStyle w:val="Compact"/>
              <w:jc w:val="both"/>
            </w:pPr>
            <w:r>
              <w:rPr>
                <w:highlight w:val="yellow"/>
              </w:rPr>
              <w:t xml:space="preserve">[Aggregation rule, normalization range, weight </w:t>
            </w:r>
            <w:proofErr w:type="spellStart"/>
            <w:r>
              <w:rPr>
                <w:highlight w:val="yellow"/>
              </w:rPr>
              <w:t>λ_tr</w:t>
            </w:r>
            <w:proofErr w:type="spellEnd"/>
            <w:r>
              <w:rPr>
                <w:highlight w:val="yellow"/>
              </w:rPr>
              <w:t>]</w:t>
            </w:r>
          </w:p>
        </w:tc>
      </w:tr>
      <w:tr w:rsidR="00ED1386" w14:paraId="24A22E5F" w14:textId="77777777" w:rsidTr="002357D0">
        <w:trPr>
          <w:jc w:val="center"/>
        </w:trPr>
        <w:tc>
          <w:tcPr>
            <w:tcW w:w="3168" w:type="dxa"/>
            <w:vAlign w:val="center"/>
          </w:tcPr>
          <w:p w14:paraId="0786F0FF" w14:textId="77777777" w:rsidR="00ED1386" w:rsidRDefault="00ED1386" w:rsidP="002357D0">
            <w:pPr>
              <w:pStyle w:val="Compact"/>
              <w:jc w:val="both"/>
            </w:pPr>
            <w:r>
              <w:t>SR(P), PE(P)</w:t>
            </w:r>
          </w:p>
        </w:tc>
        <w:tc>
          <w:tcPr>
            <w:tcW w:w="6192" w:type="dxa"/>
            <w:vAlign w:val="center"/>
          </w:tcPr>
          <w:p w14:paraId="5ED82221" w14:textId="77777777" w:rsidR="00ED1386" w:rsidRDefault="00ED1386" w:rsidP="002357D0">
            <w:pPr>
              <w:pStyle w:val="Compact"/>
              <w:jc w:val="both"/>
            </w:pPr>
            <w:r>
              <w:t xml:space="preserve">Maximum over the selected services (Section 4.6); normalized on [0,1]; </w:t>
            </w:r>
            <w:proofErr w:type="spellStart"/>
            <w:r>
              <w:t>λ_sr</w:t>
            </w:r>
            <w:proofErr w:type="spellEnd"/>
            <w:r>
              <w:t xml:space="preserve"> = </w:t>
            </w:r>
            <w:proofErr w:type="spellStart"/>
            <w:r>
              <w:t>λ_pe</w:t>
            </w:r>
            <w:proofErr w:type="spellEnd"/>
            <w:r>
              <w:t xml:space="preserve"> per policy as given in Table 3 (security weight).</w:t>
            </w:r>
          </w:p>
        </w:tc>
      </w:tr>
      <w:tr w:rsidR="00ED1386" w14:paraId="509D4FEE" w14:textId="77777777" w:rsidTr="002357D0">
        <w:trPr>
          <w:jc w:val="center"/>
        </w:trPr>
        <w:tc>
          <w:tcPr>
            <w:tcW w:w="3168" w:type="dxa"/>
            <w:vAlign w:val="center"/>
          </w:tcPr>
          <w:p w14:paraId="7CD9B8F1" w14:textId="77777777" w:rsidR="00ED1386" w:rsidRDefault="00ED1386" w:rsidP="002357D0">
            <w:pPr>
              <w:pStyle w:val="Compact"/>
              <w:jc w:val="both"/>
            </w:pPr>
            <w:r>
              <w:t xml:space="preserve">LP(P) = mean of </w:t>
            </w:r>
            <w:proofErr w:type="spellStart"/>
            <w:r>
              <w:t>LP_i</w:t>
            </w:r>
            <w:proofErr w:type="spellEnd"/>
            <w:r>
              <w:t xml:space="preserve"> (Section 4.7)</w:t>
            </w:r>
          </w:p>
        </w:tc>
        <w:tc>
          <w:tcPr>
            <w:tcW w:w="6192" w:type="dxa"/>
            <w:vAlign w:val="center"/>
          </w:tcPr>
          <w:p w14:paraId="4798EBDD" w14:textId="77777777" w:rsidR="00ED1386" w:rsidRDefault="00ED1386" w:rsidP="002357D0">
            <w:pPr>
              <w:pStyle w:val="Compact"/>
              <w:jc w:val="both"/>
            </w:pPr>
            <w:r>
              <w:rPr>
                <w:highlight w:val="yellow"/>
              </w:rPr>
              <w:t xml:space="preserve">[Baseline value of </w:t>
            </w:r>
            <w:proofErr w:type="spellStart"/>
            <w:r>
              <w:rPr>
                <w:highlight w:val="yellow"/>
              </w:rPr>
              <w:t>λ_loc</w:t>
            </w:r>
            <w:proofErr w:type="spellEnd"/>
            <w:r>
              <w:rPr>
                <w:highlight w:val="yellow"/>
              </w:rPr>
              <w:t xml:space="preserve"> (swept in Section 7.7)]</w:t>
            </w:r>
          </w:p>
        </w:tc>
      </w:tr>
      <w:tr w:rsidR="00ED1386" w14:paraId="6812DBC2" w14:textId="77777777" w:rsidTr="002357D0">
        <w:trPr>
          <w:jc w:val="center"/>
        </w:trPr>
        <w:tc>
          <w:tcPr>
            <w:tcW w:w="3168" w:type="dxa"/>
            <w:vAlign w:val="center"/>
          </w:tcPr>
          <w:p w14:paraId="3E1044B6" w14:textId="77777777" w:rsidR="00ED1386" w:rsidRDefault="00ED1386" w:rsidP="002357D0">
            <w:pPr>
              <w:pStyle w:val="Compact"/>
              <w:jc w:val="both"/>
            </w:pPr>
            <w:r>
              <w:t>Latency weight (Table 3)</w:t>
            </w:r>
          </w:p>
        </w:tc>
        <w:tc>
          <w:tcPr>
            <w:tcW w:w="6192" w:type="dxa"/>
            <w:vAlign w:val="center"/>
          </w:tcPr>
          <w:p w14:paraId="1128DF80" w14:textId="77777777" w:rsidR="00ED1386" w:rsidRDefault="00ED1386" w:rsidP="002357D0">
            <w:pPr>
              <w:pStyle w:val="Compact"/>
              <w:jc w:val="both"/>
            </w:pPr>
            <w:r>
              <w:rPr>
                <w:highlight w:val="yellow"/>
              </w:rPr>
              <w:t>[State which objective weight (</w:t>
            </w:r>
            <w:proofErr w:type="spellStart"/>
            <w:r>
              <w:rPr>
                <w:highlight w:val="yellow"/>
              </w:rPr>
              <w:t>λ_rt</w:t>
            </w:r>
            <w:proofErr w:type="spellEnd"/>
            <w:r>
              <w:rPr>
                <w:highlight w:val="yellow"/>
              </w:rPr>
              <w:t xml:space="preserve"> or another) the 'latency weight' of Table 3 refers to]</w:t>
            </w:r>
          </w:p>
        </w:tc>
      </w:tr>
    </w:tbl>
    <w:p w14:paraId="36858C66" w14:textId="77777777" w:rsidR="00ED1386" w:rsidRDefault="00ED1386" w:rsidP="00ED1386">
      <w:pPr>
        <w:pStyle w:val="Heading1"/>
        <w:jc w:val="both"/>
      </w:pPr>
      <w:bookmarkStart w:id="4" w:name="_Toc240457112"/>
      <w:bookmarkEnd w:id="3"/>
      <w:bookmarkEnd w:id="4"/>
      <w:r>
        <w:t>Appendix C: Metadata Refresh Cadence Policy</w:t>
      </w:r>
    </w:p>
    <w:p w14:paraId="3C68069D" w14:textId="77777777" w:rsidR="00ED1386" w:rsidRDefault="00ED1386" w:rsidP="00ED1386">
      <w:pPr>
        <w:pStyle w:val="FirstParagraph"/>
        <w:keepNext/>
        <w:jc w:val="both"/>
      </w:pPr>
      <w:r>
        <w:t>The following refresh-cadence defaults are proposed as an operational policy, to be enforced by the evidence and provenance layer (Sec. 4.11) before any admitted evidence record is used in a hard-constraint evaluation. They are not derived from the experiments: the staleness illustration (Sec. 7.5) shows only that unrefreshed evidence can silently violate hard constraints, not what interval is appropriate. The intervals are starting points to be calibrated against the observed change rates of each evidence source.</w:t>
      </w:r>
    </w:p>
    <w:tbl>
      <w:tblPr>
        <w:tblStyle w:val="Table"/>
        <w:tblW w:w="5000" w:type="pct"/>
        <w:jc w:val="center"/>
        <w:tblLook w:val="0020" w:firstRow="1" w:lastRow="0" w:firstColumn="0" w:lastColumn="0" w:noHBand="0" w:noVBand="0"/>
      </w:tblPr>
      <w:tblGrid>
        <w:gridCol w:w="2651"/>
        <w:gridCol w:w="2939"/>
        <w:gridCol w:w="4490"/>
      </w:tblGrid>
      <w:tr w:rsidR="00ED1386" w14:paraId="3AA031A9" w14:textId="77777777" w:rsidTr="002357D0">
        <w:trPr>
          <w:cnfStyle w:val="100000000000" w:firstRow="1" w:lastRow="0" w:firstColumn="0" w:lastColumn="0" w:oddVBand="0" w:evenVBand="0" w:oddHBand="0" w:evenHBand="0" w:firstRowFirstColumn="0" w:firstRowLastColumn="0" w:lastRowFirstColumn="0" w:lastRowLastColumn="0"/>
          <w:tblHeader/>
          <w:jc w:val="center"/>
        </w:trPr>
        <w:tc>
          <w:tcPr>
            <w:tcW w:w="0" w:type="auto"/>
            <w:vAlign w:val="center"/>
          </w:tcPr>
          <w:p w14:paraId="7DD27B8A" w14:textId="77777777" w:rsidR="00ED1386" w:rsidRDefault="00ED1386" w:rsidP="002357D0">
            <w:pPr>
              <w:pStyle w:val="Compact"/>
              <w:keepNext/>
              <w:jc w:val="both"/>
            </w:pPr>
            <w:r>
              <w:t>Evidence type</w:t>
            </w:r>
          </w:p>
        </w:tc>
        <w:tc>
          <w:tcPr>
            <w:tcW w:w="0" w:type="auto"/>
            <w:vAlign w:val="center"/>
          </w:tcPr>
          <w:p w14:paraId="0EDA5A6B" w14:textId="77777777" w:rsidR="00ED1386" w:rsidRDefault="00ED1386" w:rsidP="002357D0">
            <w:pPr>
              <w:pStyle w:val="Compact"/>
              <w:keepNext/>
              <w:jc w:val="both"/>
            </w:pPr>
            <w:r>
              <w:t>Proposed refresh interval</w:t>
            </w:r>
          </w:p>
        </w:tc>
        <w:tc>
          <w:tcPr>
            <w:tcW w:w="0" w:type="auto"/>
            <w:vAlign w:val="center"/>
          </w:tcPr>
          <w:p w14:paraId="69CB62F5" w14:textId="77777777" w:rsidR="00ED1386" w:rsidRDefault="00ED1386" w:rsidP="002357D0">
            <w:pPr>
              <w:pStyle w:val="Compact"/>
              <w:keepNext/>
              <w:jc w:val="both"/>
            </w:pPr>
            <w:r>
              <w:t>Rationale</w:t>
            </w:r>
          </w:p>
        </w:tc>
      </w:tr>
      <w:tr w:rsidR="00ED1386" w14:paraId="5080BFB2" w14:textId="77777777" w:rsidTr="002357D0">
        <w:trPr>
          <w:jc w:val="center"/>
        </w:trPr>
        <w:tc>
          <w:tcPr>
            <w:tcW w:w="0" w:type="auto"/>
            <w:vAlign w:val="center"/>
          </w:tcPr>
          <w:p w14:paraId="2E9E0660" w14:textId="77777777" w:rsidR="00ED1386" w:rsidRDefault="00ED1386" w:rsidP="002357D0">
            <w:pPr>
              <w:pStyle w:val="Compact"/>
              <w:keepNext/>
              <w:jc w:val="both"/>
            </w:pPr>
            <w:r>
              <w:t>CVE/CVSS records</w:t>
            </w:r>
          </w:p>
        </w:tc>
        <w:tc>
          <w:tcPr>
            <w:tcW w:w="0" w:type="auto"/>
            <w:vAlign w:val="center"/>
          </w:tcPr>
          <w:p w14:paraId="7F674C84" w14:textId="77777777" w:rsidR="00ED1386" w:rsidRDefault="00ED1386" w:rsidP="002357D0">
            <w:pPr>
              <w:pStyle w:val="Compact"/>
              <w:keepNext/>
              <w:jc w:val="both"/>
            </w:pPr>
            <w:r>
              <w:t>7 days</w:t>
            </w:r>
          </w:p>
        </w:tc>
        <w:tc>
          <w:tcPr>
            <w:tcW w:w="0" w:type="auto"/>
            <w:vAlign w:val="center"/>
          </w:tcPr>
          <w:p w14:paraId="38EF5445" w14:textId="77777777" w:rsidR="00ED1386" w:rsidRDefault="00ED1386" w:rsidP="002357D0">
            <w:pPr>
              <w:pStyle w:val="Compact"/>
              <w:keepNext/>
              <w:jc w:val="both"/>
            </w:pPr>
            <w:r>
              <w:t>NVD publishes/updates records continuously</w:t>
            </w:r>
          </w:p>
        </w:tc>
      </w:tr>
      <w:tr w:rsidR="00ED1386" w14:paraId="2DAD5D1D" w14:textId="77777777" w:rsidTr="002357D0">
        <w:trPr>
          <w:jc w:val="center"/>
        </w:trPr>
        <w:tc>
          <w:tcPr>
            <w:tcW w:w="0" w:type="auto"/>
            <w:vAlign w:val="center"/>
          </w:tcPr>
          <w:p w14:paraId="7646E754" w14:textId="77777777" w:rsidR="00ED1386" w:rsidRDefault="00ED1386" w:rsidP="002357D0">
            <w:pPr>
              <w:pStyle w:val="Compact"/>
              <w:keepNext/>
              <w:jc w:val="both"/>
            </w:pPr>
            <w:r>
              <w:t>CISA KEV catalog</w:t>
            </w:r>
          </w:p>
        </w:tc>
        <w:tc>
          <w:tcPr>
            <w:tcW w:w="0" w:type="auto"/>
            <w:vAlign w:val="center"/>
          </w:tcPr>
          <w:p w14:paraId="19256F4A" w14:textId="77777777" w:rsidR="00ED1386" w:rsidRDefault="00ED1386" w:rsidP="002357D0">
            <w:pPr>
              <w:pStyle w:val="Compact"/>
              <w:keepNext/>
              <w:jc w:val="both"/>
            </w:pPr>
            <w:r>
              <w:t>7 days</w:t>
            </w:r>
          </w:p>
        </w:tc>
        <w:tc>
          <w:tcPr>
            <w:tcW w:w="0" w:type="auto"/>
            <w:vAlign w:val="center"/>
          </w:tcPr>
          <w:p w14:paraId="4C2B2167" w14:textId="77777777" w:rsidR="00ED1386" w:rsidRDefault="00ED1386" w:rsidP="002357D0">
            <w:pPr>
              <w:pStyle w:val="Compact"/>
              <w:keepNext/>
              <w:jc w:val="both"/>
            </w:pPr>
            <w:r>
              <w:t>KEV entries are added as exploitation is confirmed, often with short remediation deadlines</w:t>
            </w:r>
          </w:p>
        </w:tc>
      </w:tr>
      <w:tr w:rsidR="00ED1386" w14:paraId="20F58FDE" w14:textId="77777777" w:rsidTr="002357D0">
        <w:trPr>
          <w:jc w:val="center"/>
        </w:trPr>
        <w:tc>
          <w:tcPr>
            <w:tcW w:w="0" w:type="auto"/>
            <w:vAlign w:val="center"/>
          </w:tcPr>
          <w:p w14:paraId="6ED9DC34" w14:textId="77777777" w:rsidR="00ED1386" w:rsidRDefault="00ED1386" w:rsidP="002357D0">
            <w:pPr>
              <w:pStyle w:val="Compact"/>
              <w:keepNext/>
              <w:jc w:val="both"/>
            </w:pPr>
            <w:r>
              <w:t>CSA STAR / CAIQ / CCM attestations</w:t>
            </w:r>
          </w:p>
        </w:tc>
        <w:tc>
          <w:tcPr>
            <w:tcW w:w="0" w:type="auto"/>
            <w:vAlign w:val="center"/>
          </w:tcPr>
          <w:p w14:paraId="36E19959" w14:textId="77777777" w:rsidR="00ED1386" w:rsidRDefault="00ED1386" w:rsidP="002357D0">
            <w:pPr>
              <w:pStyle w:val="Compact"/>
              <w:keepNext/>
              <w:jc w:val="both"/>
            </w:pPr>
            <w:r>
              <w:t>180 days</w:t>
            </w:r>
          </w:p>
        </w:tc>
        <w:tc>
          <w:tcPr>
            <w:tcW w:w="0" w:type="auto"/>
            <w:vAlign w:val="center"/>
          </w:tcPr>
          <w:p w14:paraId="07C4B8E3" w14:textId="77777777" w:rsidR="00ED1386" w:rsidRDefault="00ED1386" w:rsidP="002357D0">
            <w:pPr>
              <w:pStyle w:val="Compact"/>
              <w:keepNext/>
              <w:jc w:val="both"/>
            </w:pPr>
            <w:r>
              <w:t>Typical assurance attestation renewal cycle</w:t>
            </w:r>
          </w:p>
        </w:tc>
      </w:tr>
      <w:tr w:rsidR="00ED1386" w14:paraId="5DB7F215" w14:textId="77777777" w:rsidTr="002357D0">
        <w:trPr>
          <w:jc w:val="center"/>
        </w:trPr>
        <w:tc>
          <w:tcPr>
            <w:tcW w:w="0" w:type="auto"/>
            <w:vAlign w:val="center"/>
          </w:tcPr>
          <w:p w14:paraId="079D025B" w14:textId="77777777" w:rsidR="00ED1386" w:rsidRDefault="00ED1386" w:rsidP="002357D0">
            <w:pPr>
              <w:pStyle w:val="Compact"/>
              <w:keepNext/>
              <w:jc w:val="both"/>
            </w:pPr>
            <w:r>
              <w:t>Provider security documentation</w:t>
            </w:r>
          </w:p>
        </w:tc>
        <w:tc>
          <w:tcPr>
            <w:tcW w:w="0" w:type="auto"/>
            <w:vAlign w:val="center"/>
          </w:tcPr>
          <w:p w14:paraId="2D701435" w14:textId="77777777" w:rsidR="00ED1386" w:rsidRDefault="00ED1386" w:rsidP="002357D0">
            <w:pPr>
              <w:pStyle w:val="Compact"/>
              <w:keepNext/>
              <w:jc w:val="both"/>
            </w:pPr>
            <w:r>
              <w:t>180 days</w:t>
            </w:r>
          </w:p>
        </w:tc>
        <w:tc>
          <w:tcPr>
            <w:tcW w:w="0" w:type="auto"/>
            <w:vAlign w:val="center"/>
          </w:tcPr>
          <w:p w14:paraId="3FC4031B" w14:textId="77777777" w:rsidR="00ED1386" w:rsidRDefault="00ED1386" w:rsidP="002357D0">
            <w:pPr>
              <w:pStyle w:val="Compact"/>
              <w:keepNext/>
              <w:jc w:val="both"/>
            </w:pPr>
            <w:r>
              <w:t>Aligned with assurance cycle above</w:t>
            </w:r>
          </w:p>
        </w:tc>
      </w:tr>
      <w:tr w:rsidR="00ED1386" w14:paraId="7B59BD31" w14:textId="77777777" w:rsidTr="002357D0">
        <w:trPr>
          <w:jc w:val="center"/>
        </w:trPr>
        <w:tc>
          <w:tcPr>
            <w:tcW w:w="0" w:type="auto"/>
            <w:vAlign w:val="center"/>
          </w:tcPr>
          <w:p w14:paraId="74CEF035" w14:textId="77777777" w:rsidR="00ED1386" w:rsidRDefault="00ED1386" w:rsidP="002357D0">
            <w:pPr>
              <w:pStyle w:val="Compact"/>
              <w:jc w:val="both"/>
            </w:pPr>
            <w:r>
              <w:t xml:space="preserve">Privacy policy / DPA / </w:t>
            </w:r>
            <w:proofErr w:type="spellStart"/>
            <w:r>
              <w:t>subprocessor</w:t>
            </w:r>
            <w:proofErr w:type="spellEnd"/>
            <w:r>
              <w:t xml:space="preserve"> disclosures</w:t>
            </w:r>
          </w:p>
        </w:tc>
        <w:tc>
          <w:tcPr>
            <w:tcW w:w="0" w:type="auto"/>
            <w:vAlign w:val="center"/>
          </w:tcPr>
          <w:p w14:paraId="41E226A0" w14:textId="77777777" w:rsidR="00ED1386" w:rsidRDefault="00ED1386" w:rsidP="002357D0">
            <w:pPr>
              <w:pStyle w:val="Compact"/>
              <w:jc w:val="both"/>
            </w:pPr>
            <w:r>
              <w:t>365 days, or immediately on provider-announced change</w:t>
            </w:r>
          </w:p>
        </w:tc>
        <w:tc>
          <w:tcPr>
            <w:tcW w:w="0" w:type="auto"/>
            <w:vAlign w:val="center"/>
          </w:tcPr>
          <w:p w14:paraId="1BF0AE41" w14:textId="77777777" w:rsidR="00ED1386" w:rsidRDefault="00ED1386" w:rsidP="002357D0">
            <w:pPr>
              <w:pStyle w:val="Compact"/>
              <w:jc w:val="both"/>
            </w:pPr>
            <w:r>
              <w:t>Privacy terms change less frequently but changes are consequential</w:t>
            </w:r>
          </w:p>
        </w:tc>
      </w:tr>
    </w:tbl>
    <w:p w14:paraId="3CBBE8E0" w14:textId="77777777" w:rsidR="00ED1386" w:rsidRDefault="00ED1386" w:rsidP="00ED1386">
      <w:pPr>
        <w:pStyle w:val="BodyText"/>
        <w:spacing w:before="160"/>
        <w:jc w:val="both"/>
      </w:pPr>
      <w:r>
        <w:rPr>
          <w:b/>
        </w:rPr>
        <w:lastRenderedPageBreak/>
        <w:t>Enforcement rule:</w:t>
      </w:r>
      <w:r>
        <w:t xml:space="preserve"> an evidence record older than its type’s refresh interval is treated as stale and the corresponding service is downgraded to unknown for hard-constraint purposes (Sec. 4.9) until re-validated — i.e., the same conservative treatment already applied to unresolved services in Sec. 6.2.2 — rather than being used at its last-known value, which Sec. 7.5 illustrates can silently violate policy.</w:t>
      </w:r>
    </w:p>
    <w:p w14:paraId="0FE1BEC2" w14:textId="77777777" w:rsidR="00ED1386" w:rsidRDefault="00ED1386" w:rsidP="00ED1386">
      <w:pPr>
        <w:pStyle w:val="Heading1"/>
        <w:jc w:val="both"/>
      </w:pPr>
      <w:r>
        <w:t>Appendix D: Extended Evaluation Protocol (Specified, Not Executed)</w:t>
      </w:r>
    </w:p>
    <w:p w14:paraId="625FC2BC" w14:textId="77777777" w:rsidR="00ED1386" w:rsidRDefault="00ED1386" w:rsidP="00ED1386">
      <w:pPr>
        <w:pStyle w:val="FirstParagraph"/>
        <w:jc w:val="both"/>
      </w:pPr>
      <w:r>
        <w:t>The experiments below are specified so that they can be run with the released optimizer implementations; no results for them are reported in this paper.</w:t>
      </w:r>
    </w:p>
    <w:p w14:paraId="0EBE9139" w14:textId="77777777" w:rsidR="00ED1386" w:rsidRDefault="00ED1386" w:rsidP="00ED1386">
      <w:pPr>
        <w:pStyle w:val="BodyText"/>
        <w:jc w:val="both"/>
      </w:pPr>
      <w:r>
        <w:rPr>
          <w:b/>
        </w:rPr>
        <w:t>D.1 Hard-versus-soft constraint experiment.</w:t>
      </w:r>
      <w:r>
        <w:t xml:space="preserve"> Four configurations are run under the same candidate pool, metadata realization, optimizer, policy, and matched seeds: (A) QoS-only, with security/privacy terms removed from both constraints and objective; (B) soft-only, with SR and PE retained as objective terms but without hard feasibility constraints; (C) hard-only, with SR/PE hard constraints retained and their soft weights set to zero; and (D) </w:t>
      </w:r>
      <w:proofErr w:type="spellStart"/>
      <w:r>
        <w:t>hard+soft</w:t>
      </w:r>
      <w:proofErr w:type="spellEnd"/>
      <w:r>
        <w:t>, the full formulation. The primary comparison reports feasibility rate, SR violation rate, PE violation rate, joint violation rate, mean constraint-violation magnitude, and conditional objective quality among feasible runs. The design isolates mandatory enforcement from soft risk preferences, which the ablation of Section 7.3 confounds. Section 4.9 predicts that (A) and (B) cannot guarantee compliance and that (C) and (D) are feasible whenever candidates are filtered; the empirical questions are the cost of mandatory enforcement in objective quality and the effect of the soft terms within the admissible region.</w:t>
      </w:r>
    </w:p>
    <w:p w14:paraId="3FD5F2E7" w14:textId="77777777" w:rsidR="00ED1386" w:rsidRDefault="00ED1386" w:rsidP="00ED1386">
      <w:pPr>
        <w:pStyle w:val="BodyText"/>
        <w:jc w:val="both"/>
      </w:pPr>
      <w:r>
        <w:rPr>
          <w:b/>
        </w:rPr>
        <w:t>D.2 Independent problem instances.</w:t>
      </w:r>
      <w:r>
        <w:t xml:space="preserve"> A problem instance is a candidate pool plus a synthetic metadata realization. The recommended design is 10 independent 1,000-service pools sampled from the eligible target-user population, three metadata realizations per pool, and 10–30 optimizer seeds nested within each instance. All optimizers share the pool and realization within an instance. Results are summarized at the instance level, with seeds treated as repeated stochastic trials; comparisons across optimizers use Friedman and Wilcoxon tests over instances with Holm adjustment [23–26], feasibility rates use Clopper–Pearson intervals, and objective quality among feasible runs uses bootstrap intervals.</w:t>
      </w:r>
    </w:p>
    <w:p w14:paraId="0DD44E6E" w14:textId="77777777" w:rsidR="00ED1386" w:rsidRDefault="00ED1386" w:rsidP="00ED1386">
      <w:pPr>
        <w:pStyle w:val="BodyText"/>
        <w:jc w:val="both"/>
      </w:pPr>
      <w:r>
        <w:rPr>
          <w:b/>
        </w:rPr>
        <w:t>D.3 Additional analyses.</w:t>
      </w:r>
      <w:r>
        <w:t xml:space="preserve"> (</w:t>
      </w:r>
      <w:proofErr w:type="spellStart"/>
      <w:r>
        <w:t>i</w:t>
      </w:r>
      <w:proofErr w:type="spellEnd"/>
      <w:r>
        <w:t>) A candidate-filter (or repair) baseline and an exact per-class reference optimum, reporting optimality gaps for every optimizer. (ii) Scenarios in which the synthetic metadata is positively, negatively, and un-correlated with QoS, with QoS–risk trade-off curves or Pareto fronts. (iii) Calibration of the staleness drift against historical changes in NVD/KEV records. (iv) A provider-level matching attempt against CPE vendor fields and CSA STAR entries, and application of the protocol to a dataset that carries product/version or offering identity. (v) Evaluation of the AE–LSTM predictor under the constrained objective. (vi) A weight configuration in which RT carries enough weight for predictor error to matter.</w:t>
      </w:r>
    </w:p>
    <w:p w14:paraId="24D18284" w14:textId="77777777" w:rsidR="009B07E4" w:rsidRDefault="009B07E4"/>
    <w:sectPr w:rsidR="009B07E4" w:rsidSect="00ED1386">
      <w:footerReference w:type="default" r:id="rId4"/>
      <w:pgSz w:w="12240" w:h="15840"/>
      <w:pgMar w:top="1008" w:right="1080" w:bottom="1008"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9B4CD" w14:textId="77777777" w:rsidR="00ED1386" w:rsidRDefault="00ED1386">
    <w:pPr>
      <w:jc w:val="center"/>
    </w:pPr>
    <w:r>
      <w:fldChar w:fldCharType="begin"/>
    </w:r>
    <w:r>
      <w:instrText xml:space="preserve"> PAGE </w:instrText>
    </w:r>
    <w:r>
      <w:fldChar w:fldCharType="separate"/>
    </w:r>
    <w: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86"/>
    <w:rsid w:val="002D49A3"/>
    <w:rsid w:val="009B07E4"/>
    <w:rsid w:val="00D01C51"/>
    <w:rsid w:val="00ED13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5F21"/>
  <w15:chartTrackingRefBased/>
  <w15:docId w15:val="{7F118CCE-5062-433F-89FF-19FC4B392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386"/>
    <w:pPr>
      <w:spacing w:after="120" w:line="276" w:lineRule="auto"/>
    </w:pPr>
    <w:rPr>
      <w:rFonts w:ascii="Times New Roman" w:eastAsia="Times New Roman" w:hAnsi="Times New Roman" w:cs="Times New Roman"/>
      <w:kern w:val="0"/>
      <w:sz w:val="20"/>
      <w:szCs w:val="22"/>
      <w14:ligatures w14:val="none"/>
    </w:rPr>
  </w:style>
  <w:style w:type="paragraph" w:styleId="Heading1">
    <w:name w:val="heading 1"/>
    <w:basedOn w:val="Normal"/>
    <w:next w:val="Normal"/>
    <w:link w:val="Heading1Char"/>
    <w:uiPriority w:val="9"/>
    <w:qFormat/>
    <w:rsid w:val="00ED138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D138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D138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D138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D138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D138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D138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D138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D1386"/>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3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3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3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3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3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3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3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3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386"/>
    <w:rPr>
      <w:rFonts w:eastAsiaTheme="majorEastAsia" w:cstheme="majorBidi"/>
      <w:color w:val="272727" w:themeColor="text1" w:themeTint="D8"/>
    </w:rPr>
  </w:style>
  <w:style w:type="paragraph" w:styleId="Title">
    <w:name w:val="Title"/>
    <w:basedOn w:val="Normal"/>
    <w:next w:val="Normal"/>
    <w:link w:val="TitleChar"/>
    <w:uiPriority w:val="10"/>
    <w:qFormat/>
    <w:rsid w:val="00ED138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D1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38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D13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386"/>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D1386"/>
    <w:rPr>
      <w:i/>
      <w:iCs/>
      <w:color w:val="404040" w:themeColor="text1" w:themeTint="BF"/>
    </w:rPr>
  </w:style>
  <w:style w:type="paragraph" w:styleId="ListParagraph">
    <w:name w:val="List Paragraph"/>
    <w:basedOn w:val="Normal"/>
    <w:uiPriority w:val="34"/>
    <w:qFormat/>
    <w:rsid w:val="00ED1386"/>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ED1386"/>
    <w:rPr>
      <w:i/>
      <w:iCs/>
      <w:color w:val="0F4761" w:themeColor="accent1" w:themeShade="BF"/>
    </w:rPr>
  </w:style>
  <w:style w:type="paragraph" w:styleId="IntenseQuote">
    <w:name w:val="Intense Quote"/>
    <w:basedOn w:val="Normal"/>
    <w:next w:val="Normal"/>
    <w:link w:val="IntenseQuoteChar"/>
    <w:uiPriority w:val="30"/>
    <w:qFormat/>
    <w:rsid w:val="00ED138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D1386"/>
    <w:rPr>
      <w:i/>
      <w:iCs/>
      <w:color w:val="0F4761" w:themeColor="accent1" w:themeShade="BF"/>
    </w:rPr>
  </w:style>
  <w:style w:type="character" w:styleId="IntenseReference">
    <w:name w:val="Intense Reference"/>
    <w:basedOn w:val="DefaultParagraphFont"/>
    <w:uiPriority w:val="32"/>
    <w:qFormat/>
    <w:rsid w:val="00ED1386"/>
    <w:rPr>
      <w:b/>
      <w:bCs/>
      <w:smallCaps/>
      <w:color w:val="0F4761" w:themeColor="accent1" w:themeShade="BF"/>
      <w:spacing w:val="5"/>
    </w:rPr>
  </w:style>
  <w:style w:type="paragraph" w:styleId="BodyText">
    <w:name w:val="Body Text"/>
    <w:basedOn w:val="Normal"/>
    <w:link w:val="BodyTextChar"/>
    <w:qFormat/>
    <w:rsid w:val="00ED1386"/>
  </w:style>
  <w:style w:type="character" w:customStyle="1" w:styleId="BodyTextChar">
    <w:name w:val="Body Text Char"/>
    <w:basedOn w:val="DefaultParagraphFont"/>
    <w:link w:val="BodyText"/>
    <w:rsid w:val="00ED1386"/>
    <w:rPr>
      <w:rFonts w:ascii="Times New Roman" w:eastAsia="Times New Roman" w:hAnsi="Times New Roman" w:cs="Times New Roman"/>
      <w:kern w:val="0"/>
      <w:sz w:val="20"/>
      <w:szCs w:val="22"/>
      <w14:ligatures w14:val="none"/>
    </w:rPr>
  </w:style>
  <w:style w:type="paragraph" w:customStyle="1" w:styleId="FirstParagraph">
    <w:name w:val="First Paragraph"/>
    <w:basedOn w:val="BodyText"/>
    <w:next w:val="BodyText"/>
    <w:qFormat/>
    <w:rsid w:val="00ED1386"/>
  </w:style>
  <w:style w:type="paragraph" w:customStyle="1" w:styleId="Compact">
    <w:name w:val="Compact"/>
    <w:basedOn w:val="BodyText"/>
    <w:qFormat/>
    <w:rsid w:val="00ED1386"/>
    <w:pPr>
      <w:spacing w:before="20" w:after="20"/>
    </w:pPr>
    <w:rPr>
      <w:sz w:val="18"/>
      <w:szCs w:val="18"/>
    </w:rPr>
  </w:style>
  <w:style w:type="table" w:customStyle="1" w:styleId="Table">
    <w:name w:val="Table"/>
    <w:semiHidden/>
    <w:unhideWhenUsed/>
    <w:qFormat/>
    <w:rsid w:val="00ED1386"/>
    <w:pPr>
      <w:spacing w:after="120" w:line="276" w:lineRule="auto"/>
    </w:pPr>
    <w:rPr>
      <w:rFonts w:ascii="Times New Roman" w:eastAsia="Times New Roman" w:hAnsi="Times New Roman" w:cs="Times New Roman"/>
      <w:kern w:val="0"/>
      <w:sz w:val="22"/>
      <w:szCs w:val="22"/>
      <w14:ligatures w14:val="none"/>
    </w:rPr>
    <w:tblPr>
      <w:tblInd w:w="0" w:type="dxa"/>
      <w:tblBorders>
        <w:top w:val="single" w:sz="8" w:space="0" w:color="000000"/>
        <w:bottom w:val="single" w:sz="8" w:space="0" w:color="000000"/>
        <w:insideH w:val="single" w:sz="4" w:space="0" w:color="BFBFBF"/>
      </w:tblBorders>
      <w:tblCellMar>
        <w:top w:w="0" w:type="dxa"/>
        <w:left w:w="108" w:type="dxa"/>
        <w:bottom w:w="0" w:type="dxa"/>
        <w:right w:w="108" w:type="dxa"/>
      </w:tblCellMar>
    </w:tblPr>
    <w:tblStylePr w:type="firstRow">
      <w:rPr>
        <w:b/>
      </w:rPr>
      <w:tblPr>
        <w:jc w:val="left"/>
      </w:tblPr>
      <w:trPr>
        <w:jc w:val="left"/>
      </w:trPr>
      <w:tcPr>
        <w:tcBorders>
          <w:bottom w:val="single" w:sz="6" w:space="0" w:color="000000"/>
        </w:tcBorders>
        <w:vAlign w:val="bottom"/>
      </w:tcPr>
    </w:tblStylePr>
  </w:style>
  <w:style w:type="character" w:customStyle="1" w:styleId="VerbatimChar">
    <w:name w:val="Verbatim Char"/>
    <w:basedOn w:val="DefaultParagraphFont"/>
    <w:link w:val="SourceCode"/>
    <w:rsid w:val="00ED1386"/>
    <w:rPr>
      <w:rFonts w:ascii="Consolas" w:hAnsi="Consolas"/>
    </w:rPr>
  </w:style>
  <w:style w:type="paragraph" w:customStyle="1" w:styleId="SourceCode">
    <w:name w:val="Source Code"/>
    <w:basedOn w:val="Normal"/>
    <w:link w:val="VerbatimChar"/>
    <w:rsid w:val="00ED1386"/>
    <w:pPr>
      <w:wordWrap w:val="0"/>
    </w:pPr>
    <w:rPr>
      <w:rFonts w:ascii="Consolas" w:eastAsiaTheme="minorHAnsi" w:hAnsi="Consolas"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1381</Words>
  <Characters>7872</Characters>
  <Application>Microsoft Office Word</Application>
  <DocSecurity>0</DocSecurity>
  <Lines>65</Lines>
  <Paragraphs>18</Paragraphs>
  <ScaleCrop>false</ScaleCrop>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Shaimaa Moustafa</dc:creator>
  <cp:keywords/>
  <dc:description/>
  <cp:lastModifiedBy>Al Shaimaa Moustafa</cp:lastModifiedBy>
  <cp:revision>1</cp:revision>
  <dcterms:created xsi:type="dcterms:W3CDTF">2026-09-30T11:41:00Z</dcterms:created>
  <dcterms:modified xsi:type="dcterms:W3CDTF">2026-09-30T11:41:00Z</dcterms:modified>
</cp:coreProperties>
</file>