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F5E1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154CEC6A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4CF783D4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0178674D" w14:textId="77777777" w:rsidR="0089283F" w:rsidRPr="00D650A1" w:rsidRDefault="0089283F" w:rsidP="0089283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1FB33E" w14:textId="77777777" w:rsidR="0089283F" w:rsidRPr="00D650A1" w:rsidRDefault="0089283F" w:rsidP="0089283F">
      <w:pPr>
        <w:jc w:val="both"/>
        <w:rPr>
          <w:rFonts w:ascii="Times New Roman" w:hAnsi="Times New Roman" w:cs="Times New Roman"/>
        </w:rPr>
      </w:pPr>
      <w:r w:rsidRPr="00D650A1">
        <w:rPr>
          <w:rFonts w:ascii="Times New Roman" w:hAnsi="Times New Roman" w:cs="Times New Roman"/>
          <w:noProof/>
        </w:rPr>
        <w:drawing>
          <wp:inline distT="0" distB="0" distL="0" distR="0" wp14:anchorId="38D4A03A" wp14:editId="5013B493">
            <wp:extent cx="5753100" cy="1981200"/>
            <wp:effectExtent l="0" t="0" r="0" b="0"/>
            <wp:docPr id="727351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C02D3" w14:textId="77777777" w:rsidR="0089283F" w:rsidRPr="00D650A1" w:rsidRDefault="0089283F" w:rsidP="0089283F">
      <w:pPr>
        <w:jc w:val="both"/>
        <w:rPr>
          <w:rFonts w:ascii="Times New Roman" w:hAnsi="Times New Roman" w:cs="Times New Roman"/>
        </w:rPr>
      </w:pPr>
    </w:p>
    <w:p w14:paraId="1D7551ED" w14:textId="77777777" w:rsidR="0089283F" w:rsidRPr="00D650A1" w:rsidRDefault="0089283F" w:rsidP="0089283F">
      <w:pPr>
        <w:jc w:val="both"/>
        <w:rPr>
          <w:rFonts w:ascii="Times New Roman" w:hAnsi="Times New Roman" w:cs="Times New Roman"/>
          <w:sz w:val="20"/>
          <w:szCs w:val="20"/>
        </w:rPr>
      </w:pPr>
      <w:r w:rsidRPr="00D650A1">
        <w:rPr>
          <w:rFonts w:ascii="Times New Roman" w:hAnsi="Times New Roman" w:cs="Times New Roman"/>
          <w:b/>
          <w:bCs/>
          <w:sz w:val="20"/>
          <w:szCs w:val="20"/>
        </w:rPr>
        <w:t>Supplemental Fig. 1.</w:t>
      </w:r>
      <w:r w:rsidRPr="00D650A1">
        <w:rPr>
          <w:rFonts w:ascii="Times New Roman" w:hAnsi="Times New Roman" w:cs="Times New Roman"/>
          <w:sz w:val="20"/>
          <w:szCs w:val="20"/>
        </w:rPr>
        <w:t xml:space="preserve"> Proteomic profiling of tumor venous plasma EVs before and after tumor resection. </w:t>
      </w:r>
      <w:r w:rsidRPr="00D650A1">
        <w:rPr>
          <w:rFonts w:ascii="Times New Roman" w:hAnsi="Times New Roman" w:cs="Times New Roman"/>
          <w:b/>
          <w:sz w:val="20"/>
          <w:szCs w:val="20"/>
        </w:rPr>
        <w:t>(A)</w:t>
      </w:r>
      <w:r w:rsidRPr="00D650A1">
        <w:rPr>
          <w:rFonts w:ascii="Times New Roman" w:hAnsi="Times New Roman" w:cs="Times New Roman"/>
          <w:sz w:val="20"/>
          <w:szCs w:val="20"/>
        </w:rPr>
        <w:t xml:space="preserve"> Volcano plot of tumor venous plasma EVs before (TV1) versus after (TV2) resection (n = 11); one protein, ENO3, elevated in TV2 (adjusted p &lt; 0.05, fold change &gt; 2). </w:t>
      </w:r>
      <w:r w:rsidRPr="00D650A1">
        <w:rPr>
          <w:rFonts w:ascii="Times New Roman" w:hAnsi="Times New Roman" w:cs="Times New Roman"/>
          <w:b/>
          <w:sz w:val="20"/>
          <w:szCs w:val="20"/>
        </w:rPr>
        <w:t>(B)</w:t>
      </w:r>
      <w:r w:rsidRPr="00D650A1">
        <w:rPr>
          <w:rFonts w:ascii="Times New Roman" w:hAnsi="Times New Roman" w:cs="Times New Roman"/>
          <w:sz w:val="20"/>
          <w:szCs w:val="20"/>
        </w:rPr>
        <w:t xml:space="preserve"> Log2 LFQ intensity of ENO3 in PP1, PP2, TV1, and TV2; each dot represents one patient, mean ± SEM. Paired t-test, BH-adjusted: *p &lt; 0.05, **p &lt; 0.01, ***p &lt; 0.001, ****p &lt; 0.0001. </w:t>
      </w:r>
      <w:r w:rsidRPr="00D650A1">
        <w:rPr>
          <w:rFonts w:ascii="Times New Roman" w:hAnsi="Times New Roman" w:cs="Times New Roman"/>
          <w:b/>
          <w:sz w:val="20"/>
          <w:szCs w:val="20"/>
        </w:rPr>
        <w:t>(C)</w:t>
      </w:r>
      <w:r w:rsidRPr="00D650A1">
        <w:rPr>
          <w:rFonts w:ascii="Times New Roman" w:hAnsi="Times New Roman" w:cs="Times New Roman"/>
          <w:sz w:val="20"/>
          <w:szCs w:val="20"/>
        </w:rPr>
        <w:t xml:space="preserve"> Kaplan–Meier 5-year overall survival of HNSCC patients stratified by nine-protein signature expression (KMplot.com, Pan-cancer RNA-seq, n = 499; best cutoff).</w:t>
      </w:r>
    </w:p>
    <w:p w14:paraId="7F6B552B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08625678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C023BC9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478C5F2F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137086A5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4927BE8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F07DFE5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4D3ACE59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1768871B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3A2D46A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25226FC4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1F95B92D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1F4B504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785E452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C0F2B9B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65D29C2D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05893EF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ACF47B1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7BDB6BFE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203E5081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C61CB51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8327BF4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7CCA23A2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53FBEEE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720F61B5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3D2C2FA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7BED67F8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88007A1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300AEE6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5E84E88B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67558A2D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19AAEB27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61547E26" w14:textId="77777777" w:rsidR="0089283F" w:rsidRDefault="0089283F" w:rsidP="0089283F">
      <w:pPr>
        <w:jc w:val="both"/>
        <w:rPr>
          <w:rFonts w:ascii="Times New Roman" w:hAnsi="Times New Roman" w:cs="Times New Roman"/>
        </w:rPr>
      </w:pPr>
    </w:p>
    <w:p w14:paraId="3777EBBF" w14:textId="4D0C0624" w:rsidR="0089283F" w:rsidRPr="00D650A1" w:rsidRDefault="0089283F" w:rsidP="0089283F">
      <w:pPr>
        <w:jc w:val="both"/>
        <w:rPr>
          <w:rFonts w:ascii="Times New Roman" w:hAnsi="Times New Roman" w:cs="Times New Roman"/>
        </w:rPr>
      </w:pPr>
      <w:r w:rsidRPr="00D650A1">
        <w:rPr>
          <w:rFonts w:ascii="Times New Roman" w:hAnsi="Times New Roman" w:cs="Times New Roman"/>
          <w:noProof/>
        </w:rPr>
        <w:drawing>
          <wp:inline distT="0" distB="0" distL="0" distR="0" wp14:anchorId="0ACBC5DE" wp14:editId="467291D1">
            <wp:extent cx="5759450" cy="3486150"/>
            <wp:effectExtent l="0" t="0" r="0" b="0"/>
            <wp:docPr id="5189746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D1C9" w14:textId="77777777" w:rsidR="0089283F" w:rsidRPr="00D650A1" w:rsidRDefault="0089283F" w:rsidP="0089283F">
      <w:pPr>
        <w:jc w:val="both"/>
        <w:rPr>
          <w:rFonts w:ascii="Times New Roman" w:hAnsi="Times New Roman" w:cs="Times New Roman"/>
          <w:sz w:val="20"/>
          <w:szCs w:val="20"/>
        </w:rPr>
      </w:pPr>
      <w:r w:rsidRPr="00D650A1">
        <w:rPr>
          <w:rFonts w:ascii="Times New Roman" w:hAnsi="Times New Roman" w:cs="Times New Roman"/>
          <w:b/>
          <w:bCs/>
          <w:sz w:val="20"/>
          <w:szCs w:val="20"/>
        </w:rPr>
        <w:t>Supplementary Fig. 2.</w:t>
      </w:r>
      <w:r w:rsidRPr="00D650A1">
        <w:rPr>
          <w:rFonts w:ascii="Times New Roman" w:hAnsi="Times New Roman" w:cs="Times New Roman"/>
          <w:sz w:val="20"/>
          <w:szCs w:val="20"/>
        </w:rPr>
        <w:t xml:space="preserve"> SOTA clustering of EV protein profiles. Unsupervised SOTA clustering yielded nine co-varying clusters. Grey lines show individual proteins; red lines show cluster means. Protein counts per cluster are shown in panel headers.</w:t>
      </w:r>
    </w:p>
    <w:p w14:paraId="3AF2C556" w14:textId="77777777" w:rsidR="00DC2479" w:rsidRDefault="00DC2479"/>
    <w:p w14:paraId="13FA5F58" w14:textId="77777777" w:rsidR="0089283F" w:rsidRDefault="0089283F"/>
    <w:p w14:paraId="2038C818" w14:textId="77777777" w:rsidR="0089283F" w:rsidRPr="00D650A1" w:rsidRDefault="0089283F" w:rsidP="0089283F">
      <w:pPr>
        <w:jc w:val="both"/>
        <w:rPr>
          <w:rFonts w:ascii="Times New Roman" w:hAnsi="Times New Roman" w:cs="Times New Roman"/>
        </w:rPr>
      </w:pPr>
      <w:r w:rsidRPr="00D650A1">
        <w:rPr>
          <w:rFonts w:ascii="Times New Roman" w:hAnsi="Times New Roman" w:cs="Times New Roman"/>
          <w:noProof/>
        </w:rPr>
        <w:drawing>
          <wp:inline distT="0" distB="0" distL="0" distR="0" wp14:anchorId="5FFF759A" wp14:editId="664F8064">
            <wp:extent cx="5759450" cy="2527300"/>
            <wp:effectExtent l="0" t="0" r="0" b="6350"/>
            <wp:docPr id="9856311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4" b="34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0FA0A" w14:textId="77777777" w:rsidR="0089283F" w:rsidRPr="00D650A1" w:rsidRDefault="0089283F" w:rsidP="0089283F">
      <w:pPr>
        <w:jc w:val="both"/>
        <w:rPr>
          <w:rFonts w:ascii="Times New Roman" w:hAnsi="Times New Roman" w:cs="Times New Roman"/>
          <w:bCs/>
        </w:rPr>
      </w:pPr>
    </w:p>
    <w:p w14:paraId="4C6529C0" w14:textId="77777777" w:rsidR="0089283F" w:rsidRPr="00D650A1" w:rsidRDefault="0089283F" w:rsidP="0089283F">
      <w:pPr>
        <w:jc w:val="both"/>
        <w:rPr>
          <w:rFonts w:ascii="Times New Roman" w:hAnsi="Times New Roman" w:cs="Times New Roman"/>
          <w:sz w:val="20"/>
          <w:szCs w:val="20"/>
        </w:rPr>
      </w:pPr>
      <w:r w:rsidRPr="00D650A1">
        <w:rPr>
          <w:rFonts w:ascii="Times New Roman" w:hAnsi="Times New Roman" w:cs="Times New Roman"/>
          <w:b/>
          <w:bCs/>
          <w:sz w:val="20"/>
          <w:szCs w:val="20"/>
        </w:rPr>
        <w:t>Supplemental Fig. 2.</w:t>
      </w:r>
      <w:r w:rsidRPr="00D650A1">
        <w:rPr>
          <w:rFonts w:ascii="Times New Roman" w:hAnsi="Times New Roman" w:cs="Times New Roman"/>
          <w:sz w:val="20"/>
          <w:szCs w:val="20"/>
        </w:rPr>
        <w:t xml:space="preserve"> Unsupervised SOTA clustering reveals a survival-associated EV protein signature </w:t>
      </w:r>
      <w:r w:rsidRPr="00D650A1">
        <w:rPr>
          <w:rFonts w:ascii="Times New Roman" w:hAnsi="Times New Roman" w:cs="Times New Roman"/>
          <w:b/>
          <w:sz w:val="20"/>
          <w:szCs w:val="20"/>
        </w:rPr>
        <w:t>(A)</w:t>
      </w:r>
      <w:r w:rsidRPr="00D650A1">
        <w:rPr>
          <w:rFonts w:ascii="Times New Roman" w:hAnsi="Times New Roman" w:cs="Times New Roman"/>
          <w:sz w:val="20"/>
          <w:szCs w:val="20"/>
        </w:rPr>
        <w:t xml:space="preserve"> Kaplan–Meier 5-year overall survival curves for HNSCC patients stratified by average expression of the 24-protein signature identified in Cluster 8 (KMplot.com, Pan-cancer RNA-seq, n = 499; auto-selected best cutoff). </w:t>
      </w:r>
      <w:r w:rsidRPr="00D650A1">
        <w:rPr>
          <w:rFonts w:ascii="Times New Roman" w:hAnsi="Times New Roman" w:cs="Times New Roman"/>
          <w:b/>
          <w:sz w:val="20"/>
          <w:szCs w:val="20"/>
        </w:rPr>
        <w:t>(B)</w:t>
      </w:r>
      <w:r w:rsidRPr="00D650A1">
        <w:rPr>
          <w:rFonts w:ascii="Times New Roman" w:hAnsi="Times New Roman" w:cs="Times New Roman"/>
          <w:sz w:val="20"/>
          <w:szCs w:val="20"/>
        </w:rPr>
        <w:t xml:space="preserve"> Kaplan–Meier 5-year overall survival curves for HNSCC patients stratified by average expression of the two-protein signature co-identified in Cluster 8 and the pairwise differential protein sets (KMplot.com, Pan-cancer RNA-seq, n = 499; auto-selected best cutoff).</w:t>
      </w:r>
    </w:p>
    <w:p w14:paraId="359B41D1" w14:textId="77777777" w:rsidR="0089283F" w:rsidRDefault="0089283F"/>
    <w:sectPr w:rsidR="00892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3F"/>
    <w:rsid w:val="002D6D42"/>
    <w:rsid w:val="005B6877"/>
    <w:rsid w:val="0089283F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D8530"/>
  <w15:chartTrackingRefBased/>
  <w15:docId w15:val="{2EDEB282-C445-405E-91A4-52E77479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83F"/>
    <w:pPr>
      <w:spacing w:after="0" w:line="240" w:lineRule="auto"/>
    </w:pPr>
    <w:rPr>
      <w:rFonts w:eastAsiaTheme="minorEastAsia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8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8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8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8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8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83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83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83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83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8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8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8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92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83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92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83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92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83F"/>
    <w:pPr>
      <w:spacing w:after="160" w:line="278" w:lineRule="auto"/>
      <w:ind w:left="720"/>
      <w:contextualSpacing/>
    </w:pPr>
    <w:rPr>
      <w:rFonts w:eastAsiaTheme="minorHAns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892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2026-10-19T17:38:00Z</dcterms:created>
  <dcterms:modified xsi:type="dcterms:W3CDTF">2026-10-19T17:40:00Z</dcterms:modified>
</cp:coreProperties>
</file>