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D4350B" w14:textId="77777777" w:rsidR="00A456C6" w:rsidRDefault="00000000">
      <w:pPr>
        <w:spacing w:after="120"/>
        <w:jc w:val="center"/>
      </w:pPr>
      <w:r>
        <w:rPr>
          <w:b/>
          <w:sz w:val="24"/>
        </w:rPr>
        <w:t>Supplementary Appendix</w:t>
      </w:r>
    </w:p>
    <w:p w14:paraId="7B49C83B" w14:textId="77777777" w:rsidR="00A456C6" w:rsidRDefault="00000000">
      <w:pPr>
        <w:spacing w:after="120"/>
      </w:pPr>
      <w:r>
        <w:rPr>
          <w:b/>
          <w:sz w:val="24"/>
        </w:rPr>
        <w:t>Table of contents</w:t>
      </w:r>
    </w:p>
    <w:p w14:paraId="2D6ACA34" w14:textId="548B3634" w:rsidR="00F74D52" w:rsidRDefault="00F74D52">
      <w:pPr>
        <w:pStyle w:val="TOC1"/>
        <w:tabs>
          <w:tab w:val="right" w:leader="dot" w:pos="8299"/>
        </w:tabs>
        <w:rPr>
          <w:rFonts w:asciiTheme="minorHAnsi" w:eastAsiaTheme="minorEastAsia" w:hAnsiTheme="minorHAnsi"/>
          <w:noProof/>
          <w:sz w:val="22"/>
          <w14:ligatures w14:val="standardContextual"/>
        </w:rPr>
      </w:pPr>
      <w:r>
        <w:fldChar w:fldCharType="begin"/>
      </w:r>
      <w:r>
        <w:instrText xml:space="preserve"> TOC \o "1-3" \h \z \t "Supplementary Table Caption,2" </w:instrText>
      </w:r>
      <w:r>
        <w:fldChar w:fldCharType="separate"/>
      </w:r>
      <w:hyperlink w:anchor="_Toc238946672" w:history="1">
        <w:r w:rsidRPr="00C324DB">
          <w:rPr>
            <w:rStyle w:val="ae"/>
            <w:noProof/>
          </w:rPr>
          <w:t>Supplementary Methods S1. Candidate base-model benchmarking</w:t>
        </w:r>
        <w:r>
          <w:rPr>
            <w:noProof/>
            <w:webHidden/>
          </w:rPr>
          <w:tab/>
        </w:r>
        <w:r>
          <w:rPr>
            <w:noProof/>
            <w:webHidden/>
          </w:rPr>
          <w:fldChar w:fldCharType="begin"/>
        </w:r>
        <w:r>
          <w:rPr>
            <w:noProof/>
            <w:webHidden/>
          </w:rPr>
          <w:instrText xml:space="preserve"> PAGEREF _Toc238946672 \h </w:instrText>
        </w:r>
        <w:r>
          <w:rPr>
            <w:noProof/>
            <w:webHidden/>
          </w:rPr>
        </w:r>
        <w:r>
          <w:rPr>
            <w:noProof/>
            <w:webHidden/>
          </w:rPr>
          <w:fldChar w:fldCharType="separate"/>
        </w:r>
        <w:r>
          <w:rPr>
            <w:noProof/>
            <w:webHidden/>
          </w:rPr>
          <w:t>2</w:t>
        </w:r>
        <w:r>
          <w:rPr>
            <w:noProof/>
            <w:webHidden/>
          </w:rPr>
          <w:fldChar w:fldCharType="end"/>
        </w:r>
      </w:hyperlink>
    </w:p>
    <w:p w14:paraId="74DBE5C2" w14:textId="7698B5AB" w:rsidR="00F74D52" w:rsidRDefault="00F74D52">
      <w:pPr>
        <w:pStyle w:val="TOC2"/>
        <w:tabs>
          <w:tab w:val="right" w:leader="dot" w:pos="8299"/>
        </w:tabs>
        <w:rPr>
          <w:rFonts w:asciiTheme="minorHAnsi" w:eastAsiaTheme="minorEastAsia" w:hAnsiTheme="minorHAnsi"/>
          <w:noProof/>
          <w:sz w:val="22"/>
          <w14:ligatures w14:val="standardContextual"/>
        </w:rPr>
      </w:pPr>
      <w:hyperlink w:anchor="_Toc238946673" w:history="1">
        <w:r w:rsidRPr="00C324DB">
          <w:rPr>
            <w:rStyle w:val="ae"/>
            <w:noProof/>
          </w:rPr>
          <w:t>Supplementary Table S1. Candidate base-model performance in the model-selection validation set</w:t>
        </w:r>
        <w:r>
          <w:rPr>
            <w:noProof/>
            <w:webHidden/>
          </w:rPr>
          <w:tab/>
        </w:r>
        <w:r>
          <w:rPr>
            <w:noProof/>
            <w:webHidden/>
          </w:rPr>
          <w:fldChar w:fldCharType="begin"/>
        </w:r>
        <w:r>
          <w:rPr>
            <w:noProof/>
            <w:webHidden/>
          </w:rPr>
          <w:instrText xml:space="preserve"> PAGEREF _Toc238946673 \h </w:instrText>
        </w:r>
        <w:r>
          <w:rPr>
            <w:noProof/>
            <w:webHidden/>
          </w:rPr>
        </w:r>
        <w:r>
          <w:rPr>
            <w:noProof/>
            <w:webHidden/>
          </w:rPr>
          <w:fldChar w:fldCharType="separate"/>
        </w:r>
        <w:r>
          <w:rPr>
            <w:noProof/>
            <w:webHidden/>
          </w:rPr>
          <w:t>2</w:t>
        </w:r>
        <w:r>
          <w:rPr>
            <w:noProof/>
            <w:webHidden/>
          </w:rPr>
          <w:fldChar w:fldCharType="end"/>
        </w:r>
      </w:hyperlink>
    </w:p>
    <w:p w14:paraId="330A3E83" w14:textId="192C4D21" w:rsidR="00F74D52" w:rsidRDefault="00F74D52">
      <w:pPr>
        <w:pStyle w:val="TOC1"/>
        <w:tabs>
          <w:tab w:val="right" w:leader="dot" w:pos="8299"/>
        </w:tabs>
        <w:rPr>
          <w:rFonts w:asciiTheme="minorHAnsi" w:eastAsiaTheme="minorEastAsia" w:hAnsiTheme="minorHAnsi"/>
          <w:noProof/>
          <w:sz w:val="22"/>
          <w14:ligatures w14:val="standardContextual"/>
        </w:rPr>
      </w:pPr>
      <w:hyperlink w:anchor="_Toc238946674" w:history="1">
        <w:r w:rsidRPr="00C324DB">
          <w:rPr>
            <w:rStyle w:val="ae"/>
            <w:noProof/>
          </w:rPr>
          <w:t>Supplementary Methods S2. Abnormal-case augmentation and quality assessment</w:t>
        </w:r>
        <w:r>
          <w:rPr>
            <w:noProof/>
            <w:webHidden/>
          </w:rPr>
          <w:tab/>
        </w:r>
        <w:r>
          <w:rPr>
            <w:noProof/>
            <w:webHidden/>
          </w:rPr>
          <w:fldChar w:fldCharType="begin"/>
        </w:r>
        <w:r>
          <w:rPr>
            <w:noProof/>
            <w:webHidden/>
          </w:rPr>
          <w:instrText xml:space="preserve"> PAGEREF _Toc238946674 \h </w:instrText>
        </w:r>
        <w:r>
          <w:rPr>
            <w:noProof/>
            <w:webHidden/>
          </w:rPr>
        </w:r>
        <w:r>
          <w:rPr>
            <w:noProof/>
            <w:webHidden/>
          </w:rPr>
          <w:fldChar w:fldCharType="separate"/>
        </w:r>
        <w:r>
          <w:rPr>
            <w:noProof/>
            <w:webHidden/>
          </w:rPr>
          <w:t>2</w:t>
        </w:r>
        <w:r>
          <w:rPr>
            <w:noProof/>
            <w:webHidden/>
          </w:rPr>
          <w:fldChar w:fldCharType="end"/>
        </w:r>
      </w:hyperlink>
    </w:p>
    <w:p w14:paraId="2B0CE4CF" w14:textId="7A92EDCE" w:rsidR="00F74D52" w:rsidRDefault="00F74D52">
      <w:pPr>
        <w:pStyle w:val="TOC2"/>
        <w:tabs>
          <w:tab w:val="right" w:leader="dot" w:pos="8299"/>
        </w:tabs>
        <w:rPr>
          <w:rFonts w:asciiTheme="minorHAnsi" w:eastAsiaTheme="minorEastAsia" w:hAnsiTheme="minorHAnsi"/>
          <w:noProof/>
          <w:sz w:val="22"/>
          <w14:ligatures w14:val="standardContextual"/>
        </w:rPr>
      </w:pPr>
      <w:hyperlink w:anchor="_Toc238946675" w:history="1">
        <w:r w:rsidRPr="00C324DB">
          <w:rPr>
            <w:rStyle w:val="ae"/>
            <w:noProof/>
          </w:rPr>
          <w:t>Supplementary Table S2. Prespecified abnormal-case augmentation and quality-assurance framework</w:t>
        </w:r>
        <w:r>
          <w:rPr>
            <w:noProof/>
            <w:webHidden/>
          </w:rPr>
          <w:tab/>
        </w:r>
        <w:r>
          <w:rPr>
            <w:noProof/>
            <w:webHidden/>
          </w:rPr>
          <w:fldChar w:fldCharType="begin"/>
        </w:r>
        <w:r>
          <w:rPr>
            <w:noProof/>
            <w:webHidden/>
          </w:rPr>
          <w:instrText xml:space="preserve"> PAGEREF _Toc238946675 \h </w:instrText>
        </w:r>
        <w:r>
          <w:rPr>
            <w:noProof/>
            <w:webHidden/>
          </w:rPr>
        </w:r>
        <w:r>
          <w:rPr>
            <w:noProof/>
            <w:webHidden/>
          </w:rPr>
          <w:fldChar w:fldCharType="separate"/>
        </w:r>
        <w:r>
          <w:rPr>
            <w:noProof/>
            <w:webHidden/>
          </w:rPr>
          <w:t>3</w:t>
        </w:r>
        <w:r>
          <w:rPr>
            <w:noProof/>
            <w:webHidden/>
          </w:rPr>
          <w:fldChar w:fldCharType="end"/>
        </w:r>
      </w:hyperlink>
    </w:p>
    <w:p w14:paraId="28B29C09" w14:textId="04EF1A82" w:rsidR="00F74D52" w:rsidRDefault="00F74D52">
      <w:pPr>
        <w:pStyle w:val="TOC1"/>
        <w:tabs>
          <w:tab w:val="right" w:leader="dot" w:pos="8299"/>
        </w:tabs>
        <w:rPr>
          <w:rFonts w:asciiTheme="minorHAnsi" w:eastAsiaTheme="minorEastAsia" w:hAnsiTheme="minorHAnsi"/>
          <w:noProof/>
          <w:sz w:val="22"/>
          <w14:ligatures w14:val="standardContextual"/>
        </w:rPr>
      </w:pPr>
      <w:hyperlink w:anchor="_Toc238946676" w:history="1">
        <w:r w:rsidRPr="00C324DB">
          <w:rPr>
            <w:rStyle w:val="ae"/>
            <w:noProof/>
          </w:rPr>
          <w:t>Supplementary Methods S3. NovaMind training and inference configuration</w:t>
        </w:r>
        <w:r>
          <w:rPr>
            <w:noProof/>
            <w:webHidden/>
          </w:rPr>
          <w:tab/>
        </w:r>
        <w:r>
          <w:rPr>
            <w:noProof/>
            <w:webHidden/>
          </w:rPr>
          <w:fldChar w:fldCharType="begin"/>
        </w:r>
        <w:r>
          <w:rPr>
            <w:noProof/>
            <w:webHidden/>
          </w:rPr>
          <w:instrText xml:space="preserve"> PAGEREF _Toc238946676 \h </w:instrText>
        </w:r>
        <w:r>
          <w:rPr>
            <w:noProof/>
            <w:webHidden/>
          </w:rPr>
        </w:r>
        <w:r>
          <w:rPr>
            <w:noProof/>
            <w:webHidden/>
          </w:rPr>
          <w:fldChar w:fldCharType="separate"/>
        </w:r>
        <w:r>
          <w:rPr>
            <w:noProof/>
            <w:webHidden/>
          </w:rPr>
          <w:t>3</w:t>
        </w:r>
        <w:r>
          <w:rPr>
            <w:noProof/>
            <w:webHidden/>
          </w:rPr>
          <w:fldChar w:fldCharType="end"/>
        </w:r>
      </w:hyperlink>
    </w:p>
    <w:p w14:paraId="6718E001" w14:textId="0A3218B4" w:rsidR="00F74D52" w:rsidRDefault="00F74D52">
      <w:pPr>
        <w:pStyle w:val="TOC2"/>
        <w:tabs>
          <w:tab w:val="right" w:leader="dot" w:pos="8299"/>
        </w:tabs>
        <w:rPr>
          <w:rFonts w:asciiTheme="minorHAnsi" w:eastAsiaTheme="minorEastAsia" w:hAnsiTheme="minorHAnsi"/>
          <w:noProof/>
          <w:sz w:val="22"/>
          <w14:ligatures w14:val="standardContextual"/>
        </w:rPr>
      </w:pPr>
      <w:hyperlink w:anchor="_Toc238946677" w:history="1">
        <w:r w:rsidRPr="00C324DB">
          <w:rPr>
            <w:rStyle w:val="ae"/>
            <w:noProof/>
          </w:rPr>
          <w:t>Supplementary Table S3. NovaMind two-stage training configuration</w:t>
        </w:r>
        <w:r>
          <w:rPr>
            <w:noProof/>
            <w:webHidden/>
          </w:rPr>
          <w:tab/>
        </w:r>
        <w:r>
          <w:rPr>
            <w:noProof/>
            <w:webHidden/>
          </w:rPr>
          <w:fldChar w:fldCharType="begin"/>
        </w:r>
        <w:r>
          <w:rPr>
            <w:noProof/>
            <w:webHidden/>
          </w:rPr>
          <w:instrText xml:space="preserve"> PAGEREF _Toc238946677 \h </w:instrText>
        </w:r>
        <w:r>
          <w:rPr>
            <w:noProof/>
            <w:webHidden/>
          </w:rPr>
        </w:r>
        <w:r>
          <w:rPr>
            <w:noProof/>
            <w:webHidden/>
          </w:rPr>
          <w:fldChar w:fldCharType="separate"/>
        </w:r>
        <w:r>
          <w:rPr>
            <w:noProof/>
            <w:webHidden/>
          </w:rPr>
          <w:t>4</w:t>
        </w:r>
        <w:r>
          <w:rPr>
            <w:noProof/>
            <w:webHidden/>
          </w:rPr>
          <w:fldChar w:fldCharType="end"/>
        </w:r>
      </w:hyperlink>
    </w:p>
    <w:p w14:paraId="4056854B" w14:textId="3FA57BE9" w:rsidR="00F74D52" w:rsidRDefault="00F74D52">
      <w:pPr>
        <w:pStyle w:val="TOC2"/>
        <w:tabs>
          <w:tab w:val="right" w:leader="dot" w:pos="8299"/>
        </w:tabs>
        <w:rPr>
          <w:rFonts w:asciiTheme="minorHAnsi" w:eastAsiaTheme="minorEastAsia" w:hAnsiTheme="minorHAnsi"/>
          <w:noProof/>
          <w:sz w:val="22"/>
          <w14:ligatures w14:val="standardContextual"/>
        </w:rPr>
      </w:pPr>
      <w:hyperlink w:anchor="_Toc238946678" w:history="1">
        <w:r w:rsidRPr="00C324DB">
          <w:rPr>
            <w:rStyle w:val="ae"/>
            <w:noProof/>
          </w:rPr>
          <w:t>Supplementary Table S4. NovaMind inference configuration</w:t>
        </w:r>
        <w:r>
          <w:rPr>
            <w:noProof/>
            <w:webHidden/>
          </w:rPr>
          <w:tab/>
        </w:r>
        <w:r>
          <w:rPr>
            <w:noProof/>
            <w:webHidden/>
          </w:rPr>
          <w:fldChar w:fldCharType="begin"/>
        </w:r>
        <w:r>
          <w:rPr>
            <w:noProof/>
            <w:webHidden/>
          </w:rPr>
          <w:instrText xml:space="preserve"> PAGEREF _Toc238946678 \h </w:instrText>
        </w:r>
        <w:r>
          <w:rPr>
            <w:noProof/>
            <w:webHidden/>
          </w:rPr>
        </w:r>
        <w:r>
          <w:rPr>
            <w:noProof/>
            <w:webHidden/>
          </w:rPr>
          <w:fldChar w:fldCharType="separate"/>
        </w:r>
        <w:r>
          <w:rPr>
            <w:noProof/>
            <w:webHidden/>
          </w:rPr>
          <w:t>5</w:t>
        </w:r>
        <w:r>
          <w:rPr>
            <w:noProof/>
            <w:webHidden/>
          </w:rPr>
          <w:fldChar w:fldCharType="end"/>
        </w:r>
      </w:hyperlink>
    </w:p>
    <w:p w14:paraId="52445C8C" w14:textId="79FE085B" w:rsidR="00F74D52" w:rsidRDefault="00F74D52">
      <w:pPr>
        <w:pStyle w:val="TOC1"/>
        <w:tabs>
          <w:tab w:val="right" w:leader="dot" w:pos="8299"/>
        </w:tabs>
        <w:rPr>
          <w:rFonts w:asciiTheme="minorHAnsi" w:eastAsiaTheme="minorEastAsia" w:hAnsiTheme="minorHAnsi"/>
          <w:noProof/>
          <w:sz w:val="22"/>
          <w14:ligatures w14:val="standardContextual"/>
        </w:rPr>
      </w:pPr>
      <w:hyperlink w:anchor="_Toc238946679" w:history="1">
        <w:r w:rsidRPr="00C324DB">
          <w:rPr>
            <w:rStyle w:val="ae"/>
            <w:noProof/>
          </w:rPr>
          <w:t>Supplementary Methods S4. PBRTQC development and evaluation</w:t>
        </w:r>
        <w:r>
          <w:rPr>
            <w:noProof/>
            <w:webHidden/>
          </w:rPr>
          <w:tab/>
        </w:r>
        <w:r>
          <w:rPr>
            <w:noProof/>
            <w:webHidden/>
          </w:rPr>
          <w:fldChar w:fldCharType="begin"/>
        </w:r>
        <w:r>
          <w:rPr>
            <w:noProof/>
            <w:webHidden/>
          </w:rPr>
          <w:instrText xml:space="preserve"> PAGEREF _Toc238946679 \h </w:instrText>
        </w:r>
        <w:r>
          <w:rPr>
            <w:noProof/>
            <w:webHidden/>
          </w:rPr>
        </w:r>
        <w:r>
          <w:rPr>
            <w:noProof/>
            <w:webHidden/>
          </w:rPr>
          <w:fldChar w:fldCharType="separate"/>
        </w:r>
        <w:r>
          <w:rPr>
            <w:noProof/>
            <w:webHidden/>
          </w:rPr>
          <w:t>5</w:t>
        </w:r>
        <w:r>
          <w:rPr>
            <w:noProof/>
            <w:webHidden/>
          </w:rPr>
          <w:fldChar w:fldCharType="end"/>
        </w:r>
      </w:hyperlink>
    </w:p>
    <w:p w14:paraId="239F3995" w14:textId="34FED354" w:rsidR="00F74D52" w:rsidRDefault="00F74D52">
      <w:pPr>
        <w:pStyle w:val="TOC2"/>
        <w:tabs>
          <w:tab w:val="right" w:leader="dot" w:pos="8299"/>
        </w:tabs>
        <w:rPr>
          <w:rFonts w:asciiTheme="minorHAnsi" w:eastAsiaTheme="minorEastAsia" w:hAnsiTheme="minorHAnsi"/>
          <w:noProof/>
          <w:sz w:val="22"/>
          <w14:ligatures w14:val="standardContextual"/>
        </w:rPr>
      </w:pPr>
      <w:hyperlink w:anchor="_Toc238946680" w:history="1">
        <w:r w:rsidRPr="00C324DB">
          <w:rPr>
            <w:rStyle w:val="ae"/>
            <w:noProof/>
          </w:rPr>
          <w:t>Supplementary Table S5. Locked common PBRTQC parameters</w:t>
        </w:r>
        <w:r>
          <w:rPr>
            <w:noProof/>
            <w:webHidden/>
          </w:rPr>
          <w:tab/>
        </w:r>
        <w:r>
          <w:rPr>
            <w:noProof/>
            <w:webHidden/>
          </w:rPr>
          <w:fldChar w:fldCharType="begin"/>
        </w:r>
        <w:r>
          <w:rPr>
            <w:noProof/>
            <w:webHidden/>
          </w:rPr>
          <w:instrText xml:space="preserve"> PAGEREF _Toc238946680 \h </w:instrText>
        </w:r>
        <w:r>
          <w:rPr>
            <w:noProof/>
            <w:webHidden/>
          </w:rPr>
        </w:r>
        <w:r>
          <w:rPr>
            <w:noProof/>
            <w:webHidden/>
          </w:rPr>
          <w:fldChar w:fldCharType="separate"/>
        </w:r>
        <w:r>
          <w:rPr>
            <w:noProof/>
            <w:webHidden/>
          </w:rPr>
          <w:t>6</w:t>
        </w:r>
        <w:r>
          <w:rPr>
            <w:noProof/>
            <w:webHidden/>
          </w:rPr>
          <w:fldChar w:fldCharType="end"/>
        </w:r>
      </w:hyperlink>
    </w:p>
    <w:p w14:paraId="2E70D0FD" w14:textId="633D81F7" w:rsidR="00F74D52" w:rsidRDefault="00F74D52">
      <w:pPr>
        <w:pStyle w:val="TOC1"/>
        <w:tabs>
          <w:tab w:val="right" w:leader="dot" w:pos="8299"/>
        </w:tabs>
        <w:rPr>
          <w:rFonts w:asciiTheme="minorHAnsi" w:eastAsiaTheme="minorEastAsia" w:hAnsiTheme="minorHAnsi"/>
          <w:noProof/>
          <w:sz w:val="22"/>
          <w14:ligatures w14:val="standardContextual"/>
        </w:rPr>
      </w:pPr>
      <w:hyperlink w:anchor="_Toc238946681" w:history="1">
        <w:r w:rsidRPr="00C324DB">
          <w:rPr>
            <w:rStyle w:val="ae"/>
            <w:noProof/>
          </w:rPr>
          <w:t>Supplementary Results S1. Discordance by availability of longitudinal hormone history</w:t>
        </w:r>
        <w:r>
          <w:rPr>
            <w:noProof/>
            <w:webHidden/>
          </w:rPr>
          <w:tab/>
        </w:r>
        <w:r>
          <w:rPr>
            <w:noProof/>
            <w:webHidden/>
          </w:rPr>
          <w:fldChar w:fldCharType="begin"/>
        </w:r>
        <w:r>
          <w:rPr>
            <w:noProof/>
            <w:webHidden/>
          </w:rPr>
          <w:instrText xml:space="preserve"> PAGEREF _Toc238946681 \h </w:instrText>
        </w:r>
        <w:r>
          <w:rPr>
            <w:noProof/>
            <w:webHidden/>
          </w:rPr>
        </w:r>
        <w:r>
          <w:rPr>
            <w:noProof/>
            <w:webHidden/>
          </w:rPr>
          <w:fldChar w:fldCharType="separate"/>
        </w:r>
        <w:r>
          <w:rPr>
            <w:noProof/>
            <w:webHidden/>
          </w:rPr>
          <w:t>6</w:t>
        </w:r>
        <w:r>
          <w:rPr>
            <w:noProof/>
            <w:webHidden/>
          </w:rPr>
          <w:fldChar w:fldCharType="end"/>
        </w:r>
      </w:hyperlink>
    </w:p>
    <w:p w14:paraId="390E34CE" w14:textId="765B9BC9" w:rsidR="00F74D52" w:rsidRDefault="00F74D52">
      <w:pPr>
        <w:pStyle w:val="TOC2"/>
        <w:tabs>
          <w:tab w:val="right" w:leader="dot" w:pos="8299"/>
        </w:tabs>
        <w:rPr>
          <w:rFonts w:asciiTheme="minorHAnsi" w:eastAsiaTheme="minorEastAsia" w:hAnsiTheme="minorHAnsi"/>
          <w:noProof/>
          <w:sz w:val="22"/>
          <w14:ligatures w14:val="standardContextual"/>
        </w:rPr>
      </w:pPr>
      <w:hyperlink w:anchor="_Toc238946682" w:history="1">
        <w:r w:rsidRPr="00C324DB">
          <w:rPr>
            <w:rStyle w:val="ae"/>
            <w:noProof/>
          </w:rPr>
          <w:t>Supplementary Table S6. Discordance by availability of longitudinal hormone history in the augmented challenge set</w:t>
        </w:r>
        <w:r>
          <w:rPr>
            <w:noProof/>
            <w:webHidden/>
          </w:rPr>
          <w:tab/>
        </w:r>
        <w:r>
          <w:rPr>
            <w:noProof/>
            <w:webHidden/>
          </w:rPr>
          <w:fldChar w:fldCharType="begin"/>
        </w:r>
        <w:r>
          <w:rPr>
            <w:noProof/>
            <w:webHidden/>
          </w:rPr>
          <w:instrText xml:space="preserve"> PAGEREF _Toc238946682 \h </w:instrText>
        </w:r>
        <w:r>
          <w:rPr>
            <w:noProof/>
            <w:webHidden/>
          </w:rPr>
        </w:r>
        <w:r>
          <w:rPr>
            <w:noProof/>
            <w:webHidden/>
          </w:rPr>
          <w:fldChar w:fldCharType="separate"/>
        </w:r>
        <w:r>
          <w:rPr>
            <w:noProof/>
            <w:webHidden/>
          </w:rPr>
          <w:t>6</w:t>
        </w:r>
        <w:r>
          <w:rPr>
            <w:noProof/>
            <w:webHidden/>
          </w:rPr>
          <w:fldChar w:fldCharType="end"/>
        </w:r>
      </w:hyperlink>
    </w:p>
    <w:p w14:paraId="710C93D5" w14:textId="12458E72" w:rsidR="00F74D52" w:rsidRDefault="00F74D52">
      <w:pPr>
        <w:pStyle w:val="TOC1"/>
        <w:tabs>
          <w:tab w:val="right" w:leader="dot" w:pos="8299"/>
        </w:tabs>
        <w:rPr>
          <w:rFonts w:asciiTheme="minorHAnsi" w:eastAsiaTheme="minorEastAsia" w:hAnsiTheme="minorHAnsi"/>
          <w:noProof/>
          <w:sz w:val="22"/>
          <w14:ligatures w14:val="standardContextual"/>
        </w:rPr>
      </w:pPr>
      <w:hyperlink w:anchor="_Toc238946683" w:history="1">
        <w:r w:rsidRPr="00C324DB">
          <w:rPr>
            <w:rStyle w:val="ae"/>
            <w:noProof/>
          </w:rPr>
          <w:t>Supplementary Results S2. PBRTQC prospective silent operation</w:t>
        </w:r>
        <w:r>
          <w:rPr>
            <w:noProof/>
            <w:webHidden/>
          </w:rPr>
          <w:tab/>
        </w:r>
        <w:r>
          <w:rPr>
            <w:noProof/>
            <w:webHidden/>
          </w:rPr>
          <w:fldChar w:fldCharType="begin"/>
        </w:r>
        <w:r>
          <w:rPr>
            <w:noProof/>
            <w:webHidden/>
          </w:rPr>
          <w:instrText xml:space="preserve"> PAGEREF _Toc238946683 \h </w:instrText>
        </w:r>
        <w:r>
          <w:rPr>
            <w:noProof/>
            <w:webHidden/>
          </w:rPr>
        </w:r>
        <w:r>
          <w:rPr>
            <w:noProof/>
            <w:webHidden/>
          </w:rPr>
          <w:fldChar w:fldCharType="separate"/>
        </w:r>
        <w:r>
          <w:rPr>
            <w:noProof/>
            <w:webHidden/>
          </w:rPr>
          <w:t>7</w:t>
        </w:r>
        <w:r>
          <w:rPr>
            <w:noProof/>
            <w:webHidden/>
          </w:rPr>
          <w:fldChar w:fldCharType="end"/>
        </w:r>
      </w:hyperlink>
    </w:p>
    <w:p w14:paraId="0A9039C9" w14:textId="06DAEEB8" w:rsidR="00F74D52" w:rsidRDefault="00F74D52">
      <w:pPr>
        <w:pStyle w:val="TOC2"/>
        <w:tabs>
          <w:tab w:val="right" w:leader="dot" w:pos="8299"/>
        </w:tabs>
        <w:rPr>
          <w:rFonts w:asciiTheme="minorHAnsi" w:eastAsiaTheme="minorEastAsia" w:hAnsiTheme="minorHAnsi"/>
          <w:noProof/>
          <w:sz w:val="22"/>
          <w14:ligatures w14:val="standardContextual"/>
        </w:rPr>
      </w:pPr>
      <w:hyperlink w:anchor="_Toc238946684" w:history="1">
        <w:r w:rsidRPr="00C324DB">
          <w:rPr>
            <w:rStyle w:val="ae"/>
            <w:noProof/>
          </w:rPr>
          <w:t>Supplementary Table S7. Analyte-level alerts during prospective PBRTQC silent operation</w:t>
        </w:r>
        <w:r>
          <w:rPr>
            <w:noProof/>
            <w:webHidden/>
          </w:rPr>
          <w:tab/>
        </w:r>
        <w:r>
          <w:rPr>
            <w:noProof/>
            <w:webHidden/>
          </w:rPr>
          <w:fldChar w:fldCharType="begin"/>
        </w:r>
        <w:r>
          <w:rPr>
            <w:noProof/>
            <w:webHidden/>
          </w:rPr>
          <w:instrText xml:space="preserve"> PAGEREF _Toc238946684 \h </w:instrText>
        </w:r>
        <w:r>
          <w:rPr>
            <w:noProof/>
            <w:webHidden/>
          </w:rPr>
        </w:r>
        <w:r>
          <w:rPr>
            <w:noProof/>
            <w:webHidden/>
          </w:rPr>
          <w:fldChar w:fldCharType="separate"/>
        </w:r>
        <w:r>
          <w:rPr>
            <w:noProof/>
            <w:webHidden/>
          </w:rPr>
          <w:t>7</w:t>
        </w:r>
        <w:r>
          <w:rPr>
            <w:noProof/>
            <w:webHidden/>
          </w:rPr>
          <w:fldChar w:fldCharType="end"/>
        </w:r>
      </w:hyperlink>
    </w:p>
    <w:p w14:paraId="5A057A9B" w14:textId="06272515" w:rsidR="00F74D52" w:rsidRDefault="00F74D52">
      <w:pPr>
        <w:pStyle w:val="TOC1"/>
        <w:tabs>
          <w:tab w:val="right" w:leader="dot" w:pos="8299"/>
        </w:tabs>
        <w:rPr>
          <w:rFonts w:asciiTheme="minorHAnsi" w:eastAsiaTheme="minorEastAsia" w:hAnsiTheme="minorHAnsi"/>
          <w:noProof/>
          <w:sz w:val="22"/>
          <w14:ligatures w14:val="standardContextual"/>
        </w:rPr>
      </w:pPr>
      <w:hyperlink w:anchor="_Toc238946685" w:history="1">
        <w:r w:rsidRPr="00C324DB">
          <w:rPr>
            <w:rStyle w:val="ae"/>
            <w:noProof/>
          </w:rPr>
          <w:t>Abbreviations</w:t>
        </w:r>
        <w:r>
          <w:rPr>
            <w:noProof/>
            <w:webHidden/>
          </w:rPr>
          <w:tab/>
        </w:r>
        <w:r>
          <w:rPr>
            <w:noProof/>
            <w:webHidden/>
          </w:rPr>
          <w:fldChar w:fldCharType="begin"/>
        </w:r>
        <w:r>
          <w:rPr>
            <w:noProof/>
            <w:webHidden/>
          </w:rPr>
          <w:instrText xml:space="preserve"> PAGEREF _Toc238946685 \h </w:instrText>
        </w:r>
        <w:r>
          <w:rPr>
            <w:noProof/>
            <w:webHidden/>
          </w:rPr>
        </w:r>
        <w:r>
          <w:rPr>
            <w:noProof/>
            <w:webHidden/>
          </w:rPr>
          <w:fldChar w:fldCharType="separate"/>
        </w:r>
        <w:r>
          <w:rPr>
            <w:noProof/>
            <w:webHidden/>
          </w:rPr>
          <w:t>7</w:t>
        </w:r>
        <w:r>
          <w:rPr>
            <w:noProof/>
            <w:webHidden/>
          </w:rPr>
          <w:fldChar w:fldCharType="end"/>
        </w:r>
      </w:hyperlink>
    </w:p>
    <w:p w14:paraId="29B66193" w14:textId="1F3D7B0E" w:rsidR="00A456C6" w:rsidRDefault="00F74D52">
      <w:pPr>
        <w:tabs>
          <w:tab w:val="right" w:leader="dot" w:pos="7992"/>
        </w:tabs>
        <w:spacing w:after="8" w:line="228" w:lineRule="auto"/>
      </w:pPr>
      <w:r>
        <w:fldChar w:fldCharType="end"/>
      </w:r>
    </w:p>
    <w:p w14:paraId="0A18D41A" w14:textId="637199CC" w:rsidR="00A456C6" w:rsidRDefault="00000000" w:rsidP="00C9263D">
      <w:pPr>
        <w:pStyle w:val="1"/>
      </w:pPr>
      <w:r>
        <w:br w:type="page"/>
      </w:r>
      <w:bookmarkStart w:id="0" w:name="_Toc238946672"/>
      <w:r w:rsidR="00807EBB" w:rsidRPr="00C9263D">
        <w:lastRenderedPageBreak/>
        <w:t>Supplementary Methods S1. Candidate base-model benchmarking</w:t>
      </w:r>
      <w:bookmarkEnd w:id="0"/>
    </w:p>
    <w:p w14:paraId="7E5AF23B" w14:textId="3873A896" w:rsidR="00455593" w:rsidRPr="00455593" w:rsidRDefault="00455593" w:rsidP="00455593">
      <w:pPr>
        <w:ind w:firstLineChars="200" w:firstLine="420"/>
      </w:pPr>
      <w:r w:rsidRPr="00455593">
        <w:t xml:space="preserve">Candidate large language models were benchmarked using a common ART hormone-result review template and fixed inference settings. The comparison included Qwen3, </w:t>
      </w:r>
      <w:proofErr w:type="spellStart"/>
      <w:r w:rsidRPr="00455593">
        <w:t>Baichuan</w:t>
      </w:r>
      <w:proofErr w:type="spellEnd"/>
      <w:r w:rsidRPr="00455593">
        <w:t xml:space="preserve">, HuatuoGPT2, Llama, Gemma 3, Mistral, DeepSeek, </w:t>
      </w:r>
      <w:proofErr w:type="spellStart"/>
      <w:r w:rsidRPr="00455593">
        <w:t>gpt-oss</w:t>
      </w:r>
      <w:proofErr w:type="spellEnd"/>
      <w:r w:rsidRPr="00455593">
        <w:t xml:space="preserve">, and GLM model families. Model selection was performed using the model-selection validation set. False-negative rate (FNR) was prioritized because a false-negative classification could allow a review unit requiring further evaluation to be classified as suitable for release; negative predictive value (NPV) and sensitivity were secondary criteria. Baichuan-M2-32B was selected as the base model for </w:t>
      </w:r>
      <w:proofErr w:type="spellStart"/>
      <w:r w:rsidRPr="00455593">
        <w:t>NovaMind</w:t>
      </w:r>
      <w:proofErr w:type="spellEnd"/>
      <w:r w:rsidRPr="00455593">
        <w:t>.</w:t>
      </w:r>
    </w:p>
    <w:p w14:paraId="78D652FF" w14:textId="3873A896" w:rsidR="00A456C6" w:rsidRPr="00F74D52" w:rsidRDefault="00000000" w:rsidP="00F74D52">
      <w:pPr>
        <w:pStyle w:val="SupplementaryTableCaption"/>
      </w:pPr>
      <w:bookmarkStart w:id="1" w:name="_Toc238946673"/>
      <w:r w:rsidRPr="00F74D52">
        <w:t>Supplementary Table S1.</w:t>
      </w:r>
      <w:r w:rsidR="00667BFE" w:rsidRPr="00F74D52">
        <w:t xml:space="preserve"> Candidate base-model performance in the model-selection validation set</w:t>
      </w:r>
      <w:bookmarkEnd w:id="1"/>
    </w:p>
    <w:tbl>
      <w:tblPr>
        <w:tblW w:w="10348" w:type="dxa"/>
        <w:jc w:val="center"/>
        <w:tblLayout w:type="fixed"/>
        <w:tblLook w:val="04A0" w:firstRow="1" w:lastRow="0" w:firstColumn="1" w:lastColumn="0" w:noHBand="0" w:noVBand="1"/>
      </w:tblPr>
      <w:tblGrid>
        <w:gridCol w:w="1701"/>
        <w:gridCol w:w="1701"/>
        <w:gridCol w:w="1701"/>
        <w:gridCol w:w="1701"/>
        <w:gridCol w:w="1701"/>
        <w:gridCol w:w="1843"/>
      </w:tblGrid>
      <w:tr w:rsidR="00A456C6" w:rsidRPr="00667BFE" w14:paraId="19D4757A" w14:textId="77777777" w:rsidTr="00667BFE">
        <w:trPr>
          <w:trHeight w:val="671"/>
          <w:tblHeader/>
          <w:jc w:val="center"/>
        </w:trPr>
        <w:tc>
          <w:tcPr>
            <w:tcW w:w="1701" w:type="dxa"/>
            <w:tcBorders>
              <w:top w:val="single" w:sz="12" w:space="0" w:color="000000"/>
              <w:left w:val="nil"/>
              <w:bottom w:val="nil"/>
              <w:right w:val="nil"/>
            </w:tcBorders>
            <w:tcMar>
              <w:top w:w="-1" w:type="dxa"/>
              <w:left w:w="-1" w:type="dxa"/>
              <w:bottom w:w="-1" w:type="dxa"/>
              <w:right w:w="-1" w:type="dxa"/>
            </w:tcMar>
            <w:vAlign w:val="center"/>
          </w:tcPr>
          <w:p w14:paraId="4E5DE674" w14:textId="7D3123FD" w:rsidR="00A456C6" w:rsidRPr="00667BFE" w:rsidRDefault="00667BFE" w:rsidP="00667BFE">
            <w:pPr>
              <w:keepNext/>
              <w:widowControl/>
              <w:snapToGrid w:val="0"/>
              <w:jc w:val="center"/>
              <w:textAlignment w:val="top"/>
              <w:rPr>
                <w:rFonts w:eastAsia="宋体" w:cs="Times New Roman"/>
                <w:b/>
                <w:bCs/>
                <w:color w:val="000000"/>
                <w:sz w:val="18"/>
                <w:szCs w:val="18"/>
              </w:rPr>
            </w:pPr>
            <w:r w:rsidRPr="00667BFE">
              <w:rPr>
                <w:rFonts w:eastAsia="宋体" w:cs="Times New Roman"/>
                <w:b/>
                <w:bCs/>
                <w:color w:val="000000"/>
                <w:kern w:val="0"/>
                <w:sz w:val="18"/>
                <w:szCs w:val="18"/>
                <w:lang w:bidi="ar"/>
              </w:rPr>
              <w:t>Model</w:t>
            </w:r>
          </w:p>
        </w:tc>
        <w:tc>
          <w:tcPr>
            <w:tcW w:w="1701" w:type="dxa"/>
            <w:tcBorders>
              <w:top w:val="single" w:sz="12" w:space="0" w:color="000000"/>
              <w:left w:val="nil"/>
              <w:bottom w:val="nil"/>
              <w:right w:val="nil"/>
            </w:tcBorders>
            <w:tcMar>
              <w:top w:w="-1" w:type="dxa"/>
              <w:left w:w="-1" w:type="dxa"/>
              <w:bottom w:w="-1" w:type="dxa"/>
              <w:right w:w="-1" w:type="dxa"/>
            </w:tcMar>
            <w:vAlign w:val="center"/>
          </w:tcPr>
          <w:p w14:paraId="4AFC55F9" w14:textId="5C310924" w:rsidR="00A456C6" w:rsidRPr="00667BFE" w:rsidRDefault="00000000" w:rsidP="00667BFE">
            <w:pPr>
              <w:keepNext/>
              <w:widowControl/>
              <w:snapToGrid w:val="0"/>
              <w:jc w:val="center"/>
              <w:textAlignment w:val="top"/>
              <w:rPr>
                <w:rFonts w:eastAsia="宋体" w:cs="Times New Roman"/>
                <w:b/>
                <w:bCs/>
                <w:color w:val="000000"/>
                <w:kern w:val="0"/>
                <w:sz w:val="18"/>
                <w:szCs w:val="18"/>
                <w:lang w:bidi="ar"/>
              </w:rPr>
            </w:pPr>
            <w:r w:rsidRPr="00667BFE">
              <w:rPr>
                <w:rFonts w:eastAsia="宋体" w:cs="Times New Roman"/>
                <w:b/>
                <w:bCs/>
                <w:color w:val="000000"/>
                <w:kern w:val="0"/>
                <w:sz w:val="18"/>
                <w:szCs w:val="18"/>
                <w:lang w:bidi="ar"/>
              </w:rPr>
              <w:t>FNR</w:t>
            </w:r>
            <w:r w:rsidR="00667BFE" w:rsidRPr="00667BFE">
              <w:rPr>
                <w:rFonts w:eastAsia="宋体" w:cs="Times New Roman"/>
                <w:b/>
                <w:bCs/>
                <w:color w:val="000000"/>
                <w:kern w:val="0"/>
                <w:sz w:val="18"/>
                <w:szCs w:val="18"/>
                <w:lang w:bidi="ar"/>
              </w:rPr>
              <w:t xml:space="preserve"> (</w:t>
            </w:r>
            <w:r w:rsidRPr="00667BFE">
              <w:rPr>
                <w:rFonts w:eastAsia="宋体" w:cs="Times New Roman"/>
                <w:b/>
                <w:bCs/>
                <w:color w:val="000000"/>
                <w:kern w:val="0"/>
                <w:sz w:val="18"/>
                <w:szCs w:val="18"/>
                <w:lang w:bidi="ar"/>
              </w:rPr>
              <w:t>95%</w:t>
            </w:r>
            <w:r w:rsidR="00224FB9">
              <w:rPr>
                <w:rFonts w:eastAsia="宋体" w:cs="Times New Roman" w:hint="eastAsia"/>
                <w:b/>
                <w:bCs/>
                <w:color w:val="000000"/>
                <w:kern w:val="0"/>
                <w:sz w:val="18"/>
                <w:szCs w:val="18"/>
                <w:lang w:bidi="ar"/>
              </w:rPr>
              <w:t xml:space="preserve"> </w:t>
            </w:r>
            <w:r w:rsidRPr="00667BFE">
              <w:rPr>
                <w:rFonts w:eastAsia="宋体" w:cs="Times New Roman"/>
                <w:b/>
                <w:bCs/>
                <w:color w:val="000000"/>
                <w:kern w:val="0"/>
                <w:sz w:val="18"/>
                <w:szCs w:val="18"/>
                <w:lang w:bidi="ar"/>
              </w:rPr>
              <w:t>CI</w:t>
            </w:r>
            <w:r w:rsidR="00667BFE" w:rsidRPr="00667BFE">
              <w:rPr>
                <w:rFonts w:eastAsia="宋体" w:cs="Times New Roman"/>
                <w:b/>
                <w:bCs/>
                <w:color w:val="000000"/>
                <w:kern w:val="0"/>
                <w:sz w:val="18"/>
                <w:szCs w:val="18"/>
                <w:lang w:bidi="ar"/>
              </w:rPr>
              <w:t>)</w:t>
            </w:r>
          </w:p>
        </w:tc>
        <w:tc>
          <w:tcPr>
            <w:tcW w:w="1701" w:type="dxa"/>
            <w:tcBorders>
              <w:top w:val="single" w:sz="12" w:space="0" w:color="000000"/>
              <w:left w:val="nil"/>
              <w:bottom w:val="nil"/>
              <w:right w:val="nil"/>
            </w:tcBorders>
            <w:tcMar>
              <w:top w:w="-1" w:type="dxa"/>
              <w:left w:w="-1" w:type="dxa"/>
              <w:bottom w:w="-1" w:type="dxa"/>
              <w:right w:w="-1" w:type="dxa"/>
            </w:tcMar>
            <w:vAlign w:val="center"/>
          </w:tcPr>
          <w:p w14:paraId="540D7C08" w14:textId="60388C75" w:rsidR="00A456C6" w:rsidRPr="00667BFE" w:rsidRDefault="00000000" w:rsidP="00667BFE">
            <w:pPr>
              <w:keepNext/>
              <w:widowControl/>
              <w:snapToGrid w:val="0"/>
              <w:jc w:val="center"/>
              <w:textAlignment w:val="top"/>
              <w:rPr>
                <w:rFonts w:eastAsia="宋体" w:cs="Times New Roman"/>
                <w:b/>
                <w:bCs/>
                <w:color w:val="000000"/>
                <w:kern w:val="0"/>
                <w:sz w:val="18"/>
                <w:szCs w:val="18"/>
                <w:lang w:bidi="ar"/>
              </w:rPr>
            </w:pPr>
            <w:r w:rsidRPr="00667BFE">
              <w:rPr>
                <w:rFonts w:eastAsia="宋体" w:cs="Times New Roman"/>
                <w:b/>
                <w:bCs/>
                <w:color w:val="000000"/>
                <w:kern w:val="0"/>
                <w:sz w:val="18"/>
                <w:szCs w:val="18"/>
                <w:lang w:bidi="ar"/>
              </w:rPr>
              <w:t>NPV</w:t>
            </w:r>
            <w:r w:rsidR="00667BFE" w:rsidRPr="00667BFE">
              <w:rPr>
                <w:rFonts w:eastAsia="宋体" w:cs="Times New Roman"/>
                <w:b/>
                <w:bCs/>
                <w:color w:val="000000"/>
                <w:kern w:val="0"/>
                <w:sz w:val="18"/>
                <w:szCs w:val="18"/>
                <w:lang w:bidi="ar"/>
              </w:rPr>
              <w:t xml:space="preserve"> (</w:t>
            </w:r>
            <w:r w:rsidRPr="00667BFE">
              <w:rPr>
                <w:rFonts w:eastAsia="宋体" w:cs="Times New Roman"/>
                <w:b/>
                <w:bCs/>
                <w:color w:val="000000"/>
                <w:kern w:val="0"/>
                <w:sz w:val="18"/>
                <w:szCs w:val="18"/>
                <w:lang w:bidi="ar"/>
              </w:rPr>
              <w:t>95%</w:t>
            </w:r>
            <w:r w:rsidR="00224FB9">
              <w:rPr>
                <w:rFonts w:eastAsia="宋体" w:cs="Times New Roman" w:hint="eastAsia"/>
                <w:b/>
                <w:bCs/>
                <w:color w:val="000000"/>
                <w:kern w:val="0"/>
                <w:sz w:val="18"/>
                <w:szCs w:val="18"/>
                <w:lang w:bidi="ar"/>
              </w:rPr>
              <w:t xml:space="preserve"> </w:t>
            </w:r>
            <w:r w:rsidRPr="00667BFE">
              <w:rPr>
                <w:rFonts w:eastAsia="宋体" w:cs="Times New Roman"/>
                <w:b/>
                <w:bCs/>
                <w:color w:val="000000"/>
                <w:kern w:val="0"/>
                <w:sz w:val="18"/>
                <w:szCs w:val="18"/>
                <w:lang w:bidi="ar"/>
              </w:rPr>
              <w:t>CI</w:t>
            </w:r>
            <w:r w:rsidR="00667BFE" w:rsidRPr="00667BFE">
              <w:rPr>
                <w:rFonts w:eastAsia="宋体" w:cs="Times New Roman"/>
                <w:b/>
                <w:bCs/>
                <w:color w:val="000000"/>
                <w:kern w:val="0"/>
                <w:sz w:val="18"/>
                <w:szCs w:val="18"/>
                <w:lang w:bidi="ar"/>
              </w:rPr>
              <w:t>)</w:t>
            </w:r>
          </w:p>
        </w:tc>
        <w:tc>
          <w:tcPr>
            <w:tcW w:w="1701" w:type="dxa"/>
            <w:tcBorders>
              <w:top w:val="single" w:sz="12" w:space="0" w:color="000000"/>
              <w:left w:val="nil"/>
              <w:bottom w:val="nil"/>
              <w:right w:val="nil"/>
            </w:tcBorders>
            <w:tcMar>
              <w:top w:w="-1" w:type="dxa"/>
              <w:left w:w="-1" w:type="dxa"/>
              <w:bottom w:w="-1" w:type="dxa"/>
              <w:right w:w="-1" w:type="dxa"/>
            </w:tcMar>
            <w:vAlign w:val="center"/>
          </w:tcPr>
          <w:p w14:paraId="2932CC46" w14:textId="7471514C" w:rsidR="00A456C6" w:rsidRPr="00667BFE" w:rsidRDefault="00667BFE" w:rsidP="00667BFE">
            <w:pPr>
              <w:keepNext/>
              <w:widowControl/>
              <w:snapToGrid w:val="0"/>
              <w:jc w:val="center"/>
              <w:textAlignment w:val="top"/>
              <w:rPr>
                <w:rFonts w:eastAsia="宋体" w:cs="Times New Roman"/>
                <w:b/>
                <w:bCs/>
                <w:color w:val="000000"/>
                <w:kern w:val="0"/>
                <w:sz w:val="18"/>
                <w:szCs w:val="18"/>
                <w:lang w:bidi="ar"/>
              </w:rPr>
            </w:pPr>
            <w:r w:rsidRPr="00667BFE">
              <w:rPr>
                <w:rFonts w:eastAsia="宋体" w:cs="Times New Roman"/>
                <w:b/>
                <w:bCs/>
                <w:color w:val="000000"/>
                <w:kern w:val="0"/>
                <w:sz w:val="18"/>
                <w:szCs w:val="18"/>
                <w:lang w:bidi="ar"/>
              </w:rPr>
              <w:t>Sensitivity (95%</w:t>
            </w:r>
            <w:r w:rsidR="00224FB9">
              <w:rPr>
                <w:rFonts w:eastAsia="宋体" w:cs="Times New Roman" w:hint="eastAsia"/>
                <w:b/>
                <w:bCs/>
                <w:color w:val="000000"/>
                <w:kern w:val="0"/>
                <w:sz w:val="18"/>
                <w:szCs w:val="18"/>
                <w:lang w:bidi="ar"/>
              </w:rPr>
              <w:t xml:space="preserve"> </w:t>
            </w:r>
            <w:r w:rsidRPr="00667BFE">
              <w:rPr>
                <w:rFonts w:eastAsia="宋体" w:cs="Times New Roman"/>
                <w:b/>
                <w:bCs/>
                <w:color w:val="000000"/>
                <w:kern w:val="0"/>
                <w:sz w:val="18"/>
                <w:szCs w:val="18"/>
                <w:lang w:bidi="ar"/>
              </w:rPr>
              <w:t>CI)</w:t>
            </w:r>
          </w:p>
        </w:tc>
        <w:tc>
          <w:tcPr>
            <w:tcW w:w="1701" w:type="dxa"/>
            <w:tcBorders>
              <w:top w:val="single" w:sz="12" w:space="0" w:color="000000"/>
              <w:left w:val="nil"/>
              <w:bottom w:val="nil"/>
              <w:right w:val="nil"/>
            </w:tcBorders>
            <w:tcMar>
              <w:top w:w="-1" w:type="dxa"/>
              <w:left w:w="-1" w:type="dxa"/>
              <w:bottom w:w="-1" w:type="dxa"/>
              <w:right w:w="-1" w:type="dxa"/>
            </w:tcMar>
            <w:vAlign w:val="center"/>
          </w:tcPr>
          <w:p w14:paraId="6BB21B72" w14:textId="3A48C6EC" w:rsidR="00A456C6" w:rsidRPr="00667BFE" w:rsidRDefault="00667BFE" w:rsidP="00667BFE">
            <w:pPr>
              <w:keepNext/>
              <w:widowControl/>
              <w:snapToGrid w:val="0"/>
              <w:jc w:val="center"/>
              <w:textAlignment w:val="top"/>
              <w:rPr>
                <w:rFonts w:eastAsia="宋体" w:cs="Times New Roman"/>
                <w:b/>
                <w:bCs/>
                <w:color w:val="000000"/>
                <w:kern w:val="0"/>
                <w:sz w:val="18"/>
                <w:szCs w:val="18"/>
                <w:lang w:bidi="ar"/>
              </w:rPr>
            </w:pPr>
            <w:r w:rsidRPr="00667BFE">
              <w:rPr>
                <w:rFonts w:eastAsia="宋体" w:cs="Times New Roman"/>
                <w:b/>
                <w:bCs/>
                <w:color w:val="000000"/>
                <w:kern w:val="0"/>
                <w:sz w:val="18"/>
                <w:szCs w:val="18"/>
                <w:lang w:bidi="ar"/>
              </w:rPr>
              <w:t>Specificity (95%</w:t>
            </w:r>
            <w:r w:rsidR="00224FB9">
              <w:rPr>
                <w:rFonts w:eastAsia="宋体" w:cs="Times New Roman" w:hint="eastAsia"/>
                <w:b/>
                <w:bCs/>
                <w:color w:val="000000"/>
                <w:kern w:val="0"/>
                <w:sz w:val="18"/>
                <w:szCs w:val="18"/>
                <w:lang w:bidi="ar"/>
              </w:rPr>
              <w:t xml:space="preserve"> </w:t>
            </w:r>
            <w:r w:rsidRPr="00667BFE">
              <w:rPr>
                <w:rFonts w:eastAsia="宋体" w:cs="Times New Roman"/>
                <w:b/>
                <w:bCs/>
                <w:color w:val="000000"/>
                <w:kern w:val="0"/>
                <w:sz w:val="18"/>
                <w:szCs w:val="18"/>
                <w:lang w:bidi="ar"/>
              </w:rPr>
              <w:t>CI)</w:t>
            </w:r>
          </w:p>
        </w:tc>
        <w:tc>
          <w:tcPr>
            <w:tcW w:w="1843" w:type="dxa"/>
            <w:tcBorders>
              <w:top w:val="single" w:sz="12" w:space="0" w:color="000000"/>
              <w:left w:val="nil"/>
              <w:bottom w:val="nil"/>
              <w:right w:val="nil"/>
            </w:tcBorders>
            <w:tcMar>
              <w:top w:w="-1" w:type="dxa"/>
              <w:left w:w="-1" w:type="dxa"/>
              <w:bottom w:w="-1" w:type="dxa"/>
              <w:right w:w="-1" w:type="dxa"/>
            </w:tcMar>
            <w:vAlign w:val="center"/>
          </w:tcPr>
          <w:p w14:paraId="68CE3766" w14:textId="15041E62" w:rsidR="00A456C6" w:rsidRPr="00667BFE" w:rsidRDefault="00000000" w:rsidP="00667BFE">
            <w:pPr>
              <w:keepNext/>
              <w:widowControl/>
              <w:snapToGrid w:val="0"/>
              <w:jc w:val="center"/>
              <w:textAlignment w:val="top"/>
              <w:rPr>
                <w:rFonts w:eastAsia="宋体" w:cs="Times New Roman"/>
                <w:b/>
                <w:bCs/>
                <w:color w:val="000000"/>
                <w:kern w:val="0"/>
                <w:sz w:val="18"/>
                <w:szCs w:val="18"/>
                <w:lang w:bidi="ar"/>
              </w:rPr>
            </w:pPr>
            <w:r w:rsidRPr="00667BFE">
              <w:rPr>
                <w:rFonts w:eastAsia="宋体" w:cs="Times New Roman"/>
                <w:b/>
                <w:bCs/>
                <w:color w:val="000000"/>
                <w:kern w:val="0"/>
                <w:sz w:val="18"/>
                <w:szCs w:val="18"/>
                <w:lang w:bidi="ar"/>
              </w:rPr>
              <w:t>macro-F1</w:t>
            </w:r>
            <w:r w:rsidR="00667BFE" w:rsidRPr="00667BFE">
              <w:rPr>
                <w:rFonts w:eastAsia="宋体" w:cs="Times New Roman" w:hint="eastAsia"/>
                <w:b/>
                <w:bCs/>
                <w:color w:val="000000"/>
                <w:kern w:val="0"/>
                <w:sz w:val="18"/>
                <w:szCs w:val="18"/>
                <w:lang w:bidi="ar"/>
              </w:rPr>
              <w:t xml:space="preserve"> </w:t>
            </w:r>
            <w:r w:rsidR="00667BFE" w:rsidRPr="00667BFE">
              <w:rPr>
                <w:rFonts w:eastAsia="宋体" w:cs="Times New Roman"/>
                <w:b/>
                <w:bCs/>
                <w:color w:val="000000"/>
                <w:kern w:val="0"/>
                <w:sz w:val="18"/>
                <w:szCs w:val="18"/>
                <w:lang w:bidi="ar"/>
              </w:rPr>
              <w:t>(</w:t>
            </w:r>
            <w:r w:rsidRPr="00667BFE">
              <w:rPr>
                <w:rFonts w:eastAsia="宋体" w:cs="Times New Roman"/>
                <w:b/>
                <w:bCs/>
                <w:color w:val="000000"/>
                <w:kern w:val="0"/>
                <w:sz w:val="18"/>
                <w:szCs w:val="18"/>
                <w:lang w:bidi="ar"/>
              </w:rPr>
              <w:t>95%</w:t>
            </w:r>
            <w:r w:rsidR="00224FB9">
              <w:rPr>
                <w:rFonts w:eastAsia="宋体" w:cs="Times New Roman" w:hint="eastAsia"/>
                <w:b/>
                <w:bCs/>
                <w:color w:val="000000"/>
                <w:kern w:val="0"/>
                <w:sz w:val="18"/>
                <w:szCs w:val="18"/>
                <w:lang w:bidi="ar"/>
              </w:rPr>
              <w:t xml:space="preserve"> </w:t>
            </w:r>
            <w:r w:rsidRPr="00667BFE">
              <w:rPr>
                <w:rFonts w:eastAsia="宋体" w:cs="Times New Roman"/>
                <w:b/>
                <w:bCs/>
                <w:color w:val="000000"/>
                <w:kern w:val="0"/>
                <w:sz w:val="18"/>
                <w:szCs w:val="18"/>
                <w:lang w:bidi="ar"/>
              </w:rPr>
              <w:t>CI</w:t>
            </w:r>
            <w:r w:rsidR="00667BFE" w:rsidRPr="00667BFE">
              <w:rPr>
                <w:rFonts w:eastAsia="宋体" w:cs="Times New Roman"/>
                <w:b/>
                <w:bCs/>
                <w:color w:val="000000"/>
                <w:kern w:val="0"/>
                <w:sz w:val="18"/>
                <w:szCs w:val="18"/>
                <w:lang w:bidi="ar"/>
              </w:rPr>
              <w:t>)</w:t>
            </w:r>
          </w:p>
        </w:tc>
      </w:tr>
      <w:tr w:rsidR="00A456C6" w:rsidRPr="00667BFE" w14:paraId="092A02E6" w14:textId="77777777" w:rsidTr="00667BFE">
        <w:trPr>
          <w:jc w:val="center"/>
        </w:trPr>
        <w:tc>
          <w:tcPr>
            <w:tcW w:w="1701" w:type="dxa"/>
            <w:tcBorders>
              <w:top w:val="single" w:sz="4" w:space="0" w:color="auto"/>
              <w:left w:val="nil"/>
              <w:bottom w:val="nil"/>
              <w:right w:val="nil"/>
            </w:tcBorders>
            <w:tcMar>
              <w:top w:w="-1" w:type="dxa"/>
              <w:left w:w="-1" w:type="dxa"/>
              <w:bottom w:w="-1" w:type="dxa"/>
              <w:right w:w="-1" w:type="dxa"/>
            </w:tcMar>
            <w:vAlign w:val="center"/>
          </w:tcPr>
          <w:p w14:paraId="438B97F6" w14:textId="77777777"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Qwen3-32B</w:t>
            </w:r>
          </w:p>
        </w:tc>
        <w:tc>
          <w:tcPr>
            <w:tcW w:w="1701" w:type="dxa"/>
            <w:tcBorders>
              <w:top w:val="single" w:sz="4" w:space="0" w:color="auto"/>
              <w:left w:val="nil"/>
              <w:bottom w:val="nil"/>
              <w:right w:val="nil"/>
            </w:tcBorders>
            <w:tcMar>
              <w:top w:w="-1" w:type="dxa"/>
              <w:left w:w="-1" w:type="dxa"/>
              <w:bottom w:w="-1" w:type="dxa"/>
              <w:right w:w="-1" w:type="dxa"/>
            </w:tcMar>
            <w:vAlign w:val="center"/>
          </w:tcPr>
          <w:p w14:paraId="430BBF05" w14:textId="4628CE25"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51.00% (41.35%</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60.58%)</w:t>
            </w:r>
          </w:p>
        </w:tc>
        <w:tc>
          <w:tcPr>
            <w:tcW w:w="1701" w:type="dxa"/>
            <w:tcBorders>
              <w:top w:val="single" w:sz="4" w:space="0" w:color="auto"/>
              <w:left w:val="nil"/>
              <w:bottom w:val="nil"/>
              <w:right w:val="nil"/>
            </w:tcBorders>
            <w:tcMar>
              <w:top w:w="-1" w:type="dxa"/>
              <w:left w:w="-1" w:type="dxa"/>
              <w:bottom w:w="-1" w:type="dxa"/>
              <w:right w:w="-1" w:type="dxa"/>
            </w:tcMar>
            <w:vAlign w:val="center"/>
          </w:tcPr>
          <w:p w14:paraId="7894CB9D" w14:textId="28BFAA98"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80.31%</w:t>
            </w:r>
            <w:r w:rsidR="00224FB9">
              <w:rPr>
                <w:rFonts w:eastAsia="宋体" w:cs="Times New Roman" w:hint="eastAsia"/>
                <w:color w:val="000000"/>
                <w:kern w:val="0"/>
                <w:sz w:val="18"/>
                <w:szCs w:val="18"/>
                <w:lang w:bidi="ar"/>
              </w:rPr>
              <w:t xml:space="preserve"> </w:t>
            </w:r>
            <w:r w:rsidRPr="00667BFE">
              <w:rPr>
                <w:rFonts w:eastAsia="宋体" w:cs="Times New Roman"/>
                <w:color w:val="000000"/>
                <w:kern w:val="0"/>
                <w:sz w:val="18"/>
                <w:szCs w:val="18"/>
                <w:lang w:bidi="ar"/>
              </w:rPr>
              <w:t>(75.04%</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84.69%)</w:t>
            </w:r>
          </w:p>
        </w:tc>
        <w:tc>
          <w:tcPr>
            <w:tcW w:w="1701" w:type="dxa"/>
            <w:tcBorders>
              <w:top w:val="single" w:sz="4" w:space="0" w:color="auto"/>
              <w:left w:val="nil"/>
              <w:bottom w:val="nil"/>
              <w:right w:val="nil"/>
            </w:tcBorders>
            <w:tcMar>
              <w:top w:w="-1" w:type="dxa"/>
              <w:left w:w="-1" w:type="dxa"/>
              <w:bottom w:w="-1" w:type="dxa"/>
              <w:right w:w="-1" w:type="dxa"/>
            </w:tcMar>
            <w:vAlign w:val="center"/>
          </w:tcPr>
          <w:p w14:paraId="508ED718" w14:textId="455115D0"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49.00% (39.42%</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58.65%)</w:t>
            </w:r>
          </w:p>
        </w:tc>
        <w:tc>
          <w:tcPr>
            <w:tcW w:w="1701" w:type="dxa"/>
            <w:tcBorders>
              <w:top w:val="single" w:sz="4" w:space="0" w:color="auto"/>
              <w:left w:val="nil"/>
              <w:bottom w:val="nil"/>
              <w:right w:val="nil"/>
            </w:tcBorders>
            <w:tcMar>
              <w:top w:w="-1" w:type="dxa"/>
              <w:left w:w="-1" w:type="dxa"/>
              <w:bottom w:w="-1" w:type="dxa"/>
              <w:right w:w="-1" w:type="dxa"/>
            </w:tcMar>
            <w:vAlign w:val="center"/>
          </w:tcPr>
          <w:p w14:paraId="0B29A791" w14:textId="2A69768B"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55.61% (50.55%</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60.57%)</w:t>
            </w:r>
          </w:p>
        </w:tc>
        <w:tc>
          <w:tcPr>
            <w:tcW w:w="1843" w:type="dxa"/>
            <w:tcBorders>
              <w:top w:val="single" w:sz="4" w:space="0" w:color="auto"/>
              <w:left w:val="nil"/>
              <w:bottom w:val="nil"/>
              <w:right w:val="nil"/>
            </w:tcBorders>
            <w:tcMar>
              <w:top w:w="-1" w:type="dxa"/>
              <w:left w:w="-1" w:type="dxa"/>
              <w:bottom w:w="-1" w:type="dxa"/>
              <w:right w:w="-1" w:type="dxa"/>
            </w:tcMar>
            <w:vAlign w:val="center"/>
          </w:tcPr>
          <w:p w14:paraId="2E493E0C" w14:textId="014B1548"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48.41% (44.05%</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52.81%)</w:t>
            </w:r>
          </w:p>
        </w:tc>
      </w:tr>
      <w:tr w:rsidR="00A456C6" w:rsidRPr="00667BFE" w14:paraId="0E5B2E1A" w14:textId="77777777" w:rsidTr="00667BFE">
        <w:trPr>
          <w:jc w:val="center"/>
        </w:trPr>
        <w:tc>
          <w:tcPr>
            <w:tcW w:w="1701" w:type="dxa"/>
            <w:tcBorders>
              <w:top w:val="nil"/>
              <w:left w:val="nil"/>
              <w:bottom w:val="nil"/>
              <w:right w:val="nil"/>
            </w:tcBorders>
            <w:tcMar>
              <w:top w:w="-1" w:type="dxa"/>
              <w:left w:w="-1" w:type="dxa"/>
              <w:bottom w:w="-1" w:type="dxa"/>
              <w:right w:w="-1" w:type="dxa"/>
            </w:tcMar>
            <w:vAlign w:val="center"/>
          </w:tcPr>
          <w:p w14:paraId="572D6D17" w14:textId="77777777" w:rsidR="00A456C6" w:rsidRPr="00667BFE" w:rsidRDefault="00000000" w:rsidP="00667BFE">
            <w:pPr>
              <w:keepNext/>
              <w:widowControl/>
              <w:snapToGrid w:val="0"/>
              <w:jc w:val="center"/>
              <w:textAlignment w:val="top"/>
              <w:rPr>
                <w:rFonts w:eastAsia="宋体" w:cs="Times New Roman"/>
                <w:color w:val="000000" w:themeColor="text1"/>
                <w:sz w:val="18"/>
                <w:szCs w:val="18"/>
              </w:rPr>
            </w:pPr>
            <w:r w:rsidRPr="00667BFE">
              <w:rPr>
                <w:rFonts w:eastAsia="宋体" w:cs="Times New Roman"/>
                <w:color w:val="000000" w:themeColor="text1"/>
                <w:kern w:val="0"/>
                <w:sz w:val="18"/>
                <w:szCs w:val="18"/>
                <w:lang w:bidi="ar"/>
              </w:rPr>
              <w:t>Baichuan-M2-32B</w:t>
            </w:r>
          </w:p>
        </w:tc>
        <w:tc>
          <w:tcPr>
            <w:tcW w:w="1701" w:type="dxa"/>
            <w:tcBorders>
              <w:top w:val="nil"/>
              <w:left w:val="nil"/>
              <w:bottom w:val="nil"/>
              <w:right w:val="nil"/>
            </w:tcBorders>
            <w:tcMar>
              <w:top w:w="-1" w:type="dxa"/>
              <w:left w:w="-1" w:type="dxa"/>
              <w:bottom w:w="-1" w:type="dxa"/>
              <w:right w:w="-1" w:type="dxa"/>
            </w:tcMar>
            <w:vAlign w:val="center"/>
          </w:tcPr>
          <w:p w14:paraId="4C78DFB5" w14:textId="2782ADBE" w:rsidR="00A456C6" w:rsidRPr="00667BFE" w:rsidRDefault="00000000" w:rsidP="00667BFE">
            <w:pPr>
              <w:keepNext/>
              <w:widowControl/>
              <w:snapToGrid w:val="0"/>
              <w:jc w:val="center"/>
              <w:textAlignment w:val="top"/>
              <w:rPr>
                <w:rFonts w:eastAsia="宋体" w:cs="Times New Roman"/>
                <w:color w:val="000000" w:themeColor="text1"/>
                <w:sz w:val="18"/>
                <w:szCs w:val="18"/>
              </w:rPr>
            </w:pPr>
            <w:r w:rsidRPr="00667BFE">
              <w:rPr>
                <w:rFonts w:eastAsia="宋体" w:cs="Times New Roman"/>
                <w:color w:val="000000" w:themeColor="text1"/>
                <w:kern w:val="0"/>
                <w:sz w:val="18"/>
                <w:szCs w:val="18"/>
                <w:lang w:bidi="ar"/>
              </w:rPr>
              <w:t>39.00% (30.02%</w:t>
            </w:r>
            <w:r w:rsidR="00224FB9" w:rsidRPr="00224FB9">
              <w:rPr>
                <w:rFonts w:eastAsia="宋体" w:cs="Times New Roman"/>
                <w:color w:val="000000"/>
                <w:kern w:val="0"/>
                <w:sz w:val="18"/>
                <w:szCs w:val="18"/>
                <w:lang w:bidi="ar"/>
              </w:rPr>
              <w:t>–</w:t>
            </w:r>
            <w:r w:rsidRPr="00667BFE">
              <w:rPr>
                <w:rFonts w:eastAsia="宋体" w:cs="Times New Roman"/>
                <w:color w:val="000000" w:themeColor="text1"/>
                <w:kern w:val="0"/>
                <w:sz w:val="18"/>
                <w:szCs w:val="18"/>
                <w:lang w:bidi="ar"/>
              </w:rPr>
              <w:t>48.80%)</w:t>
            </w:r>
          </w:p>
        </w:tc>
        <w:tc>
          <w:tcPr>
            <w:tcW w:w="1701" w:type="dxa"/>
            <w:tcBorders>
              <w:top w:val="nil"/>
              <w:left w:val="nil"/>
              <w:bottom w:val="nil"/>
              <w:right w:val="nil"/>
            </w:tcBorders>
            <w:tcMar>
              <w:top w:w="-1" w:type="dxa"/>
              <w:left w:w="-1" w:type="dxa"/>
              <w:bottom w:w="-1" w:type="dxa"/>
              <w:right w:w="-1" w:type="dxa"/>
            </w:tcMar>
            <w:vAlign w:val="center"/>
          </w:tcPr>
          <w:p w14:paraId="6519734F" w14:textId="4C570007" w:rsidR="00A456C6" w:rsidRPr="00667BFE" w:rsidRDefault="00000000" w:rsidP="00667BFE">
            <w:pPr>
              <w:keepNext/>
              <w:widowControl/>
              <w:snapToGrid w:val="0"/>
              <w:jc w:val="center"/>
              <w:textAlignment w:val="top"/>
              <w:rPr>
                <w:rFonts w:eastAsia="宋体" w:cs="Times New Roman"/>
                <w:color w:val="000000" w:themeColor="text1"/>
                <w:sz w:val="18"/>
                <w:szCs w:val="18"/>
              </w:rPr>
            </w:pPr>
            <w:r w:rsidRPr="00667BFE">
              <w:rPr>
                <w:rFonts w:eastAsia="宋体" w:cs="Times New Roman"/>
                <w:color w:val="000000" w:themeColor="text1"/>
                <w:kern w:val="0"/>
                <w:sz w:val="18"/>
                <w:szCs w:val="18"/>
                <w:lang w:bidi="ar"/>
              </w:rPr>
              <w:t>86.07% (81.53%</w:t>
            </w:r>
            <w:r w:rsidR="00224FB9" w:rsidRPr="00224FB9">
              <w:rPr>
                <w:rFonts w:eastAsia="宋体" w:cs="Times New Roman"/>
                <w:color w:val="000000"/>
                <w:kern w:val="0"/>
                <w:sz w:val="18"/>
                <w:szCs w:val="18"/>
                <w:lang w:bidi="ar"/>
              </w:rPr>
              <w:t>–</w:t>
            </w:r>
            <w:r w:rsidRPr="00667BFE">
              <w:rPr>
                <w:rFonts w:eastAsia="宋体" w:cs="Times New Roman"/>
                <w:color w:val="000000" w:themeColor="text1"/>
                <w:kern w:val="0"/>
                <w:sz w:val="18"/>
                <w:szCs w:val="18"/>
                <w:lang w:bidi="ar"/>
              </w:rPr>
              <w:t>89.64%)</w:t>
            </w:r>
          </w:p>
        </w:tc>
        <w:tc>
          <w:tcPr>
            <w:tcW w:w="1701" w:type="dxa"/>
            <w:tcBorders>
              <w:top w:val="nil"/>
              <w:left w:val="nil"/>
              <w:bottom w:val="nil"/>
              <w:right w:val="nil"/>
            </w:tcBorders>
            <w:tcMar>
              <w:top w:w="-1" w:type="dxa"/>
              <w:left w:w="-1" w:type="dxa"/>
              <w:bottom w:w="-1" w:type="dxa"/>
              <w:right w:w="-1" w:type="dxa"/>
            </w:tcMar>
            <w:vAlign w:val="center"/>
          </w:tcPr>
          <w:p w14:paraId="4C19EF78" w14:textId="2E7424EC" w:rsidR="00A456C6" w:rsidRPr="00667BFE" w:rsidRDefault="00000000" w:rsidP="00667BFE">
            <w:pPr>
              <w:keepNext/>
              <w:widowControl/>
              <w:snapToGrid w:val="0"/>
              <w:jc w:val="center"/>
              <w:textAlignment w:val="top"/>
              <w:rPr>
                <w:rFonts w:eastAsia="宋体" w:cs="Times New Roman"/>
                <w:color w:val="000000" w:themeColor="text1"/>
                <w:sz w:val="18"/>
                <w:szCs w:val="18"/>
              </w:rPr>
            </w:pPr>
            <w:r w:rsidRPr="00667BFE">
              <w:rPr>
                <w:rFonts w:eastAsia="宋体" w:cs="Times New Roman"/>
                <w:color w:val="000000" w:themeColor="text1"/>
                <w:kern w:val="0"/>
                <w:sz w:val="18"/>
                <w:szCs w:val="18"/>
                <w:lang w:bidi="ar"/>
              </w:rPr>
              <w:t>61.00% (51.20%</w:t>
            </w:r>
            <w:r w:rsidR="00224FB9" w:rsidRPr="00224FB9">
              <w:rPr>
                <w:rFonts w:eastAsia="宋体" w:cs="Times New Roman"/>
                <w:color w:val="000000"/>
                <w:kern w:val="0"/>
                <w:sz w:val="18"/>
                <w:szCs w:val="18"/>
                <w:lang w:bidi="ar"/>
              </w:rPr>
              <w:t>–</w:t>
            </w:r>
            <w:r w:rsidRPr="00667BFE">
              <w:rPr>
                <w:rFonts w:eastAsia="宋体" w:cs="Times New Roman"/>
                <w:color w:val="000000" w:themeColor="text1"/>
                <w:kern w:val="0"/>
                <w:sz w:val="18"/>
                <w:szCs w:val="18"/>
                <w:lang w:bidi="ar"/>
              </w:rPr>
              <w:t>69.98%)</w:t>
            </w:r>
          </w:p>
        </w:tc>
        <w:tc>
          <w:tcPr>
            <w:tcW w:w="1701" w:type="dxa"/>
            <w:tcBorders>
              <w:top w:val="nil"/>
              <w:left w:val="nil"/>
              <w:bottom w:val="nil"/>
              <w:right w:val="nil"/>
            </w:tcBorders>
            <w:tcMar>
              <w:top w:w="-1" w:type="dxa"/>
              <w:left w:w="-1" w:type="dxa"/>
              <w:bottom w:w="-1" w:type="dxa"/>
              <w:right w:w="-1" w:type="dxa"/>
            </w:tcMar>
            <w:vAlign w:val="center"/>
          </w:tcPr>
          <w:p w14:paraId="375BD177" w14:textId="35822F61" w:rsidR="00A456C6" w:rsidRPr="00667BFE" w:rsidRDefault="00000000" w:rsidP="00667BFE">
            <w:pPr>
              <w:keepNext/>
              <w:widowControl/>
              <w:snapToGrid w:val="0"/>
              <w:jc w:val="center"/>
              <w:textAlignment w:val="top"/>
              <w:rPr>
                <w:rFonts w:eastAsia="宋体" w:cs="Times New Roman"/>
                <w:color w:val="000000" w:themeColor="text1"/>
                <w:sz w:val="18"/>
                <w:szCs w:val="18"/>
              </w:rPr>
            </w:pPr>
            <w:r w:rsidRPr="00667BFE">
              <w:rPr>
                <w:rFonts w:eastAsia="宋体" w:cs="Times New Roman"/>
                <w:color w:val="000000" w:themeColor="text1"/>
                <w:kern w:val="0"/>
                <w:sz w:val="18"/>
                <w:szCs w:val="18"/>
                <w:lang w:bidi="ar"/>
              </w:rPr>
              <w:t>64.44% (59.46%</w:t>
            </w:r>
            <w:r w:rsidR="00224FB9" w:rsidRPr="00224FB9">
              <w:rPr>
                <w:rFonts w:eastAsia="宋体" w:cs="Times New Roman"/>
                <w:color w:val="000000"/>
                <w:kern w:val="0"/>
                <w:sz w:val="18"/>
                <w:szCs w:val="18"/>
                <w:lang w:bidi="ar"/>
              </w:rPr>
              <w:t>–</w:t>
            </w:r>
            <w:r w:rsidRPr="00667BFE">
              <w:rPr>
                <w:rFonts w:eastAsia="宋体" w:cs="Times New Roman"/>
                <w:color w:val="000000" w:themeColor="text1"/>
                <w:kern w:val="0"/>
                <w:sz w:val="18"/>
                <w:szCs w:val="18"/>
                <w:lang w:bidi="ar"/>
              </w:rPr>
              <w:t>69.12%)</w:t>
            </w:r>
          </w:p>
        </w:tc>
        <w:tc>
          <w:tcPr>
            <w:tcW w:w="1843" w:type="dxa"/>
            <w:tcBorders>
              <w:top w:val="nil"/>
              <w:left w:val="nil"/>
              <w:bottom w:val="nil"/>
              <w:right w:val="nil"/>
            </w:tcBorders>
            <w:tcMar>
              <w:top w:w="-1" w:type="dxa"/>
              <w:left w:w="-1" w:type="dxa"/>
              <w:bottom w:w="-1" w:type="dxa"/>
              <w:right w:w="-1" w:type="dxa"/>
            </w:tcMar>
            <w:vAlign w:val="center"/>
          </w:tcPr>
          <w:p w14:paraId="197C4164" w14:textId="32D392E5" w:rsidR="00A456C6" w:rsidRPr="00667BFE" w:rsidRDefault="00000000" w:rsidP="00667BFE">
            <w:pPr>
              <w:keepNext/>
              <w:widowControl/>
              <w:snapToGrid w:val="0"/>
              <w:jc w:val="center"/>
              <w:textAlignment w:val="top"/>
              <w:rPr>
                <w:rFonts w:eastAsia="宋体" w:cs="Times New Roman"/>
                <w:color w:val="000000" w:themeColor="text1"/>
                <w:sz w:val="18"/>
                <w:szCs w:val="18"/>
              </w:rPr>
            </w:pPr>
            <w:r w:rsidRPr="00667BFE">
              <w:rPr>
                <w:rFonts w:eastAsia="宋体" w:cs="Times New Roman"/>
                <w:color w:val="000000" w:themeColor="text1"/>
                <w:kern w:val="0"/>
                <w:sz w:val="18"/>
                <w:szCs w:val="18"/>
                <w:lang w:bidi="ar"/>
              </w:rPr>
              <w:t>57.60% (52.87%</w:t>
            </w:r>
            <w:r w:rsidR="00224FB9" w:rsidRPr="00224FB9">
              <w:rPr>
                <w:rFonts w:eastAsia="宋体" w:cs="Times New Roman"/>
                <w:color w:val="000000"/>
                <w:kern w:val="0"/>
                <w:sz w:val="18"/>
                <w:szCs w:val="18"/>
                <w:lang w:bidi="ar"/>
              </w:rPr>
              <w:t>–</w:t>
            </w:r>
            <w:r w:rsidRPr="00667BFE">
              <w:rPr>
                <w:rFonts w:eastAsia="宋体" w:cs="Times New Roman"/>
                <w:color w:val="000000" w:themeColor="text1"/>
                <w:kern w:val="0"/>
                <w:sz w:val="18"/>
                <w:szCs w:val="18"/>
                <w:lang w:bidi="ar"/>
              </w:rPr>
              <w:t>62.16%)</w:t>
            </w:r>
          </w:p>
        </w:tc>
      </w:tr>
      <w:tr w:rsidR="00A456C6" w:rsidRPr="00667BFE" w14:paraId="562D5632" w14:textId="77777777" w:rsidTr="00667BFE">
        <w:trPr>
          <w:jc w:val="center"/>
        </w:trPr>
        <w:tc>
          <w:tcPr>
            <w:tcW w:w="1701" w:type="dxa"/>
            <w:tcBorders>
              <w:top w:val="nil"/>
              <w:left w:val="nil"/>
              <w:bottom w:val="nil"/>
              <w:right w:val="nil"/>
            </w:tcBorders>
            <w:tcMar>
              <w:top w:w="-1" w:type="dxa"/>
              <w:left w:w="-1" w:type="dxa"/>
              <w:bottom w:w="-1" w:type="dxa"/>
              <w:right w:w="-1" w:type="dxa"/>
            </w:tcMar>
            <w:vAlign w:val="center"/>
          </w:tcPr>
          <w:p w14:paraId="6F2DE884" w14:textId="77777777"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HuatuoGPT2-34B</w:t>
            </w:r>
          </w:p>
        </w:tc>
        <w:tc>
          <w:tcPr>
            <w:tcW w:w="1701" w:type="dxa"/>
            <w:tcBorders>
              <w:top w:val="nil"/>
              <w:left w:val="nil"/>
              <w:bottom w:val="nil"/>
              <w:right w:val="nil"/>
            </w:tcBorders>
            <w:tcMar>
              <w:top w:w="-1" w:type="dxa"/>
              <w:left w:w="-1" w:type="dxa"/>
              <w:bottom w:w="-1" w:type="dxa"/>
              <w:right w:w="-1" w:type="dxa"/>
            </w:tcMar>
            <w:vAlign w:val="center"/>
          </w:tcPr>
          <w:p w14:paraId="2FFCB1BE" w14:textId="293D422C"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52.00% (42.32%</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61.54%)</w:t>
            </w:r>
          </w:p>
        </w:tc>
        <w:tc>
          <w:tcPr>
            <w:tcW w:w="1701" w:type="dxa"/>
            <w:tcBorders>
              <w:top w:val="nil"/>
              <w:left w:val="nil"/>
              <w:bottom w:val="nil"/>
              <w:right w:val="nil"/>
            </w:tcBorders>
            <w:tcMar>
              <w:top w:w="-1" w:type="dxa"/>
              <w:left w:w="-1" w:type="dxa"/>
              <w:bottom w:w="-1" w:type="dxa"/>
              <w:right w:w="-1" w:type="dxa"/>
            </w:tcMar>
            <w:vAlign w:val="center"/>
          </w:tcPr>
          <w:p w14:paraId="567A9B30" w14:textId="16078692"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79.84% (74.53%</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84.29%)</w:t>
            </w:r>
          </w:p>
        </w:tc>
        <w:tc>
          <w:tcPr>
            <w:tcW w:w="1701" w:type="dxa"/>
            <w:tcBorders>
              <w:top w:val="nil"/>
              <w:left w:val="nil"/>
              <w:bottom w:val="nil"/>
              <w:right w:val="nil"/>
            </w:tcBorders>
            <w:tcMar>
              <w:top w:w="-1" w:type="dxa"/>
              <w:left w:w="-1" w:type="dxa"/>
              <w:bottom w:w="-1" w:type="dxa"/>
              <w:right w:w="-1" w:type="dxa"/>
            </w:tcMar>
            <w:vAlign w:val="center"/>
          </w:tcPr>
          <w:p w14:paraId="104D6503" w14:textId="3AB0F574"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48.00% (38.46%</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57.68%)</w:t>
            </w:r>
          </w:p>
        </w:tc>
        <w:tc>
          <w:tcPr>
            <w:tcW w:w="1701" w:type="dxa"/>
            <w:tcBorders>
              <w:top w:val="nil"/>
              <w:left w:val="nil"/>
              <w:bottom w:val="nil"/>
              <w:right w:val="nil"/>
            </w:tcBorders>
            <w:tcMar>
              <w:top w:w="-1" w:type="dxa"/>
              <w:left w:w="-1" w:type="dxa"/>
              <w:bottom w:w="-1" w:type="dxa"/>
              <w:right w:w="-1" w:type="dxa"/>
            </w:tcMar>
            <w:vAlign w:val="center"/>
          </w:tcPr>
          <w:p w14:paraId="73CE6E43" w14:textId="18BCDB83"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55.08% (50.01%</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60.04%)</w:t>
            </w:r>
          </w:p>
        </w:tc>
        <w:tc>
          <w:tcPr>
            <w:tcW w:w="1843" w:type="dxa"/>
            <w:tcBorders>
              <w:top w:val="nil"/>
              <w:left w:val="nil"/>
              <w:bottom w:val="nil"/>
              <w:right w:val="nil"/>
            </w:tcBorders>
            <w:tcMar>
              <w:top w:w="-1" w:type="dxa"/>
              <w:left w:w="-1" w:type="dxa"/>
              <w:bottom w:w="-1" w:type="dxa"/>
              <w:right w:w="-1" w:type="dxa"/>
            </w:tcMar>
            <w:vAlign w:val="center"/>
          </w:tcPr>
          <w:p w14:paraId="7A3B7B63" w14:textId="6F6AD8D0"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47.78% (43.22%</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52.19%)</w:t>
            </w:r>
          </w:p>
        </w:tc>
      </w:tr>
      <w:tr w:rsidR="00A456C6" w:rsidRPr="00667BFE" w14:paraId="487AF187" w14:textId="77777777" w:rsidTr="00667BFE">
        <w:trPr>
          <w:jc w:val="center"/>
        </w:trPr>
        <w:tc>
          <w:tcPr>
            <w:tcW w:w="1701" w:type="dxa"/>
            <w:tcBorders>
              <w:top w:val="nil"/>
              <w:left w:val="nil"/>
              <w:bottom w:val="nil"/>
              <w:right w:val="nil"/>
            </w:tcBorders>
            <w:tcMar>
              <w:top w:w="-1" w:type="dxa"/>
              <w:left w:w="-1" w:type="dxa"/>
              <w:bottom w:w="-1" w:type="dxa"/>
              <w:right w:w="-1" w:type="dxa"/>
            </w:tcMar>
            <w:vAlign w:val="center"/>
          </w:tcPr>
          <w:p w14:paraId="6877780F" w14:textId="77777777"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Llama-3.3-70B-Instruct</w:t>
            </w:r>
          </w:p>
        </w:tc>
        <w:tc>
          <w:tcPr>
            <w:tcW w:w="1701" w:type="dxa"/>
            <w:tcBorders>
              <w:top w:val="nil"/>
              <w:left w:val="nil"/>
              <w:bottom w:val="nil"/>
              <w:right w:val="nil"/>
            </w:tcBorders>
            <w:tcMar>
              <w:top w:w="-1" w:type="dxa"/>
              <w:left w:w="-1" w:type="dxa"/>
              <w:bottom w:w="-1" w:type="dxa"/>
              <w:right w:w="-1" w:type="dxa"/>
            </w:tcMar>
            <w:vAlign w:val="center"/>
          </w:tcPr>
          <w:p w14:paraId="456ABFDB" w14:textId="2A1DAE9F"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53.00% (43.29%</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62.49%)</w:t>
            </w:r>
          </w:p>
        </w:tc>
        <w:tc>
          <w:tcPr>
            <w:tcW w:w="1701" w:type="dxa"/>
            <w:tcBorders>
              <w:top w:val="nil"/>
              <w:left w:val="nil"/>
              <w:bottom w:val="nil"/>
              <w:right w:val="nil"/>
            </w:tcBorders>
            <w:tcMar>
              <w:top w:w="-1" w:type="dxa"/>
              <w:left w:w="-1" w:type="dxa"/>
              <w:bottom w:w="-1" w:type="dxa"/>
              <w:right w:w="-1" w:type="dxa"/>
            </w:tcMar>
            <w:vAlign w:val="center"/>
          </w:tcPr>
          <w:p w14:paraId="470A81E9" w14:textId="6DF30812"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79.38% (74.02%</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83.87%)</w:t>
            </w:r>
          </w:p>
        </w:tc>
        <w:tc>
          <w:tcPr>
            <w:tcW w:w="1701" w:type="dxa"/>
            <w:tcBorders>
              <w:top w:val="nil"/>
              <w:left w:val="nil"/>
              <w:bottom w:val="nil"/>
              <w:right w:val="nil"/>
            </w:tcBorders>
            <w:tcMar>
              <w:top w:w="-1" w:type="dxa"/>
              <w:left w:w="-1" w:type="dxa"/>
              <w:bottom w:w="-1" w:type="dxa"/>
              <w:right w:w="-1" w:type="dxa"/>
            </w:tcMar>
            <w:vAlign w:val="center"/>
          </w:tcPr>
          <w:p w14:paraId="2B0D9588" w14:textId="06214262"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47.00% (37.51%</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56.71%)</w:t>
            </w:r>
          </w:p>
        </w:tc>
        <w:tc>
          <w:tcPr>
            <w:tcW w:w="1701" w:type="dxa"/>
            <w:tcBorders>
              <w:top w:val="nil"/>
              <w:left w:val="nil"/>
              <w:bottom w:val="nil"/>
              <w:right w:val="nil"/>
            </w:tcBorders>
            <w:tcMar>
              <w:top w:w="-1" w:type="dxa"/>
              <w:left w:w="-1" w:type="dxa"/>
              <w:bottom w:w="-1" w:type="dxa"/>
              <w:right w:w="-1" w:type="dxa"/>
            </w:tcMar>
            <w:vAlign w:val="center"/>
          </w:tcPr>
          <w:p w14:paraId="42B6E24A" w14:textId="214F7335"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54.55% (49.48%</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59.52%)</w:t>
            </w:r>
          </w:p>
        </w:tc>
        <w:tc>
          <w:tcPr>
            <w:tcW w:w="1843" w:type="dxa"/>
            <w:tcBorders>
              <w:top w:val="nil"/>
              <w:left w:val="nil"/>
              <w:bottom w:val="nil"/>
              <w:right w:val="nil"/>
            </w:tcBorders>
            <w:tcMar>
              <w:top w:w="-1" w:type="dxa"/>
              <w:left w:w="-1" w:type="dxa"/>
              <w:bottom w:w="-1" w:type="dxa"/>
              <w:right w:w="-1" w:type="dxa"/>
            </w:tcMar>
            <w:vAlign w:val="center"/>
          </w:tcPr>
          <w:p w14:paraId="4CDF8E5B" w14:textId="4546B84E"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47.16% (42.67%</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51.31%)</w:t>
            </w:r>
          </w:p>
        </w:tc>
      </w:tr>
      <w:tr w:rsidR="00A456C6" w:rsidRPr="00667BFE" w14:paraId="03D6BEB8" w14:textId="77777777" w:rsidTr="00667BFE">
        <w:trPr>
          <w:jc w:val="center"/>
        </w:trPr>
        <w:tc>
          <w:tcPr>
            <w:tcW w:w="1701" w:type="dxa"/>
            <w:tcBorders>
              <w:top w:val="nil"/>
              <w:left w:val="nil"/>
              <w:bottom w:val="nil"/>
              <w:right w:val="nil"/>
            </w:tcBorders>
            <w:tcMar>
              <w:top w:w="-1" w:type="dxa"/>
              <w:left w:w="-1" w:type="dxa"/>
              <w:bottom w:w="-1" w:type="dxa"/>
              <w:right w:w="-1" w:type="dxa"/>
            </w:tcMar>
            <w:vAlign w:val="center"/>
          </w:tcPr>
          <w:p w14:paraId="39FABA87" w14:textId="77777777"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Gemma-3-27B-IT</w:t>
            </w:r>
          </w:p>
        </w:tc>
        <w:tc>
          <w:tcPr>
            <w:tcW w:w="1701" w:type="dxa"/>
            <w:tcBorders>
              <w:top w:val="nil"/>
              <w:left w:val="nil"/>
              <w:bottom w:val="nil"/>
              <w:right w:val="nil"/>
            </w:tcBorders>
            <w:tcMar>
              <w:top w:w="-1" w:type="dxa"/>
              <w:left w:w="-1" w:type="dxa"/>
              <w:bottom w:w="-1" w:type="dxa"/>
              <w:right w:w="-1" w:type="dxa"/>
            </w:tcMar>
            <w:vAlign w:val="center"/>
          </w:tcPr>
          <w:p w14:paraId="52420065" w14:textId="35D15DA7"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54.00% (44.26%</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63.44%)</w:t>
            </w:r>
          </w:p>
        </w:tc>
        <w:tc>
          <w:tcPr>
            <w:tcW w:w="1701" w:type="dxa"/>
            <w:tcBorders>
              <w:top w:val="nil"/>
              <w:left w:val="nil"/>
              <w:bottom w:val="nil"/>
              <w:right w:val="nil"/>
            </w:tcBorders>
            <w:tcMar>
              <w:top w:w="-1" w:type="dxa"/>
              <w:left w:w="-1" w:type="dxa"/>
              <w:bottom w:w="-1" w:type="dxa"/>
              <w:right w:w="-1" w:type="dxa"/>
            </w:tcMar>
            <w:vAlign w:val="center"/>
          </w:tcPr>
          <w:p w14:paraId="03F9C714" w14:textId="5AB682D6"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78.91% (73.50%</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83.46%)</w:t>
            </w:r>
          </w:p>
        </w:tc>
        <w:tc>
          <w:tcPr>
            <w:tcW w:w="1701" w:type="dxa"/>
            <w:tcBorders>
              <w:top w:val="nil"/>
              <w:left w:val="nil"/>
              <w:bottom w:val="nil"/>
              <w:right w:val="nil"/>
            </w:tcBorders>
            <w:tcMar>
              <w:top w:w="-1" w:type="dxa"/>
              <w:left w:w="-1" w:type="dxa"/>
              <w:bottom w:w="-1" w:type="dxa"/>
              <w:right w:w="-1" w:type="dxa"/>
            </w:tcMar>
            <w:vAlign w:val="center"/>
          </w:tcPr>
          <w:p w14:paraId="6CF01B1F" w14:textId="6C581683"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46.00% (36.56%</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55.74%)</w:t>
            </w:r>
          </w:p>
        </w:tc>
        <w:tc>
          <w:tcPr>
            <w:tcW w:w="1701" w:type="dxa"/>
            <w:tcBorders>
              <w:top w:val="nil"/>
              <w:left w:val="nil"/>
              <w:bottom w:val="nil"/>
              <w:right w:val="nil"/>
            </w:tcBorders>
            <w:tcMar>
              <w:top w:w="-1" w:type="dxa"/>
              <w:left w:w="-1" w:type="dxa"/>
              <w:bottom w:w="-1" w:type="dxa"/>
              <w:right w:w="-1" w:type="dxa"/>
            </w:tcMar>
            <w:vAlign w:val="center"/>
          </w:tcPr>
          <w:p w14:paraId="6E06487A" w14:textId="12CC7B96"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54.01% (48.94%</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59.00%)</w:t>
            </w:r>
          </w:p>
        </w:tc>
        <w:tc>
          <w:tcPr>
            <w:tcW w:w="1843" w:type="dxa"/>
            <w:tcBorders>
              <w:top w:val="nil"/>
              <w:left w:val="nil"/>
              <w:bottom w:val="nil"/>
              <w:right w:val="nil"/>
            </w:tcBorders>
            <w:tcMar>
              <w:top w:w="-1" w:type="dxa"/>
              <w:left w:w="-1" w:type="dxa"/>
              <w:bottom w:w="-1" w:type="dxa"/>
              <w:right w:w="-1" w:type="dxa"/>
            </w:tcMar>
            <w:vAlign w:val="center"/>
          </w:tcPr>
          <w:p w14:paraId="49CF2540" w14:textId="7B7726B1"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46.53% (42.09%</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50.95%)</w:t>
            </w:r>
          </w:p>
        </w:tc>
      </w:tr>
      <w:tr w:rsidR="00A456C6" w:rsidRPr="00667BFE" w14:paraId="19D334FB" w14:textId="77777777" w:rsidTr="00667BFE">
        <w:trPr>
          <w:jc w:val="center"/>
        </w:trPr>
        <w:tc>
          <w:tcPr>
            <w:tcW w:w="1701" w:type="dxa"/>
            <w:tcBorders>
              <w:top w:val="nil"/>
              <w:left w:val="nil"/>
              <w:bottom w:val="nil"/>
              <w:right w:val="nil"/>
            </w:tcBorders>
            <w:tcMar>
              <w:top w:w="-1" w:type="dxa"/>
              <w:left w:w="-1" w:type="dxa"/>
              <w:bottom w:w="-1" w:type="dxa"/>
              <w:right w:w="-1" w:type="dxa"/>
            </w:tcMar>
            <w:vAlign w:val="center"/>
          </w:tcPr>
          <w:p w14:paraId="11E735D3" w14:textId="77777777"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Mistral-Small-3.1-24B-Instruct-2503</w:t>
            </w:r>
          </w:p>
        </w:tc>
        <w:tc>
          <w:tcPr>
            <w:tcW w:w="1701" w:type="dxa"/>
            <w:tcBorders>
              <w:top w:val="nil"/>
              <w:left w:val="nil"/>
              <w:bottom w:val="nil"/>
              <w:right w:val="nil"/>
            </w:tcBorders>
            <w:tcMar>
              <w:top w:w="-1" w:type="dxa"/>
              <w:left w:w="-1" w:type="dxa"/>
              <w:bottom w:w="-1" w:type="dxa"/>
              <w:right w:w="-1" w:type="dxa"/>
            </w:tcMar>
            <w:vAlign w:val="center"/>
          </w:tcPr>
          <w:p w14:paraId="38A23A03" w14:textId="4C4D7BFC"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55.00% (45.24%</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64.39%)</w:t>
            </w:r>
          </w:p>
        </w:tc>
        <w:tc>
          <w:tcPr>
            <w:tcW w:w="1701" w:type="dxa"/>
            <w:tcBorders>
              <w:top w:val="nil"/>
              <w:left w:val="nil"/>
              <w:bottom w:val="nil"/>
              <w:right w:val="nil"/>
            </w:tcBorders>
            <w:tcMar>
              <w:top w:w="-1" w:type="dxa"/>
              <w:left w:w="-1" w:type="dxa"/>
              <w:bottom w:w="-1" w:type="dxa"/>
              <w:right w:w="-1" w:type="dxa"/>
            </w:tcMar>
            <w:vAlign w:val="center"/>
          </w:tcPr>
          <w:p w14:paraId="5026657D" w14:textId="419C0AC2"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78.43% (72.98%</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83.04%)</w:t>
            </w:r>
          </w:p>
        </w:tc>
        <w:tc>
          <w:tcPr>
            <w:tcW w:w="1701" w:type="dxa"/>
            <w:tcBorders>
              <w:top w:val="nil"/>
              <w:left w:val="nil"/>
              <w:bottom w:val="nil"/>
              <w:right w:val="nil"/>
            </w:tcBorders>
            <w:tcMar>
              <w:top w:w="-1" w:type="dxa"/>
              <w:left w:w="-1" w:type="dxa"/>
              <w:bottom w:w="-1" w:type="dxa"/>
              <w:right w:w="-1" w:type="dxa"/>
            </w:tcMar>
            <w:vAlign w:val="center"/>
          </w:tcPr>
          <w:p w14:paraId="5798FEB8" w14:textId="6563AEAA"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45.00% (35.61%</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54.76%)</w:t>
            </w:r>
          </w:p>
        </w:tc>
        <w:tc>
          <w:tcPr>
            <w:tcW w:w="1701" w:type="dxa"/>
            <w:tcBorders>
              <w:top w:val="nil"/>
              <w:left w:val="nil"/>
              <w:bottom w:val="nil"/>
              <w:right w:val="nil"/>
            </w:tcBorders>
            <w:tcMar>
              <w:top w:w="-1" w:type="dxa"/>
              <w:left w:w="-1" w:type="dxa"/>
              <w:bottom w:w="-1" w:type="dxa"/>
              <w:right w:w="-1" w:type="dxa"/>
            </w:tcMar>
            <w:vAlign w:val="center"/>
          </w:tcPr>
          <w:p w14:paraId="30D21B5D" w14:textId="6D3FFB4C"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53.48% (48.41%</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58.47%)</w:t>
            </w:r>
          </w:p>
        </w:tc>
        <w:tc>
          <w:tcPr>
            <w:tcW w:w="1843" w:type="dxa"/>
            <w:tcBorders>
              <w:top w:val="nil"/>
              <w:left w:val="nil"/>
              <w:bottom w:val="nil"/>
              <w:right w:val="nil"/>
            </w:tcBorders>
            <w:tcMar>
              <w:top w:w="-1" w:type="dxa"/>
              <w:left w:w="-1" w:type="dxa"/>
              <w:bottom w:w="-1" w:type="dxa"/>
              <w:right w:w="-1" w:type="dxa"/>
            </w:tcMar>
            <w:vAlign w:val="center"/>
          </w:tcPr>
          <w:p w14:paraId="3F540B65" w14:textId="75495F4C"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45.90% (41.59%</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50.24%)</w:t>
            </w:r>
          </w:p>
        </w:tc>
      </w:tr>
      <w:tr w:rsidR="00A456C6" w:rsidRPr="00667BFE" w14:paraId="26A1D412" w14:textId="77777777" w:rsidTr="00667BFE">
        <w:trPr>
          <w:jc w:val="center"/>
        </w:trPr>
        <w:tc>
          <w:tcPr>
            <w:tcW w:w="1701" w:type="dxa"/>
            <w:tcBorders>
              <w:top w:val="nil"/>
              <w:left w:val="nil"/>
              <w:bottom w:val="nil"/>
              <w:right w:val="nil"/>
            </w:tcBorders>
            <w:tcMar>
              <w:top w:w="-1" w:type="dxa"/>
              <w:left w:w="-1" w:type="dxa"/>
              <w:bottom w:w="-1" w:type="dxa"/>
              <w:right w:w="-1" w:type="dxa"/>
            </w:tcMar>
            <w:vAlign w:val="center"/>
          </w:tcPr>
          <w:p w14:paraId="01AE634C" w14:textId="77777777"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DeepSeek-R1-Distill-Qwen-32B</w:t>
            </w:r>
          </w:p>
        </w:tc>
        <w:tc>
          <w:tcPr>
            <w:tcW w:w="1701" w:type="dxa"/>
            <w:tcBorders>
              <w:top w:val="nil"/>
              <w:left w:val="nil"/>
              <w:bottom w:val="nil"/>
              <w:right w:val="nil"/>
            </w:tcBorders>
            <w:tcMar>
              <w:top w:w="-1" w:type="dxa"/>
              <w:left w:w="-1" w:type="dxa"/>
              <w:bottom w:w="-1" w:type="dxa"/>
              <w:right w:w="-1" w:type="dxa"/>
            </w:tcMar>
            <w:vAlign w:val="center"/>
          </w:tcPr>
          <w:p w14:paraId="0E794FE3" w14:textId="638DAB52"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52.00% (42.32%</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61.54%)</w:t>
            </w:r>
          </w:p>
        </w:tc>
        <w:tc>
          <w:tcPr>
            <w:tcW w:w="1701" w:type="dxa"/>
            <w:tcBorders>
              <w:top w:val="nil"/>
              <w:left w:val="nil"/>
              <w:bottom w:val="nil"/>
              <w:right w:val="nil"/>
            </w:tcBorders>
            <w:tcMar>
              <w:top w:w="-1" w:type="dxa"/>
              <w:left w:w="-1" w:type="dxa"/>
              <w:bottom w:w="-1" w:type="dxa"/>
              <w:right w:w="-1" w:type="dxa"/>
            </w:tcMar>
            <w:vAlign w:val="center"/>
          </w:tcPr>
          <w:p w14:paraId="66749FEB" w14:textId="5F21255B"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79.77% (74.43%</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84.22%)</w:t>
            </w:r>
          </w:p>
        </w:tc>
        <w:tc>
          <w:tcPr>
            <w:tcW w:w="1701" w:type="dxa"/>
            <w:tcBorders>
              <w:top w:val="nil"/>
              <w:left w:val="nil"/>
              <w:bottom w:val="nil"/>
              <w:right w:val="nil"/>
            </w:tcBorders>
            <w:tcMar>
              <w:top w:w="-1" w:type="dxa"/>
              <w:left w:w="-1" w:type="dxa"/>
              <w:bottom w:w="-1" w:type="dxa"/>
              <w:right w:w="-1" w:type="dxa"/>
            </w:tcMar>
            <w:vAlign w:val="center"/>
          </w:tcPr>
          <w:p w14:paraId="50C85B6D" w14:textId="6AFF6711"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48.00% (38.46%</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57.68%)</w:t>
            </w:r>
          </w:p>
        </w:tc>
        <w:tc>
          <w:tcPr>
            <w:tcW w:w="1701" w:type="dxa"/>
            <w:tcBorders>
              <w:top w:val="nil"/>
              <w:left w:val="nil"/>
              <w:bottom w:val="nil"/>
              <w:right w:val="nil"/>
            </w:tcBorders>
            <w:tcMar>
              <w:top w:w="-1" w:type="dxa"/>
              <w:left w:w="-1" w:type="dxa"/>
              <w:bottom w:w="-1" w:type="dxa"/>
              <w:right w:w="-1" w:type="dxa"/>
            </w:tcMar>
            <w:vAlign w:val="center"/>
          </w:tcPr>
          <w:p w14:paraId="5CEF5890" w14:textId="3A1F92EB"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54.81% (49.75%</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59.78%)</w:t>
            </w:r>
          </w:p>
        </w:tc>
        <w:tc>
          <w:tcPr>
            <w:tcW w:w="1843" w:type="dxa"/>
            <w:tcBorders>
              <w:top w:val="nil"/>
              <w:left w:val="nil"/>
              <w:bottom w:val="nil"/>
              <w:right w:val="nil"/>
            </w:tcBorders>
            <w:tcMar>
              <w:top w:w="-1" w:type="dxa"/>
              <w:left w:w="-1" w:type="dxa"/>
              <w:bottom w:w="-1" w:type="dxa"/>
              <w:right w:w="-1" w:type="dxa"/>
            </w:tcMar>
            <w:vAlign w:val="center"/>
          </w:tcPr>
          <w:p w14:paraId="6409E234" w14:textId="4C027E2F"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47.63% (43.13%</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52.17%)</w:t>
            </w:r>
          </w:p>
        </w:tc>
      </w:tr>
      <w:tr w:rsidR="00A456C6" w:rsidRPr="00667BFE" w14:paraId="1E326DC5" w14:textId="77777777" w:rsidTr="00667BFE">
        <w:trPr>
          <w:jc w:val="center"/>
        </w:trPr>
        <w:tc>
          <w:tcPr>
            <w:tcW w:w="1701" w:type="dxa"/>
            <w:tcBorders>
              <w:top w:val="nil"/>
              <w:left w:val="nil"/>
              <w:bottom w:val="nil"/>
              <w:right w:val="nil"/>
            </w:tcBorders>
            <w:tcMar>
              <w:top w:w="-1" w:type="dxa"/>
              <w:left w:w="-1" w:type="dxa"/>
              <w:bottom w:w="-1" w:type="dxa"/>
              <w:right w:w="-1" w:type="dxa"/>
            </w:tcMar>
            <w:vAlign w:val="center"/>
          </w:tcPr>
          <w:p w14:paraId="15D6DED6" w14:textId="77777777"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gpt-oss-20b</w:t>
            </w:r>
          </w:p>
        </w:tc>
        <w:tc>
          <w:tcPr>
            <w:tcW w:w="1701" w:type="dxa"/>
            <w:tcBorders>
              <w:top w:val="nil"/>
              <w:left w:val="nil"/>
              <w:bottom w:val="nil"/>
              <w:right w:val="nil"/>
            </w:tcBorders>
            <w:tcMar>
              <w:top w:w="-1" w:type="dxa"/>
              <w:left w:w="-1" w:type="dxa"/>
              <w:bottom w:w="-1" w:type="dxa"/>
              <w:right w:w="-1" w:type="dxa"/>
            </w:tcMar>
            <w:vAlign w:val="center"/>
          </w:tcPr>
          <w:p w14:paraId="38C6A7A3" w14:textId="0981F7A8"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55.00% (45.24%</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64.39%)</w:t>
            </w:r>
          </w:p>
        </w:tc>
        <w:tc>
          <w:tcPr>
            <w:tcW w:w="1701" w:type="dxa"/>
            <w:tcBorders>
              <w:top w:val="nil"/>
              <w:left w:val="nil"/>
              <w:bottom w:val="nil"/>
              <w:right w:val="nil"/>
            </w:tcBorders>
            <w:tcMar>
              <w:top w:w="-1" w:type="dxa"/>
              <w:left w:w="-1" w:type="dxa"/>
              <w:bottom w:w="-1" w:type="dxa"/>
              <w:right w:w="-1" w:type="dxa"/>
            </w:tcMar>
            <w:vAlign w:val="center"/>
          </w:tcPr>
          <w:p w14:paraId="79DFB7DF" w14:textId="308E865C"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78.52% (73.08%</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83.11%)</w:t>
            </w:r>
          </w:p>
        </w:tc>
        <w:tc>
          <w:tcPr>
            <w:tcW w:w="1701" w:type="dxa"/>
            <w:tcBorders>
              <w:top w:val="nil"/>
              <w:left w:val="nil"/>
              <w:bottom w:val="nil"/>
              <w:right w:val="nil"/>
            </w:tcBorders>
            <w:tcMar>
              <w:top w:w="-1" w:type="dxa"/>
              <w:left w:w="-1" w:type="dxa"/>
              <w:bottom w:w="-1" w:type="dxa"/>
              <w:right w:w="-1" w:type="dxa"/>
            </w:tcMar>
            <w:vAlign w:val="center"/>
          </w:tcPr>
          <w:p w14:paraId="48E4336C" w14:textId="3705A540"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45.00% (35.61%</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54.76%)</w:t>
            </w:r>
          </w:p>
        </w:tc>
        <w:tc>
          <w:tcPr>
            <w:tcW w:w="1701" w:type="dxa"/>
            <w:tcBorders>
              <w:top w:val="nil"/>
              <w:left w:val="nil"/>
              <w:bottom w:val="nil"/>
              <w:right w:val="nil"/>
            </w:tcBorders>
            <w:tcMar>
              <w:top w:w="-1" w:type="dxa"/>
              <w:left w:w="-1" w:type="dxa"/>
              <w:bottom w:w="-1" w:type="dxa"/>
              <w:right w:w="-1" w:type="dxa"/>
            </w:tcMar>
            <w:vAlign w:val="center"/>
          </w:tcPr>
          <w:p w14:paraId="591FC43F" w14:textId="287ADFC3"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53.74% (48.68%</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58.73%)</w:t>
            </w:r>
          </w:p>
        </w:tc>
        <w:tc>
          <w:tcPr>
            <w:tcW w:w="1843" w:type="dxa"/>
            <w:tcBorders>
              <w:top w:val="nil"/>
              <w:left w:val="nil"/>
              <w:bottom w:val="nil"/>
              <w:right w:val="nil"/>
            </w:tcBorders>
            <w:tcMar>
              <w:top w:w="-1" w:type="dxa"/>
              <w:left w:w="-1" w:type="dxa"/>
              <w:bottom w:w="-1" w:type="dxa"/>
              <w:right w:w="-1" w:type="dxa"/>
            </w:tcMar>
            <w:vAlign w:val="center"/>
          </w:tcPr>
          <w:p w14:paraId="24409CCD" w14:textId="79365D84"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46.06% (41.60%</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50.43%)</w:t>
            </w:r>
          </w:p>
        </w:tc>
      </w:tr>
      <w:tr w:rsidR="00A456C6" w:rsidRPr="00667BFE" w14:paraId="17E26DC8" w14:textId="77777777" w:rsidTr="00667BFE">
        <w:trPr>
          <w:jc w:val="center"/>
        </w:trPr>
        <w:tc>
          <w:tcPr>
            <w:tcW w:w="1701" w:type="dxa"/>
            <w:tcBorders>
              <w:top w:val="nil"/>
              <w:left w:val="nil"/>
              <w:bottom w:val="single" w:sz="12" w:space="0" w:color="auto"/>
              <w:right w:val="nil"/>
            </w:tcBorders>
            <w:tcMar>
              <w:top w:w="-1" w:type="dxa"/>
              <w:left w:w="-1" w:type="dxa"/>
              <w:bottom w:w="-1" w:type="dxa"/>
              <w:right w:w="-1" w:type="dxa"/>
            </w:tcMar>
            <w:vAlign w:val="center"/>
          </w:tcPr>
          <w:p w14:paraId="08D29414" w14:textId="77777777"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GLM-4-32B-0414</w:t>
            </w:r>
          </w:p>
        </w:tc>
        <w:tc>
          <w:tcPr>
            <w:tcW w:w="1701" w:type="dxa"/>
            <w:tcBorders>
              <w:top w:val="nil"/>
              <w:left w:val="nil"/>
              <w:bottom w:val="single" w:sz="12" w:space="0" w:color="auto"/>
              <w:right w:val="nil"/>
            </w:tcBorders>
            <w:tcMar>
              <w:top w:w="-1" w:type="dxa"/>
              <w:left w:w="-1" w:type="dxa"/>
              <w:bottom w:w="-1" w:type="dxa"/>
              <w:right w:w="-1" w:type="dxa"/>
            </w:tcMar>
            <w:vAlign w:val="center"/>
          </w:tcPr>
          <w:p w14:paraId="483BCDC9" w14:textId="7F2DFC11"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53.00% (43.29%</w:t>
            </w:r>
            <w:r w:rsidR="00224FB9" w:rsidRPr="00224FB9">
              <w:rPr>
                <w:rFonts w:eastAsia="宋体" w:cs="Times New Roman"/>
                <w:color w:val="000000"/>
                <w:kern w:val="0"/>
                <w:sz w:val="18"/>
                <w:szCs w:val="18"/>
                <w:lang w:bidi="ar"/>
              </w:rPr>
              <w:t>–</w:t>
            </w:r>
            <w:r w:rsidRPr="00667BFE">
              <w:rPr>
                <w:rFonts w:eastAsia="宋体" w:cs="Times New Roman" w:hint="eastAsia"/>
                <w:color w:val="000000"/>
                <w:kern w:val="0"/>
                <w:sz w:val="18"/>
                <w:szCs w:val="18"/>
                <w:lang w:bidi="ar"/>
              </w:rPr>
              <w:t>6</w:t>
            </w:r>
            <w:r w:rsidRPr="00667BFE">
              <w:rPr>
                <w:rFonts w:eastAsia="宋体" w:cs="Times New Roman"/>
                <w:color w:val="000000"/>
                <w:kern w:val="0"/>
                <w:sz w:val="18"/>
                <w:szCs w:val="18"/>
                <w:lang w:bidi="ar"/>
              </w:rPr>
              <w:t>2.49%)</w:t>
            </w:r>
          </w:p>
        </w:tc>
        <w:tc>
          <w:tcPr>
            <w:tcW w:w="1701" w:type="dxa"/>
            <w:tcBorders>
              <w:top w:val="nil"/>
              <w:left w:val="nil"/>
              <w:bottom w:val="single" w:sz="12" w:space="0" w:color="auto"/>
              <w:right w:val="nil"/>
            </w:tcBorders>
            <w:tcMar>
              <w:top w:w="-1" w:type="dxa"/>
              <w:left w:w="-1" w:type="dxa"/>
              <w:bottom w:w="-1" w:type="dxa"/>
              <w:right w:w="-1" w:type="dxa"/>
            </w:tcMar>
            <w:vAlign w:val="center"/>
          </w:tcPr>
          <w:p w14:paraId="22A07FA9" w14:textId="059929D3"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79.38% (74.02%</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83.87%)</w:t>
            </w:r>
          </w:p>
        </w:tc>
        <w:tc>
          <w:tcPr>
            <w:tcW w:w="1701" w:type="dxa"/>
            <w:tcBorders>
              <w:top w:val="nil"/>
              <w:left w:val="nil"/>
              <w:bottom w:val="single" w:sz="12" w:space="0" w:color="auto"/>
              <w:right w:val="nil"/>
            </w:tcBorders>
            <w:tcMar>
              <w:top w:w="-1" w:type="dxa"/>
              <w:left w:w="-1" w:type="dxa"/>
              <w:bottom w:w="-1" w:type="dxa"/>
              <w:right w:w="-1" w:type="dxa"/>
            </w:tcMar>
            <w:vAlign w:val="center"/>
          </w:tcPr>
          <w:p w14:paraId="42A05E51" w14:textId="33DFAD69"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47.00% (37.51%</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56.71%)</w:t>
            </w:r>
          </w:p>
        </w:tc>
        <w:tc>
          <w:tcPr>
            <w:tcW w:w="1701" w:type="dxa"/>
            <w:tcBorders>
              <w:top w:val="nil"/>
              <w:left w:val="nil"/>
              <w:bottom w:val="single" w:sz="12" w:space="0" w:color="auto"/>
              <w:right w:val="nil"/>
            </w:tcBorders>
            <w:tcMar>
              <w:top w:w="-1" w:type="dxa"/>
              <w:left w:w="-1" w:type="dxa"/>
              <w:bottom w:w="-1" w:type="dxa"/>
              <w:right w:w="-1" w:type="dxa"/>
            </w:tcMar>
            <w:vAlign w:val="center"/>
          </w:tcPr>
          <w:p w14:paraId="03FE80AE" w14:textId="5EAF5122"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54.55% (49.48%</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59.52%)</w:t>
            </w:r>
          </w:p>
        </w:tc>
        <w:tc>
          <w:tcPr>
            <w:tcW w:w="1843" w:type="dxa"/>
            <w:tcBorders>
              <w:top w:val="nil"/>
              <w:left w:val="nil"/>
              <w:bottom w:val="single" w:sz="12" w:space="0" w:color="auto"/>
              <w:right w:val="nil"/>
            </w:tcBorders>
            <w:tcMar>
              <w:top w:w="-1" w:type="dxa"/>
              <w:left w:w="-1" w:type="dxa"/>
              <w:bottom w:w="-1" w:type="dxa"/>
              <w:right w:w="-1" w:type="dxa"/>
            </w:tcMar>
            <w:vAlign w:val="center"/>
          </w:tcPr>
          <w:p w14:paraId="7A34F928" w14:textId="0727BA66" w:rsidR="00A456C6" w:rsidRPr="00667BFE" w:rsidRDefault="00000000" w:rsidP="00667BFE">
            <w:pPr>
              <w:keepNext/>
              <w:widowControl/>
              <w:snapToGrid w:val="0"/>
              <w:jc w:val="center"/>
              <w:textAlignment w:val="top"/>
              <w:rPr>
                <w:rFonts w:eastAsia="宋体" w:cs="Times New Roman"/>
                <w:color w:val="000000"/>
                <w:sz w:val="18"/>
                <w:szCs w:val="18"/>
              </w:rPr>
            </w:pPr>
            <w:r w:rsidRPr="00667BFE">
              <w:rPr>
                <w:rFonts w:eastAsia="宋体" w:cs="Times New Roman"/>
                <w:color w:val="000000"/>
                <w:kern w:val="0"/>
                <w:sz w:val="18"/>
                <w:szCs w:val="18"/>
                <w:lang w:bidi="ar"/>
              </w:rPr>
              <w:t>47.16% (42.63%</w:t>
            </w:r>
            <w:r w:rsidR="00224FB9" w:rsidRPr="00224FB9">
              <w:rPr>
                <w:rFonts w:eastAsia="宋体" w:cs="Times New Roman"/>
                <w:color w:val="000000"/>
                <w:kern w:val="0"/>
                <w:sz w:val="18"/>
                <w:szCs w:val="18"/>
                <w:lang w:bidi="ar"/>
              </w:rPr>
              <w:t>–</w:t>
            </w:r>
            <w:r w:rsidRPr="00667BFE">
              <w:rPr>
                <w:rFonts w:eastAsia="宋体" w:cs="Times New Roman"/>
                <w:color w:val="000000"/>
                <w:kern w:val="0"/>
                <w:sz w:val="18"/>
                <w:szCs w:val="18"/>
                <w:lang w:bidi="ar"/>
              </w:rPr>
              <w:t>51.59%)</w:t>
            </w:r>
          </w:p>
        </w:tc>
      </w:tr>
    </w:tbl>
    <w:p w14:paraId="04A59BBC" w14:textId="77777777" w:rsidR="00C9263D" w:rsidRDefault="00667BFE" w:rsidP="00C9263D">
      <w:pPr>
        <w:rPr>
          <w:sz w:val="18"/>
        </w:rPr>
      </w:pPr>
      <w:r w:rsidRPr="00667BFE">
        <w:rPr>
          <w:sz w:val="18"/>
        </w:rPr>
        <w:t>CI, confidence interval; FNR, false-negative rate; NPV, negative predictive value.</w:t>
      </w:r>
    </w:p>
    <w:p w14:paraId="1A989C53" w14:textId="77777777" w:rsidR="00C9263D" w:rsidRDefault="00C9263D" w:rsidP="00C9263D">
      <w:pPr>
        <w:rPr>
          <w:sz w:val="18"/>
        </w:rPr>
      </w:pPr>
    </w:p>
    <w:p w14:paraId="198455D4" w14:textId="60543C42" w:rsidR="00807EBB" w:rsidRPr="00C9263D" w:rsidRDefault="00807EBB" w:rsidP="00C9263D">
      <w:pPr>
        <w:pStyle w:val="1"/>
        <w:ind w:left="210" w:right="210"/>
        <w:rPr>
          <w:sz w:val="18"/>
        </w:rPr>
      </w:pPr>
      <w:bookmarkStart w:id="2" w:name="_Toc238946674"/>
      <w:r>
        <w:t>Supplementary Methods S2. Abnormal-case augmentation and quality assessment</w:t>
      </w:r>
      <w:bookmarkEnd w:id="2"/>
    </w:p>
    <w:p w14:paraId="35C65F8F" w14:textId="77777777" w:rsidR="00807EBB" w:rsidRPr="00765034" w:rsidRDefault="00807EBB" w:rsidP="00765034">
      <w:pPr>
        <w:spacing w:line="360" w:lineRule="auto"/>
        <w:ind w:firstLineChars="200" w:firstLine="480"/>
        <w:rPr>
          <w:sz w:val="24"/>
        </w:rPr>
      </w:pPr>
      <w:r w:rsidRPr="00765034">
        <w:rPr>
          <w:sz w:val="24"/>
        </w:rPr>
        <w:t xml:space="preserve">No naturally occurring positive review units were observed in the consecutively collected prospective silent cohort. An augmented challenge set was therefore constructed to assess detection of abnormal patterns under the data distribution observed during the prospective period. The challenge set comprised 900 real-world negative review units and 100 data-augmented abnormal review units. The 900 negative </w:t>
      </w:r>
      <w:r w:rsidRPr="00765034">
        <w:rPr>
          <w:sz w:val="24"/>
        </w:rPr>
        <w:lastRenderedPageBreak/>
        <w:t>units had no patient overlap with the silent cohort, and no patient was represented in more than one study dataset.</w:t>
      </w:r>
    </w:p>
    <w:p w14:paraId="2474B4E8" w14:textId="74BA0D27" w:rsidR="0061668B" w:rsidRPr="00765034" w:rsidRDefault="0061668B" w:rsidP="00765034">
      <w:pPr>
        <w:spacing w:line="360" w:lineRule="auto"/>
        <w:ind w:firstLineChars="200" w:firstLine="480"/>
        <w:rPr>
          <w:sz w:val="24"/>
        </w:rPr>
      </w:pPr>
      <w:r w:rsidRPr="00765034">
        <w:rPr>
          <w:sz w:val="24"/>
        </w:rPr>
        <w:t>De-identified source records containing ART cycle information, treatment and medication context, current hormone measurements, and available longitudinal hormone history were used as structural templates. Candidate abnormal units were generated under prespecified clinical and data-integrity constraints. Two experts independently assessed each candidate for clinical plausibility, internal consistency, and whether the intended abnormality required further review. Disagreements were resolved by consensus or adjudication by a third expert.</w:t>
      </w:r>
    </w:p>
    <w:p w14:paraId="40E5F1BD" w14:textId="6CB93003" w:rsidR="00D13CB5" w:rsidRPr="00C9263D" w:rsidRDefault="00D13CB5" w:rsidP="00F74D52">
      <w:pPr>
        <w:pStyle w:val="SupplementaryTableCaption"/>
      </w:pPr>
      <w:bookmarkStart w:id="3" w:name="_Toc238946675"/>
      <w:r w:rsidRPr="00C9263D">
        <w:t xml:space="preserve">Supplementary Table S2. </w:t>
      </w:r>
      <w:r w:rsidR="0061668B" w:rsidRPr="00C9263D">
        <w:t>Prespecified abnormal-case augmentation and quality-assurance framework</w:t>
      </w:r>
      <w:bookmarkEnd w:id="3"/>
    </w:p>
    <w:tbl>
      <w:tblPr>
        <w:tblStyle w:val="a8"/>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5752"/>
      </w:tblGrid>
      <w:tr w:rsidR="0061668B" w:rsidRPr="00765034" w14:paraId="761B02CA" w14:textId="77777777" w:rsidTr="0061668B">
        <w:trPr>
          <w:jc w:val="center"/>
        </w:trPr>
        <w:tc>
          <w:tcPr>
            <w:tcW w:w="2547" w:type="dxa"/>
            <w:tcBorders>
              <w:top w:val="single" w:sz="12" w:space="0" w:color="auto"/>
              <w:bottom w:val="single" w:sz="6" w:space="0" w:color="auto"/>
            </w:tcBorders>
            <w:vAlign w:val="center"/>
          </w:tcPr>
          <w:p w14:paraId="746EE809" w14:textId="39C4C3F5" w:rsidR="0061668B" w:rsidRPr="00765034" w:rsidRDefault="0061668B" w:rsidP="0061668B">
            <w:pPr>
              <w:jc w:val="center"/>
              <w:rPr>
                <w:b/>
                <w:sz w:val="18"/>
                <w:szCs w:val="18"/>
              </w:rPr>
            </w:pPr>
            <w:r w:rsidRPr="00765034">
              <w:rPr>
                <w:rFonts w:eastAsia="Times New Roman"/>
                <w:b/>
                <w:color w:val="000000"/>
                <w:sz w:val="18"/>
                <w:szCs w:val="18"/>
              </w:rPr>
              <w:t>Component</w:t>
            </w:r>
          </w:p>
        </w:tc>
        <w:tc>
          <w:tcPr>
            <w:tcW w:w="5752" w:type="dxa"/>
            <w:tcBorders>
              <w:top w:val="single" w:sz="12" w:space="0" w:color="auto"/>
              <w:bottom w:val="single" w:sz="6" w:space="0" w:color="auto"/>
            </w:tcBorders>
            <w:vAlign w:val="center"/>
          </w:tcPr>
          <w:p w14:paraId="5DC8A97D" w14:textId="4C9E58DB" w:rsidR="0061668B" w:rsidRPr="00765034" w:rsidRDefault="0061668B" w:rsidP="0061668B">
            <w:pPr>
              <w:jc w:val="center"/>
              <w:rPr>
                <w:b/>
                <w:sz w:val="18"/>
                <w:szCs w:val="18"/>
              </w:rPr>
            </w:pPr>
            <w:r w:rsidRPr="00765034">
              <w:rPr>
                <w:rFonts w:eastAsia="Times New Roman"/>
                <w:b/>
                <w:color w:val="000000"/>
                <w:sz w:val="18"/>
                <w:szCs w:val="18"/>
              </w:rPr>
              <w:t>Prespecified approach</w:t>
            </w:r>
          </w:p>
        </w:tc>
      </w:tr>
      <w:tr w:rsidR="0061668B" w:rsidRPr="00765034" w14:paraId="72F1D5F6" w14:textId="77777777" w:rsidTr="0061668B">
        <w:trPr>
          <w:jc w:val="center"/>
        </w:trPr>
        <w:tc>
          <w:tcPr>
            <w:tcW w:w="2547" w:type="dxa"/>
            <w:tcBorders>
              <w:top w:val="single" w:sz="6" w:space="0" w:color="auto"/>
            </w:tcBorders>
            <w:vAlign w:val="center"/>
          </w:tcPr>
          <w:p w14:paraId="0546EC2F" w14:textId="5BBA46EF" w:rsidR="0061668B" w:rsidRPr="00765034" w:rsidRDefault="0061668B" w:rsidP="0061668B">
            <w:pPr>
              <w:jc w:val="center"/>
              <w:rPr>
                <w:bCs/>
                <w:sz w:val="18"/>
                <w:szCs w:val="18"/>
              </w:rPr>
            </w:pPr>
            <w:r w:rsidRPr="00765034">
              <w:rPr>
                <w:rFonts w:eastAsia="Times New Roman"/>
                <w:bCs/>
                <w:color w:val="000000"/>
                <w:sz w:val="18"/>
                <w:szCs w:val="18"/>
              </w:rPr>
              <w:t>Source templates</w:t>
            </w:r>
          </w:p>
        </w:tc>
        <w:tc>
          <w:tcPr>
            <w:tcW w:w="5752" w:type="dxa"/>
            <w:tcBorders>
              <w:top w:val="single" w:sz="6" w:space="0" w:color="auto"/>
            </w:tcBorders>
            <w:vAlign w:val="center"/>
          </w:tcPr>
          <w:p w14:paraId="0CDF70AA" w14:textId="1440154B" w:rsidR="0061668B" w:rsidRPr="00765034" w:rsidRDefault="0061668B" w:rsidP="0061668B">
            <w:pPr>
              <w:jc w:val="center"/>
              <w:rPr>
                <w:b/>
                <w:sz w:val="18"/>
                <w:szCs w:val="18"/>
              </w:rPr>
            </w:pPr>
            <w:r w:rsidRPr="00765034">
              <w:rPr>
                <w:rFonts w:eastAsia="Times New Roman"/>
                <w:color w:val="000000"/>
                <w:sz w:val="18"/>
                <w:szCs w:val="18"/>
              </w:rPr>
              <w:t>De-identified prospective-period records containing the relevant ART cycle, treatment, medication, current hormone, and longitudinal information</w:t>
            </w:r>
          </w:p>
        </w:tc>
      </w:tr>
      <w:tr w:rsidR="0061668B" w:rsidRPr="00765034" w14:paraId="7249E9F9" w14:textId="77777777" w:rsidTr="0061668B">
        <w:trPr>
          <w:jc w:val="center"/>
        </w:trPr>
        <w:tc>
          <w:tcPr>
            <w:tcW w:w="2547" w:type="dxa"/>
            <w:vAlign w:val="center"/>
          </w:tcPr>
          <w:p w14:paraId="42AA4503" w14:textId="797DA93F" w:rsidR="0061668B" w:rsidRPr="00765034" w:rsidRDefault="0061668B" w:rsidP="0061668B">
            <w:pPr>
              <w:jc w:val="center"/>
              <w:rPr>
                <w:bCs/>
                <w:sz w:val="18"/>
                <w:szCs w:val="18"/>
              </w:rPr>
            </w:pPr>
            <w:r w:rsidRPr="00765034">
              <w:rPr>
                <w:rFonts w:eastAsia="Times New Roman"/>
                <w:bCs/>
                <w:color w:val="000000"/>
                <w:sz w:val="18"/>
                <w:szCs w:val="18"/>
              </w:rPr>
              <w:t>Information retained</w:t>
            </w:r>
          </w:p>
        </w:tc>
        <w:tc>
          <w:tcPr>
            <w:tcW w:w="5752" w:type="dxa"/>
            <w:vAlign w:val="center"/>
          </w:tcPr>
          <w:p w14:paraId="19266DAB" w14:textId="64D2CF45" w:rsidR="0061668B" w:rsidRPr="00765034" w:rsidRDefault="0061668B" w:rsidP="0061668B">
            <w:pPr>
              <w:jc w:val="center"/>
              <w:rPr>
                <w:b/>
                <w:sz w:val="18"/>
                <w:szCs w:val="18"/>
              </w:rPr>
            </w:pPr>
            <w:r w:rsidRPr="00765034">
              <w:rPr>
                <w:rFonts w:eastAsia="Times New Roman"/>
                <w:color w:val="000000"/>
                <w:sz w:val="18"/>
                <w:szCs w:val="18"/>
              </w:rPr>
              <w:t>Record structure, encounter context, and non-target information</w:t>
            </w:r>
          </w:p>
        </w:tc>
      </w:tr>
      <w:tr w:rsidR="0061668B" w:rsidRPr="00765034" w14:paraId="0D254B5E" w14:textId="77777777" w:rsidTr="0061668B">
        <w:trPr>
          <w:jc w:val="center"/>
        </w:trPr>
        <w:tc>
          <w:tcPr>
            <w:tcW w:w="2547" w:type="dxa"/>
            <w:vAlign w:val="center"/>
          </w:tcPr>
          <w:p w14:paraId="18A1DFC8" w14:textId="06666DCD" w:rsidR="0061668B" w:rsidRPr="00765034" w:rsidRDefault="0061668B" w:rsidP="0061668B">
            <w:pPr>
              <w:jc w:val="center"/>
              <w:rPr>
                <w:bCs/>
                <w:sz w:val="18"/>
                <w:szCs w:val="18"/>
              </w:rPr>
            </w:pPr>
            <w:r w:rsidRPr="00765034">
              <w:rPr>
                <w:rFonts w:eastAsia="Times New Roman"/>
                <w:bCs/>
                <w:color w:val="000000"/>
                <w:sz w:val="18"/>
                <w:szCs w:val="18"/>
              </w:rPr>
              <w:t>Permitted modifications</w:t>
            </w:r>
          </w:p>
        </w:tc>
        <w:tc>
          <w:tcPr>
            <w:tcW w:w="5752" w:type="dxa"/>
            <w:vAlign w:val="center"/>
          </w:tcPr>
          <w:p w14:paraId="1512CBE8" w14:textId="228EFBE2" w:rsidR="0061668B" w:rsidRPr="00765034" w:rsidRDefault="0061668B" w:rsidP="0061668B">
            <w:pPr>
              <w:jc w:val="center"/>
              <w:rPr>
                <w:b/>
                <w:sz w:val="18"/>
                <w:szCs w:val="18"/>
              </w:rPr>
            </w:pPr>
            <w:r w:rsidRPr="00765034">
              <w:rPr>
                <w:rFonts w:eastAsia="Times New Roman"/>
                <w:color w:val="000000"/>
                <w:sz w:val="18"/>
                <w:szCs w:val="18"/>
              </w:rPr>
              <w:t>The target hormone value, its temporal relationship to the ART cycle, or the minimum contextual element required to create the intended abnormal pattern</w:t>
            </w:r>
          </w:p>
        </w:tc>
      </w:tr>
      <w:tr w:rsidR="0061668B" w:rsidRPr="00765034" w14:paraId="6F8F0526" w14:textId="77777777" w:rsidTr="0061668B">
        <w:trPr>
          <w:jc w:val="center"/>
        </w:trPr>
        <w:tc>
          <w:tcPr>
            <w:tcW w:w="2547" w:type="dxa"/>
            <w:vAlign w:val="center"/>
          </w:tcPr>
          <w:p w14:paraId="6AC8FE95" w14:textId="6261DF99" w:rsidR="0061668B" w:rsidRPr="00765034" w:rsidRDefault="0061668B" w:rsidP="0061668B">
            <w:pPr>
              <w:jc w:val="center"/>
              <w:rPr>
                <w:bCs/>
                <w:sz w:val="18"/>
                <w:szCs w:val="18"/>
              </w:rPr>
            </w:pPr>
            <w:r w:rsidRPr="00765034">
              <w:rPr>
                <w:rFonts w:eastAsia="Times New Roman"/>
                <w:bCs/>
                <w:color w:val="000000"/>
                <w:sz w:val="18"/>
                <w:szCs w:val="18"/>
              </w:rPr>
              <w:t>Abnormal-pattern domains</w:t>
            </w:r>
          </w:p>
        </w:tc>
        <w:tc>
          <w:tcPr>
            <w:tcW w:w="5752" w:type="dxa"/>
            <w:vAlign w:val="center"/>
          </w:tcPr>
          <w:p w14:paraId="3BDB8521" w14:textId="5FCBC9E5" w:rsidR="0061668B" w:rsidRPr="00765034" w:rsidRDefault="0061668B" w:rsidP="0061668B">
            <w:pPr>
              <w:jc w:val="center"/>
              <w:rPr>
                <w:b/>
                <w:sz w:val="18"/>
                <w:szCs w:val="18"/>
              </w:rPr>
            </w:pPr>
            <w:r w:rsidRPr="00765034">
              <w:rPr>
                <w:rFonts w:eastAsia="Times New Roman"/>
                <w:color w:val="000000"/>
                <w:sz w:val="18"/>
                <w:szCs w:val="18"/>
              </w:rPr>
              <w:t>Discordance with cycle stage, treatment regimen, medication or trigger timing, oocyte-retrieval or embryo-transfer context, or longitudinal hormone trajectory</w:t>
            </w:r>
          </w:p>
        </w:tc>
      </w:tr>
      <w:tr w:rsidR="0061668B" w:rsidRPr="00765034" w14:paraId="73076BAA" w14:textId="77777777" w:rsidTr="0061668B">
        <w:trPr>
          <w:jc w:val="center"/>
        </w:trPr>
        <w:tc>
          <w:tcPr>
            <w:tcW w:w="2547" w:type="dxa"/>
            <w:vAlign w:val="center"/>
          </w:tcPr>
          <w:p w14:paraId="5CC56B8E" w14:textId="280D43D0" w:rsidR="0061668B" w:rsidRPr="00765034" w:rsidRDefault="0061668B" w:rsidP="0061668B">
            <w:pPr>
              <w:jc w:val="center"/>
              <w:rPr>
                <w:bCs/>
                <w:sz w:val="18"/>
                <w:szCs w:val="18"/>
              </w:rPr>
            </w:pPr>
            <w:r w:rsidRPr="00765034">
              <w:rPr>
                <w:rFonts w:eastAsia="Times New Roman"/>
                <w:bCs/>
                <w:color w:val="000000"/>
                <w:sz w:val="18"/>
                <w:szCs w:val="18"/>
              </w:rPr>
              <w:t>Independent quality assessment</w:t>
            </w:r>
          </w:p>
        </w:tc>
        <w:tc>
          <w:tcPr>
            <w:tcW w:w="5752" w:type="dxa"/>
            <w:vAlign w:val="center"/>
          </w:tcPr>
          <w:p w14:paraId="1CBBFDE1" w14:textId="1FEF5270" w:rsidR="0061668B" w:rsidRPr="00765034" w:rsidRDefault="0061668B" w:rsidP="0061668B">
            <w:pPr>
              <w:jc w:val="center"/>
              <w:rPr>
                <w:b/>
                <w:sz w:val="18"/>
                <w:szCs w:val="18"/>
              </w:rPr>
            </w:pPr>
            <w:r w:rsidRPr="00765034">
              <w:rPr>
                <w:rFonts w:eastAsia="Times New Roman"/>
                <w:color w:val="000000"/>
                <w:sz w:val="18"/>
                <w:szCs w:val="18"/>
              </w:rPr>
              <w:t>Two experts assessed clinical plausibility, internal consistency, and whether the intended concern required further review</w:t>
            </w:r>
          </w:p>
        </w:tc>
      </w:tr>
      <w:tr w:rsidR="0061668B" w:rsidRPr="00765034" w14:paraId="54C2C816" w14:textId="77777777" w:rsidTr="0061668B">
        <w:trPr>
          <w:jc w:val="center"/>
        </w:trPr>
        <w:tc>
          <w:tcPr>
            <w:tcW w:w="2547" w:type="dxa"/>
            <w:vAlign w:val="center"/>
          </w:tcPr>
          <w:p w14:paraId="7EBA4B2B" w14:textId="3B3A5E4A" w:rsidR="0061668B" w:rsidRPr="00765034" w:rsidRDefault="0061668B" w:rsidP="0061668B">
            <w:pPr>
              <w:jc w:val="center"/>
              <w:rPr>
                <w:bCs/>
                <w:sz w:val="18"/>
                <w:szCs w:val="18"/>
              </w:rPr>
            </w:pPr>
            <w:r w:rsidRPr="00765034">
              <w:rPr>
                <w:rFonts w:eastAsia="Times New Roman"/>
                <w:bCs/>
                <w:color w:val="000000"/>
                <w:sz w:val="18"/>
                <w:szCs w:val="18"/>
              </w:rPr>
              <w:t>Adjudication</w:t>
            </w:r>
          </w:p>
        </w:tc>
        <w:tc>
          <w:tcPr>
            <w:tcW w:w="5752" w:type="dxa"/>
            <w:vAlign w:val="center"/>
          </w:tcPr>
          <w:p w14:paraId="4BE2BEE9" w14:textId="49402149" w:rsidR="0061668B" w:rsidRPr="00765034" w:rsidRDefault="0061668B" w:rsidP="0061668B">
            <w:pPr>
              <w:jc w:val="center"/>
              <w:rPr>
                <w:b/>
                <w:sz w:val="18"/>
                <w:szCs w:val="18"/>
              </w:rPr>
            </w:pPr>
            <w:r w:rsidRPr="00765034">
              <w:rPr>
                <w:rFonts w:eastAsia="Times New Roman"/>
                <w:color w:val="000000"/>
                <w:sz w:val="18"/>
                <w:szCs w:val="18"/>
              </w:rPr>
              <w:t>Consensus or adjudication by a third expert</w:t>
            </w:r>
          </w:p>
        </w:tc>
      </w:tr>
      <w:tr w:rsidR="0061668B" w:rsidRPr="00765034" w14:paraId="0EBB4036" w14:textId="77777777" w:rsidTr="0061668B">
        <w:trPr>
          <w:jc w:val="center"/>
        </w:trPr>
        <w:tc>
          <w:tcPr>
            <w:tcW w:w="2547" w:type="dxa"/>
            <w:vAlign w:val="center"/>
          </w:tcPr>
          <w:p w14:paraId="4370F704" w14:textId="3C49D6A5" w:rsidR="0061668B" w:rsidRPr="00765034" w:rsidRDefault="0061668B" w:rsidP="0061668B">
            <w:pPr>
              <w:jc w:val="center"/>
              <w:rPr>
                <w:bCs/>
                <w:sz w:val="18"/>
                <w:szCs w:val="18"/>
              </w:rPr>
            </w:pPr>
            <w:r w:rsidRPr="00765034">
              <w:rPr>
                <w:rFonts w:eastAsia="Times New Roman"/>
                <w:bCs/>
                <w:color w:val="000000"/>
                <w:sz w:val="18"/>
                <w:szCs w:val="18"/>
              </w:rPr>
              <w:t>Exclusion criteria</w:t>
            </w:r>
          </w:p>
        </w:tc>
        <w:tc>
          <w:tcPr>
            <w:tcW w:w="5752" w:type="dxa"/>
            <w:vAlign w:val="center"/>
          </w:tcPr>
          <w:p w14:paraId="5FC11E7B" w14:textId="77BC4BB5" w:rsidR="0061668B" w:rsidRPr="00765034" w:rsidRDefault="0061668B" w:rsidP="0061668B">
            <w:pPr>
              <w:jc w:val="center"/>
              <w:rPr>
                <w:b/>
                <w:sz w:val="18"/>
                <w:szCs w:val="18"/>
              </w:rPr>
            </w:pPr>
            <w:r w:rsidRPr="00765034">
              <w:rPr>
                <w:rFonts w:eastAsia="Times New Roman"/>
                <w:color w:val="000000"/>
                <w:sz w:val="18"/>
                <w:szCs w:val="18"/>
              </w:rPr>
              <w:t>Unresolved inconsistency, insufficient contextual information, or no definitive concern requiring further review</w:t>
            </w:r>
          </w:p>
        </w:tc>
      </w:tr>
      <w:tr w:rsidR="0061668B" w:rsidRPr="00765034" w14:paraId="76D60988" w14:textId="77777777" w:rsidTr="0061668B">
        <w:trPr>
          <w:jc w:val="center"/>
        </w:trPr>
        <w:tc>
          <w:tcPr>
            <w:tcW w:w="2547" w:type="dxa"/>
            <w:vAlign w:val="center"/>
          </w:tcPr>
          <w:p w14:paraId="4F82CCDB" w14:textId="0DB161CF" w:rsidR="0061668B" w:rsidRPr="00765034" w:rsidRDefault="0061668B" w:rsidP="0061668B">
            <w:pPr>
              <w:jc w:val="center"/>
              <w:rPr>
                <w:bCs/>
                <w:sz w:val="18"/>
                <w:szCs w:val="18"/>
              </w:rPr>
            </w:pPr>
            <w:r w:rsidRPr="00765034">
              <w:rPr>
                <w:rFonts w:eastAsia="Times New Roman"/>
                <w:bCs/>
                <w:color w:val="000000"/>
                <w:sz w:val="18"/>
                <w:szCs w:val="18"/>
              </w:rPr>
              <w:t>Final use</w:t>
            </w:r>
          </w:p>
        </w:tc>
        <w:tc>
          <w:tcPr>
            <w:tcW w:w="5752" w:type="dxa"/>
            <w:vAlign w:val="center"/>
          </w:tcPr>
          <w:p w14:paraId="67F9D7BB" w14:textId="6901E9D6" w:rsidR="0061668B" w:rsidRPr="00765034" w:rsidRDefault="0061668B" w:rsidP="0061668B">
            <w:pPr>
              <w:jc w:val="center"/>
              <w:rPr>
                <w:b/>
                <w:sz w:val="18"/>
                <w:szCs w:val="18"/>
              </w:rPr>
            </w:pPr>
            <w:r w:rsidRPr="00765034">
              <w:rPr>
                <w:rFonts w:eastAsia="Times New Roman"/>
                <w:color w:val="000000"/>
                <w:sz w:val="18"/>
                <w:szCs w:val="18"/>
              </w:rPr>
              <w:t>The 100 accepted abnormal units were used only for augmented challenge-set evaluation and do not represent naturally occurring positive cases or their prevalence</w:t>
            </w:r>
          </w:p>
        </w:tc>
      </w:tr>
    </w:tbl>
    <w:p w14:paraId="60EC8B18" w14:textId="77777777" w:rsidR="0061668B" w:rsidRDefault="0061668B" w:rsidP="00F3759A">
      <w:pPr>
        <w:rPr>
          <w:sz w:val="18"/>
        </w:rPr>
      </w:pPr>
    </w:p>
    <w:p w14:paraId="7BA03A9E" w14:textId="68C60754" w:rsidR="00807EBB" w:rsidRPr="00765034" w:rsidRDefault="00F3759A" w:rsidP="00C9263D">
      <w:pPr>
        <w:pStyle w:val="1"/>
        <w:ind w:left="210" w:right="210"/>
      </w:pPr>
      <w:bookmarkStart w:id="4" w:name="_Toc238946676"/>
      <w:r w:rsidRPr="00765034">
        <w:t xml:space="preserve">Supplementary Methods S3. </w:t>
      </w:r>
      <w:proofErr w:type="spellStart"/>
      <w:r w:rsidRPr="00765034">
        <w:t>NovaMind</w:t>
      </w:r>
      <w:proofErr w:type="spellEnd"/>
      <w:r w:rsidRPr="00765034">
        <w:t xml:space="preserve"> training</w:t>
      </w:r>
      <w:r w:rsidR="0061668B" w:rsidRPr="00765034">
        <w:rPr>
          <w:rFonts w:hint="eastAsia"/>
        </w:rPr>
        <w:t xml:space="preserve"> and</w:t>
      </w:r>
      <w:r w:rsidRPr="00765034">
        <w:t xml:space="preserve"> inference</w:t>
      </w:r>
      <w:r w:rsidR="0061668B" w:rsidRPr="00765034">
        <w:rPr>
          <w:rFonts w:hint="eastAsia"/>
        </w:rPr>
        <w:t xml:space="preserve"> configuration</w:t>
      </w:r>
      <w:bookmarkEnd w:id="4"/>
    </w:p>
    <w:p w14:paraId="5893AFF9" w14:textId="4F826C37" w:rsidR="00F3759A" w:rsidRPr="00765034" w:rsidRDefault="00F3759A" w:rsidP="00765034">
      <w:pPr>
        <w:spacing w:line="360" w:lineRule="auto"/>
        <w:ind w:firstLineChars="200" w:firstLine="480"/>
        <w:rPr>
          <w:sz w:val="24"/>
        </w:rPr>
      </w:pPr>
      <w:proofErr w:type="spellStart"/>
      <w:r w:rsidRPr="00765034">
        <w:rPr>
          <w:rFonts w:hint="eastAsia"/>
          <w:sz w:val="24"/>
        </w:rPr>
        <w:t>N</w:t>
      </w:r>
      <w:r w:rsidRPr="00765034">
        <w:rPr>
          <w:sz w:val="24"/>
        </w:rPr>
        <w:t>ovaMind</w:t>
      </w:r>
      <w:proofErr w:type="spellEnd"/>
      <w:r w:rsidRPr="00765034">
        <w:rPr>
          <w:sz w:val="24"/>
        </w:rPr>
        <w:t xml:space="preserve"> was developed using two-stage supervised fine-tuning. The first stage provided medical-domain adaptation to medical terminology, biochemical relationships, </w:t>
      </w:r>
      <w:r w:rsidRPr="00765034">
        <w:rPr>
          <w:sz w:val="24"/>
        </w:rPr>
        <w:lastRenderedPageBreak/>
        <w:t>and laboratory quality control. The second stage used review units from the retrospective training set to adapt the model to ART hormone-result review. Both stages used low-rank adaptation (</w:t>
      </w:r>
      <w:proofErr w:type="spellStart"/>
      <w:r w:rsidRPr="00765034">
        <w:rPr>
          <w:sz w:val="24"/>
        </w:rPr>
        <w:t>LoRA</w:t>
      </w:r>
      <w:proofErr w:type="spellEnd"/>
      <w:r w:rsidRPr="00765034">
        <w:rPr>
          <w:sz w:val="24"/>
        </w:rPr>
        <w:t xml:space="preserve">) with the </w:t>
      </w:r>
      <w:proofErr w:type="spellStart"/>
      <w:r w:rsidRPr="00765034">
        <w:rPr>
          <w:sz w:val="24"/>
        </w:rPr>
        <w:t>AdamW</w:t>
      </w:r>
      <w:proofErr w:type="spellEnd"/>
      <w:r w:rsidRPr="00765034">
        <w:rPr>
          <w:sz w:val="24"/>
        </w:rPr>
        <w:t xml:space="preserve"> optimizer, an initial learning rate of 2 × 10⁻⁵, cosine-decay scheduling, and three epochs. The final checkpoint was selected primarily on the basis of FNR, with NPV and sensitivity considered as secondary criteria.</w:t>
      </w:r>
    </w:p>
    <w:p w14:paraId="0A3812C5" w14:textId="20F74676" w:rsidR="00D13CB5" w:rsidRPr="00765034" w:rsidRDefault="00F3759A" w:rsidP="00F74D52">
      <w:pPr>
        <w:pStyle w:val="SupplementaryTableCaption"/>
      </w:pPr>
      <w:bookmarkStart w:id="5" w:name="_Toc238946677"/>
      <w:r w:rsidRPr="00765034">
        <w:t xml:space="preserve">Supplementary Table S3. </w:t>
      </w:r>
      <w:proofErr w:type="spellStart"/>
      <w:r w:rsidR="009C5DB5" w:rsidRPr="009C5DB5">
        <w:t>NovaMind</w:t>
      </w:r>
      <w:proofErr w:type="spellEnd"/>
      <w:r w:rsidR="009C5DB5" w:rsidRPr="009C5DB5">
        <w:t xml:space="preserve"> two-stage training configuration</w:t>
      </w:r>
      <w:bookmarkEnd w:id="5"/>
    </w:p>
    <w:tbl>
      <w:tblPr>
        <w:tblStyle w:val="a8"/>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3269"/>
        <w:gridCol w:w="2767"/>
      </w:tblGrid>
      <w:tr w:rsidR="00D13CB5" w:rsidRPr="00765034" w14:paraId="3FF287B8" w14:textId="77777777" w:rsidTr="0023728E">
        <w:trPr>
          <w:jc w:val="center"/>
        </w:trPr>
        <w:tc>
          <w:tcPr>
            <w:tcW w:w="2263" w:type="dxa"/>
            <w:tcBorders>
              <w:top w:val="single" w:sz="12" w:space="0" w:color="auto"/>
              <w:bottom w:val="single" w:sz="6" w:space="0" w:color="auto"/>
            </w:tcBorders>
            <w:vAlign w:val="center"/>
          </w:tcPr>
          <w:p w14:paraId="52358746" w14:textId="54378B66" w:rsidR="00D13CB5" w:rsidRPr="00765034" w:rsidRDefault="00D13CB5" w:rsidP="0023728E">
            <w:pPr>
              <w:jc w:val="center"/>
              <w:rPr>
                <w:rFonts w:cs="Times New Roman"/>
                <w:sz w:val="18"/>
                <w:szCs w:val="18"/>
              </w:rPr>
            </w:pPr>
            <w:r w:rsidRPr="00765034">
              <w:rPr>
                <w:rFonts w:eastAsia="Times New Roman" w:cs="Times New Roman"/>
                <w:b/>
                <w:color w:val="000000"/>
                <w:sz w:val="18"/>
                <w:szCs w:val="18"/>
              </w:rPr>
              <w:t>Parameter</w:t>
            </w:r>
          </w:p>
        </w:tc>
        <w:tc>
          <w:tcPr>
            <w:tcW w:w="3269" w:type="dxa"/>
            <w:tcBorders>
              <w:top w:val="single" w:sz="12" w:space="0" w:color="auto"/>
              <w:bottom w:val="single" w:sz="6" w:space="0" w:color="auto"/>
            </w:tcBorders>
            <w:vAlign w:val="center"/>
          </w:tcPr>
          <w:p w14:paraId="6A9379CB" w14:textId="71EBBA8B" w:rsidR="00D13CB5" w:rsidRPr="00765034" w:rsidRDefault="00D13CB5" w:rsidP="0023728E">
            <w:pPr>
              <w:jc w:val="center"/>
              <w:rPr>
                <w:rFonts w:cs="Times New Roman"/>
                <w:sz w:val="18"/>
                <w:szCs w:val="18"/>
              </w:rPr>
            </w:pPr>
            <w:r w:rsidRPr="00765034">
              <w:rPr>
                <w:rFonts w:eastAsia="Times New Roman" w:cs="Times New Roman"/>
                <w:b/>
                <w:color w:val="000000"/>
                <w:sz w:val="18"/>
                <w:szCs w:val="18"/>
              </w:rPr>
              <w:t>Stage 1</w:t>
            </w:r>
          </w:p>
        </w:tc>
        <w:tc>
          <w:tcPr>
            <w:tcW w:w="2767" w:type="dxa"/>
            <w:tcBorders>
              <w:top w:val="single" w:sz="12" w:space="0" w:color="auto"/>
              <w:bottom w:val="single" w:sz="6" w:space="0" w:color="auto"/>
            </w:tcBorders>
            <w:vAlign w:val="center"/>
          </w:tcPr>
          <w:p w14:paraId="36B45A21" w14:textId="7B605550" w:rsidR="00D13CB5" w:rsidRPr="00765034" w:rsidRDefault="00D13CB5" w:rsidP="0023728E">
            <w:pPr>
              <w:jc w:val="center"/>
              <w:rPr>
                <w:rFonts w:cs="Times New Roman"/>
                <w:sz w:val="18"/>
                <w:szCs w:val="18"/>
              </w:rPr>
            </w:pPr>
            <w:r w:rsidRPr="00765034">
              <w:rPr>
                <w:rFonts w:eastAsia="Times New Roman" w:cs="Times New Roman"/>
                <w:b/>
                <w:color w:val="000000"/>
                <w:sz w:val="18"/>
                <w:szCs w:val="18"/>
              </w:rPr>
              <w:t>Stage 2</w:t>
            </w:r>
          </w:p>
        </w:tc>
      </w:tr>
      <w:tr w:rsidR="0023728E" w:rsidRPr="00765034" w14:paraId="555C617B" w14:textId="77777777" w:rsidTr="0023728E">
        <w:trPr>
          <w:jc w:val="center"/>
        </w:trPr>
        <w:tc>
          <w:tcPr>
            <w:tcW w:w="2263" w:type="dxa"/>
            <w:tcBorders>
              <w:top w:val="single" w:sz="6" w:space="0" w:color="auto"/>
            </w:tcBorders>
            <w:vAlign w:val="center"/>
          </w:tcPr>
          <w:p w14:paraId="564D6E9E" w14:textId="2C8BB661" w:rsidR="0023728E" w:rsidRPr="00765034" w:rsidRDefault="0023728E" w:rsidP="0023728E">
            <w:pPr>
              <w:jc w:val="center"/>
              <w:rPr>
                <w:rFonts w:cs="Times New Roman"/>
                <w:bCs/>
                <w:sz w:val="18"/>
                <w:szCs w:val="18"/>
              </w:rPr>
            </w:pPr>
            <w:r w:rsidRPr="00765034">
              <w:rPr>
                <w:rFonts w:cs="Times New Roman"/>
                <w:bCs/>
                <w:color w:val="000000"/>
                <w:sz w:val="18"/>
                <w:szCs w:val="18"/>
              </w:rPr>
              <w:t>Starting model/checkpoint</w:t>
            </w:r>
          </w:p>
        </w:tc>
        <w:tc>
          <w:tcPr>
            <w:tcW w:w="3269" w:type="dxa"/>
            <w:tcBorders>
              <w:top w:val="single" w:sz="6" w:space="0" w:color="auto"/>
            </w:tcBorders>
            <w:vAlign w:val="center"/>
          </w:tcPr>
          <w:p w14:paraId="739975E4" w14:textId="6B3FE910" w:rsidR="0023728E" w:rsidRPr="00765034" w:rsidRDefault="0023728E" w:rsidP="0023728E">
            <w:pPr>
              <w:jc w:val="center"/>
              <w:rPr>
                <w:rFonts w:cs="Times New Roman"/>
                <w:sz w:val="18"/>
                <w:szCs w:val="18"/>
              </w:rPr>
            </w:pPr>
            <w:r w:rsidRPr="00765034">
              <w:rPr>
                <w:rFonts w:eastAsia="Times New Roman" w:cs="Times New Roman"/>
                <w:color w:val="000000"/>
                <w:sz w:val="18"/>
                <w:szCs w:val="18"/>
              </w:rPr>
              <w:t>Baichuan-M2-32B</w:t>
            </w:r>
          </w:p>
        </w:tc>
        <w:tc>
          <w:tcPr>
            <w:tcW w:w="2767" w:type="dxa"/>
            <w:tcBorders>
              <w:top w:val="single" w:sz="6" w:space="0" w:color="auto"/>
            </w:tcBorders>
            <w:vAlign w:val="center"/>
          </w:tcPr>
          <w:p w14:paraId="614CAB81" w14:textId="709E10FF" w:rsidR="0023728E" w:rsidRPr="00765034" w:rsidRDefault="0023728E" w:rsidP="0023728E">
            <w:pPr>
              <w:jc w:val="center"/>
              <w:rPr>
                <w:rFonts w:cs="Times New Roman"/>
                <w:sz w:val="18"/>
                <w:szCs w:val="18"/>
              </w:rPr>
            </w:pPr>
            <w:r w:rsidRPr="00765034">
              <w:rPr>
                <w:rFonts w:eastAsia="Times New Roman" w:cs="Times New Roman"/>
                <w:color w:val="000000"/>
                <w:sz w:val="18"/>
                <w:szCs w:val="18"/>
              </w:rPr>
              <w:t>Baichuan-M2-32B after medical-domain adaptation</w:t>
            </w:r>
          </w:p>
        </w:tc>
      </w:tr>
      <w:tr w:rsidR="0023728E" w:rsidRPr="00765034" w14:paraId="3A514411" w14:textId="77777777" w:rsidTr="0023728E">
        <w:trPr>
          <w:jc w:val="center"/>
        </w:trPr>
        <w:tc>
          <w:tcPr>
            <w:tcW w:w="2263" w:type="dxa"/>
            <w:vAlign w:val="center"/>
          </w:tcPr>
          <w:p w14:paraId="5414A1EB" w14:textId="488982F0" w:rsidR="0023728E" w:rsidRPr="00765034" w:rsidRDefault="0023728E" w:rsidP="0023728E">
            <w:pPr>
              <w:jc w:val="center"/>
              <w:rPr>
                <w:rFonts w:cs="Times New Roman"/>
                <w:bCs/>
                <w:sz w:val="18"/>
                <w:szCs w:val="18"/>
              </w:rPr>
            </w:pPr>
            <w:r w:rsidRPr="00765034">
              <w:rPr>
                <w:rFonts w:eastAsia="Times New Roman" w:cs="Times New Roman"/>
                <w:bCs/>
                <w:color w:val="000000"/>
                <w:sz w:val="18"/>
                <w:szCs w:val="18"/>
              </w:rPr>
              <w:t>Training objective</w:t>
            </w:r>
          </w:p>
        </w:tc>
        <w:tc>
          <w:tcPr>
            <w:tcW w:w="3269" w:type="dxa"/>
            <w:vAlign w:val="center"/>
          </w:tcPr>
          <w:p w14:paraId="3694A657" w14:textId="5E711A03" w:rsidR="0023728E" w:rsidRPr="00765034" w:rsidRDefault="0023728E" w:rsidP="0023728E">
            <w:pPr>
              <w:jc w:val="center"/>
              <w:rPr>
                <w:rFonts w:cs="Times New Roman"/>
                <w:sz w:val="18"/>
                <w:szCs w:val="18"/>
              </w:rPr>
            </w:pPr>
            <w:r w:rsidRPr="00765034">
              <w:rPr>
                <w:rFonts w:eastAsia="Times New Roman" w:cs="Times New Roman"/>
                <w:color w:val="000000"/>
                <w:sz w:val="18"/>
                <w:szCs w:val="18"/>
              </w:rPr>
              <w:t>Medical-domain adaptation</w:t>
            </w:r>
          </w:p>
        </w:tc>
        <w:tc>
          <w:tcPr>
            <w:tcW w:w="2767" w:type="dxa"/>
            <w:vAlign w:val="center"/>
          </w:tcPr>
          <w:p w14:paraId="7FBE15A4" w14:textId="33FFC35A" w:rsidR="0023728E" w:rsidRPr="00765034" w:rsidRDefault="0023728E" w:rsidP="0023728E">
            <w:pPr>
              <w:jc w:val="center"/>
              <w:rPr>
                <w:rFonts w:cs="Times New Roman"/>
                <w:sz w:val="18"/>
                <w:szCs w:val="18"/>
              </w:rPr>
            </w:pPr>
            <w:r w:rsidRPr="00765034">
              <w:rPr>
                <w:rFonts w:eastAsia="Times New Roman" w:cs="Times New Roman"/>
                <w:color w:val="000000"/>
                <w:sz w:val="18"/>
                <w:szCs w:val="18"/>
              </w:rPr>
              <w:t>Task-specific ART hormone-result review</w:t>
            </w:r>
          </w:p>
        </w:tc>
      </w:tr>
      <w:tr w:rsidR="0023728E" w:rsidRPr="00765034" w14:paraId="3C914AE3" w14:textId="77777777" w:rsidTr="0023728E">
        <w:trPr>
          <w:jc w:val="center"/>
        </w:trPr>
        <w:tc>
          <w:tcPr>
            <w:tcW w:w="2263" w:type="dxa"/>
            <w:vAlign w:val="center"/>
          </w:tcPr>
          <w:p w14:paraId="369B6704" w14:textId="6279697D" w:rsidR="0023728E" w:rsidRPr="00765034" w:rsidRDefault="0023728E" w:rsidP="0023728E">
            <w:pPr>
              <w:jc w:val="center"/>
              <w:rPr>
                <w:rFonts w:eastAsia="Times New Roman" w:cs="Times New Roman"/>
                <w:bCs/>
                <w:color w:val="000000"/>
                <w:sz w:val="18"/>
                <w:szCs w:val="18"/>
              </w:rPr>
            </w:pPr>
            <w:r w:rsidRPr="00765034">
              <w:rPr>
                <w:rFonts w:cs="Times New Roman"/>
                <w:bCs/>
                <w:color w:val="000000"/>
                <w:sz w:val="18"/>
                <w:szCs w:val="18"/>
              </w:rPr>
              <w:t>Resulting model/checkpoint</w:t>
            </w:r>
          </w:p>
        </w:tc>
        <w:tc>
          <w:tcPr>
            <w:tcW w:w="3269" w:type="dxa"/>
            <w:vAlign w:val="center"/>
          </w:tcPr>
          <w:p w14:paraId="02CBDA1A" w14:textId="66D0DB97" w:rsidR="0023728E" w:rsidRPr="00765034" w:rsidRDefault="0023728E" w:rsidP="0023728E">
            <w:pPr>
              <w:jc w:val="center"/>
              <w:rPr>
                <w:rFonts w:eastAsia="Times New Roman" w:cs="Times New Roman"/>
                <w:color w:val="000000"/>
                <w:sz w:val="18"/>
                <w:szCs w:val="18"/>
              </w:rPr>
            </w:pPr>
            <w:r w:rsidRPr="00765034">
              <w:rPr>
                <w:rFonts w:cs="Times New Roman"/>
                <w:color w:val="000000"/>
                <w:sz w:val="18"/>
                <w:szCs w:val="18"/>
              </w:rPr>
              <w:t>Medically adapted Baichuan-M2-32B</w:t>
            </w:r>
          </w:p>
        </w:tc>
        <w:tc>
          <w:tcPr>
            <w:tcW w:w="2767" w:type="dxa"/>
            <w:vAlign w:val="center"/>
          </w:tcPr>
          <w:p w14:paraId="617ABC29" w14:textId="7585215E" w:rsidR="0023728E" w:rsidRPr="00765034" w:rsidRDefault="0023728E" w:rsidP="0023728E">
            <w:pPr>
              <w:jc w:val="center"/>
              <w:rPr>
                <w:rFonts w:eastAsia="Times New Roman" w:cs="Times New Roman"/>
                <w:color w:val="000000"/>
                <w:sz w:val="18"/>
                <w:szCs w:val="18"/>
              </w:rPr>
            </w:pPr>
            <w:proofErr w:type="spellStart"/>
            <w:r w:rsidRPr="00765034">
              <w:rPr>
                <w:rFonts w:cs="Times New Roman"/>
                <w:color w:val="000000"/>
                <w:sz w:val="18"/>
                <w:szCs w:val="18"/>
              </w:rPr>
              <w:t>NovaMind</w:t>
            </w:r>
            <w:proofErr w:type="spellEnd"/>
          </w:p>
        </w:tc>
      </w:tr>
      <w:tr w:rsidR="0023728E" w:rsidRPr="00765034" w14:paraId="7154CD74" w14:textId="77777777" w:rsidTr="0023728E">
        <w:trPr>
          <w:jc w:val="center"/>
        </w:trPr>
        <w:tc>
          <w:tcPr>
            <w:tcW w:w="2263" w:type="dxa"/>
            <w:vAlign w:val="center"/>
          </w:tcPr>
          <w:p w14:paraId="5AAD1405" w14:textId="75F61A80" w:rsidR="0023728E" w:rsidRPr="00765034" w:rsidRDefault="0023728E" w:rsidP="0023728E">
            <w:pPr>
              <w:jc w:val="center"/>
              <w:rPr>
                <w:rFonts w:cs="Times New Roman"/>
                <w:bCs/>
                <w:sz w:val="18"/>
                <w:szCs w:val="18"/>
              </w:rPr>
            </w:pPr>
            <w:r w:rsidRPr="00765034">
              <w:rPr>
                <w:rFonts w:eastAsia="Times New Roman" w:cs="Times New Roman"/>
                <w:bCs/>
                <w:color w:val="000000"/>
                <w:sz w:val="18"/>
                <w:szCs w:val="18"/>
              </w:rPr>
              <w:t>Fine-tuning method</w:t>
            </w:r>
          </w:p>
        </w:tc>
        <w:tc>
          <w:tcPr>
            <w:tcW w:w="3269" w:type="dxa"/>
            <w:vAlign w:val="center"/>
          </w:tcPr>
          <w:p w14:paraId="3CE5E779" w14:textId="7D639349" w:rsidR="0023728E" w:rsidRPr="00765034" w:rsidRDefault="0023728E" w:rsidP="0023728E">
            <w:pPr>
              <w:jc w:val="center"/>
              <w:rPr>
                <w:rFonts w:cs="Times New Roman"/>
                <w:sz w:val="18"/>
                <w:szCs w:val="18"/>
              </w:rPr>
            </w:pPr>
            <w:proofErr w:type="spellStart"/>
            <w:r w:rsidRPr="00765034">
              <w:rPr>
                <w:rFonts w:eastAsia="Times New Roman" w:cs="Times New Roman"/>
                <w:color w:val="000000"/>
                <w:sz w:val="18"/>
                <w:szCs w:val="18"/>
              </w:rPr>
              <w:t>LoRA</w:t>
            </w:r>
            <w:proofErr w:type="spellEnd"/>
          </w:p>
        </w:tc>
        <w:tc>
          <w:tcPr>
            <w:tcW w:w="2767" w:type="dxa"/>
            <w:vAlign w:val="center"/>
          </w:tcPr>
          <w:p w14:paraId="5AEDD6C3" w14:textId="70166236" w:rsidR="0023728E" w:rsidRPr="00765034" w:rsidRDefault="0023728E" w:rsidP="0023728E">
            <w:pPr>
              <w:jc w:val="center"/>
              <w:rPr>
                <w:rFonts w:cs="Times New Roman"/>
                <w:sz w:val="18"/>
                <w:szCs w:val="18"/>
              </w:rPr>
            </w:pPr>
            <w:proofErr w:type="spellStart"/>
            <w:r w:rsidRPr="00765034">
              <w:rPr>
                <w:rFonts w:eastAsia="Times New Roman" w:cs="Times New Roman"/>
                <w:color w:val="000000"/>
                <w:sz w:val="18"/>
                <w:szCs w:val="18"/>
              </w:rPr>
              <w:t>LoRA</w:t>
            </w:r>
            <w:proofErr w:type="spellEnd"/>
          </w:p>
        </w:tc>
      </w:tr>
      <w:tr w:rsidR="0023728E" w:rsidRPr="00765034" w14:paraId="548AEBC7" w14:textId="77777777" w:rsidTr="0023728E">
        <w:trPr>
          <w:jc w:val="center"/>
        </w:trPr>
        <w:tc>
          <w:tcPr>
            <w:tcW w:w="2263" w:type="dxa"/>
            <w:vAlign w:val="center"/>
          </w:tcPr>
          <w:p w14:paraId="5D5ADA71" w14:textId="25C293DA" w:rsidR="0023728E" w:rsidRPr="00765034" w:rsidRDefault="0023728E" w:rsidP="0023728E">
            <w:pPr>
              <w:jc w:val="center"/>
              <w:rPr>
                <w:rFonts w:cs="Times New Roman"/>
                <w:bCs/>
                <w:sz w:val="18"/>
                <w:szCs w:val="18"/>
              </w:rPr>
            </w:pPr>
            <w:proofErr w:type="spellStart"/>
            <w:r w:rsidRPr="00765034">
              <w:rPr>
                <w:rFonts w:eastAsia="Times New Roman" w:cs="Times New Roman"/>
                <w:bCs/>
                <w:color w:val="000000"/>
                <w:sz w:val="18"/>
                <w:szCs w:val="18"/>
              </w:rPr>
              <w:t>LoRA</w:t>
            </w:r>
            <w:proofErr w:type="spellEnd"/>
            <w:r w:rsidRPr="00765034">
              <w:rPr>
                <w:rFonts w:eastAsia="Times New Roman" w:cs="Times New Roman"/>
                <w:bCs/>
                <w:color w:val="000000"/>
                <w:sz w:val="18"/>
                <w:szCs w:val="18"/>
              </w:rPr>
              <w:t xml:space="preserve"> rank / alpha / dropout</w:t>
            </w:r>
          </w:p>
        </w:tc>
        <w:tc>
          <w:tcPr>
            <w:tcW w:w="3269" w:type="dxa"/>
            <w:vAlign w:val="center"/>
          </w:tcPr>
          <w:p w14:paraId="017B1246" w14:textId="34AECAC4" w:rsidR="0023728E" w:rsidRPr="00765034" w:rsidRDefault="0023728E" w:rsidP="0023728E">
            <w:pPr>
              <w:jc w:val="center"/>
              <w:rPr>
                <w:rFonts w:cs="Times New Roman"/>
                <w:sz w:val="18"/>
                <w:szCs w:val="18"/>
              </w:rPr>
            </w:pPr>
            <w:r w:rsidRPr="00765034">
              <w:rPr>
                <w:rFonts w:eastAsia="Times New Roman" w:cs="Times New Roman"/>
                <w:color w:val="000000"/>
                <w:sz w:val="18"/>
                <w:szCs w:val="18"/>
              </w:rPr>
              <w:t>16 / 32 / 0.05</w:t>
            </w:r>
          </w:p>
        </w:tc>
        <w:tc>
          <w:tcPr>
            <w:tcW w:w="2767" w:type="dxa"/>
            <w:vAlign w:val="center"/>
          </w:tcPr>
          <w:p w14:paraId="6978A626" w14:textId="30A5A05D" w:rsidR="0023728E" w:rsidRPr="00765034" w:rsidRDefault="0023728E" w:rsidP="0023728E">
            <w:pPr>
              <w:jc w:val="center"/>
              <w:rPr>
                <w:rFonts w:cs="Times New Roman"/>
                <w:sz w:val="18"/>
                <w:szCs w:val="18"/>
              </w:rPr>
            </w:pPr>
            <w:r w:rsidRPr="00765034">
              <w:rPr>
                <w:rFonts w:eastAsia="Times New Roman" w:cs="Times New Roman"/>
                <w:color w:val="000000"/>
                <w:sz w:val="18"/>
                <w:szCs w:val="18"/>
              </w:rPr>
              <w:t>16 / 32 / 0.05</w:t>
            </w:r>
          </w:p>
        </w:tc>
      </w:tr>
      <w:tr w:rsidR="0023728E" w:rsidRPr="00765034" w14:paraId="3F08E7BA" w14:textId="77777777" w:rsidTr="0023728E">
        <w:trPr>
          <w:jc w:val="center"/>
        </w:trPr>
        <w:tc>
          <w:tcPr>
            <w:tcW w:w="2263" w:type="dxa"/>
            <w:vAlign w:val="center"/>
          </w:tcPr>
          <w:p w14:paraId="70840CC7" w14:textId="5D05DD7C" w:rsidR="0023728E" w:rsidRPr="00765034" w:rsidRDefault="0023728E" w:rsidP="0023728E">
            <w:pPr>
              <w:jc w:val="center"/>
              <w:rPr>
                <w:rFonts w:cs="Times New Roman"/>
                <w:bCs/>
                <w:sz w:val="18"/>
                <w:szCs w:val="18"/>
              </w:rPr>
            </w:pPr>
            <w:r w:rsidRPr="00765034">
              <w:rPr>
                <w:rFonts w:eastAsia="Times New Roman" w:cs="Times New Roman"/>
                <w:bCs/>
                <w:color w:val="000000"/>
                <w:sz w:val="18"/>
                <w:szCs w:val="18"/>
              </w:rPr>
              <w:t>Target modules</w:t>
            </w:r>
          </w:p>
        </w:tc>
        <w:tc>
          <w:tcPr>
            <w:tcW w:w="3269" w:type="dxa"/>
            <w:vAlign w:val="center"/>
          </w:tcPr>
          <w:p w14:paraId="14EB262E" w14:textId="450EC5BF" w:rsidR="0023728E" w:rsidRPr="00765034" w:rsidRDefault="0023728E" w:rsidP="0023728E">
            <w:pPr>
              <w:jc w:val="center"/>
              <w:rPr>
                <w:rFonts w:cs="Times New Roman"/>
                <w:sz w:val="18"/>
                <w:szCs w:val="18"/>
              </w:rPr>
            </w:pPr>
            <w:proofErr w:type="spellStart"/>
            <w:r w:rsidRPr="00765034">
              <w:rPr>
                <w:rFonts w:eastAsia="Times New Roman" w:cs="Times New Roman"/>
                <w:color w:val="000000"/>
                <w:sz w:val="18"/>
                <w:szCs w:val="18"/>
              </w:rPr>
              <w:t>q_proj</w:t>
            </w:r>
            <w:proofErr w:type="spellEnd"/>
            <w:r w:rsidRPr="00765034">
              <w:rPr>
                <w:rFonts w:eastAsia="Times New Roman" w:cs="Times New Roman"/>
                <w:color w:val="000000"/>
                <w:sz w:val="18"/>
                <w:szCs w:val="18"/>
              </w:rPr>
              <w:t xml:space="preserve">, </w:t>
            </w:r>
            <w:proofErr w:type="spellStart"/>
            <w:r w:rsidRPr="00765034">
              <w:rPr>
                <w:rFonts w:eastAsia="Times New Roman" w:cs="Times New Roman"/>
                <w:color w:val="000000"/>
                <w:sz w:val="18"/>
                <w:szCs w:val="18"/>
              </w:rPr>
              <w:t>k_proj</w:t>
            </w:r>
            <w:proofErr w:type="spellEnd"/>
            <w:r w:rsidRPr="00765034">
              <w:rPr>
                <w:rFonts w:eastAsia="Times New Roman" w:cs="Times New Roman"/>
                <w:color w:val="000000"/>
                <w:sz w:val="18"/>
                <w:szCs w:val="18"/>
              </w:rPr>
              <w:t xml:space="preserve">, </w:t>
            </w:r>
            <w:proofErr w:type="spellStart"/>
            <w:r w:rsidRPr="00765034">
              <w:rPr>
                <w:rFonts w:eastAsia="Times New Roman" w:cs="Times New Roman"/>
                <w:color w:val="000000"/>
                <w:sz w:val="18"/>
                <w:szCs w:val="18"/>
              </w:rPr>
              <w:t>v_proj</w:t>
            </w:r>
            <w:proofErr w:type="spellEnd"/>
            <w:r w:rsidRPr="00765034">
              <w:rPr>
                <w:rFonts w:eastAsia="Times New Roman" w:cs="Times New Roman"/>
                <w:color w:val="000000"/>
                <w:sz w:val="18"/>
                <w:szCs w:val="18"/>
              </w:rPr>
              <w:t xml:space="preserve">, </w:t>
            </w:r>
            <w:proofErr w:type="spellStart"/>
            <w:r w:rsidRPr="00765034">
              <w:rPr>
                <w:rFonts w:eastAsia="Times New Roman" w:cs="Times New Roman"/>
                <w:color w:val="000000"/>
                <w:sz w:val="18"/>
                <w:szCs w:val="18"/>
              </w:rPr>
              <w:t>o_proj</w:t>
            </w:r>
            <w:proofErr w:type="spellEnd"/>
            <w:r w:rsidRPr="00765034">
              <w:rPr>
                <w:rFonts w:eastAsia="Times New Roman" w:cs="Times New Roman"/>
                <w:color w:val="000000"/>
                <w:sz w:val="18"/>
                <w:szCs w:val="18"/>
              </w:rPr>
              <w:t xml:space="preserve">, </w:t>
            </w:r>
            <w:proofErr w:type="spellStart"/>
            <w:r w:rsidRPr="00765034">
              <w:rPr>
                <w:rFonts w:eastAsia="Times New Roman" w:cs="Times New Roman"/>
                <w:color w:val="000000"/>
                <w:sz w:val="18"/>
                <w:szCs w:val="18"/>
              </w:rPr>
              <w:t>gate_proj</w:t>
            </w:r>
            <w:proofErr w:type="spellEnd"/>
            <w:r w:rsidRPr="00765034">
              <w:rPr>
                <w:rFonts w:eastAsia="Times New Roman" w:cs="Times New Roman"/>
                <w:color w:val="000000"/>
                <w:sz w:val="18"/>
                <w:szCs w:val="18"/>
              </w:rPr>
              <w:t xml:space="preserve">, </w:t>
            </w:r>
            <w:proofErr w:type="spellStart"/>
            <w:r w:rsidRPr="00765034">
              <w:rPr>
                <w:rFonts w:eastAsia="Times New Roman" w:cs="Times New Roman"/>
                <w:color w:val="000000"/>
                <w:sz w:val="18"/>
                <w:szCs w:val="18"/>
              </w:rPr>
              <w:t>up_proj</w:t>
            </w:r>
            <w:proofErr w:type="spellEnd"/>
            <w:r w:rsidRPr="00765034">
              <w:rPr>
                <w:rFonts w:eastAsia="Times New Roman" w:cs="Times New Roman"/>
                <w:color w:val="000000"/>
                <w:sz w:val="18"/>
                <w:szCs w:val="18"/>
              </w:rPr>
              <w:t xml:space="preserve">, </w:t>
            </w:r>
            <w:proofErr w:type="spellStart"/>
            <w:r w:rsidRPr="00765034">
              <w:rPr>
                <w:rFonts w:eastAsia="Times New Roman" w:cs="Times New Roman"/>
                <w:color w:val="000000"/>
                <w:sz w:val="18"/>
                <w:szCs w:val="18"/>
              </w:rPr>
              <w:t>down_proj</w:t>
            </w:r>
            <w:proofErr w:type="spellEnd"/>
          </w:p>
        </w:tc>
        <w:tc>
          <w:tcPr>
            <w:tcW w:w="2767" w:type="dxa"/>
            <w:vAlign w:val="center"/>
          </w:tcPr>
          <w:p w14:paraId="1C247E2B" w14:textId="62C51936" w:rsidR="0023728E" w:rsidRPr="00765034" w:rsidRDefault="0023728E" w:rsidP="0023728E">
            <w:pPr>
              <w:jc w:val="center"/>
              <w:rPr>
                <w:rFonts w:cs="Times New Roman"/>
                <w:sz w:val="18"/>
                <w:szCs w:val="18"/>
              </w:rPr>
            </w:pPr>
            <w:proofErr w:type="spellStart"/>
            <w:r w:rsidRPr="00765034">
              <w:rPr>
                <w:rFonts w:eastAsia="Times New Roman" w:cs="Times New Roman"/>
                <w:color w:val="000000"/>
                <w:sz w:val="18"/>
                <w:szCs w:val="18"/>
              </w:rPr>
              <w:t>q_proj</w:t>
            </w:r>
            <w:proofErr w:type="spellEnd"/>
            <w:r w:rsidRPr="00765034">
              <w:rPr>
                <w:rFonts w:eastAsia="Times New Roman" w:cs="Times New Roman"/>
                <w:color w:val="000000"/>
                <w:sz w:val="18"/>
                <w:szCs w:val="18"/>
              </w:rPr>
              <w:t xml:space="preserve">, </w:t>
            </w:r>
            <w:proofErr w:type="spellStart"/>
            <w:r w:rsidRPr="00765034">
              <w:rPr>
                <w:rFonts w:eastAsia="Times New Roman" w:cs="Times New Roman"/>
                <w:color w:val="000000"/>
                <w:sz w:val="18"/>
                <w:szCs w:val="18"/>
              </w:rPr>
              <w:t>k_proj</w:t>
            </w:r>
            <w:proofErr w:type="spellEnd"/>
            <w:r w:rsidRPr="00765034">
              <w:rPr>
                <w:rFonts w:eastAsia="Times New Roman" w:cs="Times New Roman"/>
                <w:color w:val="000000"/>
                <w:sz w:val="18"/>
                <w:szCs w:val="18"/>
              </w:rPr>
              <w:t xml:space="preserve">, </w:t>
            </w:r>
            <w:proofErr w:type="spellStart"/>
            <w:r w:rsidRPr="00765034">
              <w:rPr>
                <w:rFonts w:eastAsia="Times New Roman" w:cs="Times New Roman"/>
                <w:color w:val="000000"/>
                <w:sz w:val="18"/>
                <w:szCs w:val="18"/>
              </w:rPr>
              <w:t>v_proj</w:t>
            </w:r>
            <w:proofErr w:type="spellEnd"/>
            <w:r w:rsidRPr="00765034">
              <w:rPr>
                <w:rFonts w:eastAsia="Times New Roman" w:cs="Times New Roman"/>
                <w:color w:val="000000"/>
                <w:sz w:val="18"/>
                <w:szCs w:val="18"/>
              </w:rPr>
              <w:t xml:space="preserve">, </w:t>
            </w:r>
            <w:proofErr w:type="spellStart"/>
            <w:r w:rsidRPr="00765034">
              <w:rPr>
                <w:rFonts w:eastAsia="Times New Roman" w:cs="Times New Roman"/>
                <w:color w:val="000000"/>
                <w:sz w:val="18"/>
                <w:szCs w:val="18"/>
              </w:rPr>
              <w:t>o_proj</w:t>
            </w:r>
            <w:proofErr w:type="spellEnd"/>
            <w:r w:rsidRPr="00765034">
              <w:rPr>
                <w:rFonts w:eastAsia="Times New Roman" w:cs="Times New Roman"/>
                <w:color w:val="000000"/>
                <w:sz w:val="18"/>
                <w:szCs w:val="18"/>
              </w:rPr>
              <w:t xml:space="preserve">, </w:t>
            </w:r>
            <w:proofErr w:type="spellStart"/>
            <w:r w:rsidRPr="00765034">
              <w:rPr>
                <w:rFonts w:eastAsia="Times New Roman" w:cs="Times New Roman"/>
                <w:color w:val="000000"/>
                <w:sz w:val="18"/>
                <w:szCs w:val="18"/>
              </w:rPr>
              <w:t>gate_proj</w:t>
            </w:r>
            <w:proofErr w:type="spellEnd"/>
            <w:r w:rsidRPr="00765034">
              <w:rPr>
                <w:rFonts w:eastAsia="Times New Roman" w:cs="Times New Roman"/>
                <w:color w:val="000000"/>
                <w:sz w:val="18"/>
                <w:szCs w:val="18"/>
              </w:rPr>
              <w:t xml:space="preserve">, </w:t>
            </w:r>
            <w:proofErr w:type="spellStart"/>
            <w:r w:rsidRPr="00765034">
              <w:rPr>
                <w:rFonts w:eastAsia="Times New Roman" w:cs="Times New Roman"/>
                <w:color w:val="000000"/>
                <w:sz w:val="18"/>
                <w:szCs w:val="18"/>
              </w:rPr>
              <w:t>up_proj</w:t>
            </w:r>
            <w:proofErr w:type="spellEnd"/>
            <w:r w:rsidRPr="00765034">
              <w:rPr>
                <w:rFonts w:eastAsia="Times New Roman" w:cs="Times New Roman"/>
                <w:color w:val="000000"/>
                <w:sz w:val="18"/>
                <w:szCs w:val="18"/>
              </w:rPr>
              <w:t xml:space="preserve">, </w:t>
            </w:r>
            <w:proofErr w:type="spellStart"/>
            <w:r w:rsidRPr="00765034">
              <w:rPr>
                <w:rFonts w:eastAsia="Times New Roman" w:cs="Times New Roman"/>
                <w:color w:val="000000"/>
                <w:sz w:val="18"/>
                <w:szCs w:val="18"/>
              </w:rPr>
              <w:t>down_proj</w:t>
            </w:r>
            <w:proofErr w:type="spellEnd"/>
          </w:p>
        </w:tc>
      </w:tr>
      <w:tr w:rsidR="0023728E" w:rsidRPr="00765034" w14:paraId="4A8D7194" w14:textId="77777777" w:rsidTr="0023728E">
        <w:trPr>
          <w:jc w:val="center"/>
        </w:trPr>
        <w:tc>
          <w:tcPr>
            <w:tcW w:w="2263" w:type="dxa"/>
            <w:vAlign w:val="center"/>
          </w:tcPr>
          <w:p w14:paraId="53AE9593" w14:textId="3E650AE1" w:rsidR="0023728E" w:rsidRPr="00765034" w:rsidRDefault="0023728E" w:rsidP="0023728E">
            <w:pPr>
              <w:jc w:val="center"/>
              <w:rPr>
                <w:rFonts w:cs="Times New Roman"/>
                <w:bCs/>
                <w:sz w:val="18"/>
                <w:szCs w:val="18"/>
              </w:rPr>
            </w:pPr>
            <w:r w:rsidRPr="00765034">
              <w:rPr>
                <w:rFonts w:eastAsia="Times New Roman" w:cs="Times New Roman"/>
                <w:bCs/>
                <w:color w:val="000000"/>
                <w:sz w:val="18"/>
                <w:szCs w:val="18"/>
              </w:rPr>
              <w:t>Optimizer</w:t>
            </w:r>
          </w:p>
        </w:tc>
        <w:tc>
          <w:tcPr>
            <w:tcW w:w="3269" w:type="dxa"/>
            <w:vAlign w:val="center"/>
          </w:tcPr>
          <w:p w14:paraId="6BACFB6C" w14:textId="455F208C" w:rsidR="0023728E" w:rsidRPr="00765034" w:rsidRDefault="0023728E" w:rsidP="0023728E">
            <w:pPr>
              <w:jc w:val="center"/>
              <w:rPr>
                <w:rFonts w:cs="Times New Roman"/>
                <w:sz w:val="18"/>
                <w:szCs w:val="18"/>
              </w:rPr>
            </w:pPr>
            <w:proofErr w:type="spellStart"/>
            <w:r w:rsidRPr="00765034">
              <w:rPr>
                <w:rFonts w:eastAsia="Times New Roman" w:cs="Times New Roman"/>
                <w:color w:val="000000"/>
                <w:sz w:val="18"/>
                <w:szCs w:val="18"/>
              </w:rPr>
              <w:t>AdamW</w:t>
            </w:r>
            <w:proofErr w:type="spellEnd"/>
          </w:p>
        </w:tc>
        <w:tc>
          <w:tcPr>
            <w:tcW w:w="2767" w:type="dxa"/>
            <w:vAlign w:val="center"/>
          </w:tcPr>
          <w:p w14:paraId="663641F6" w14:textId="6D706749" w:rsidR="0023728E" w:rsidRPr="00765034" w:rsidRDefault="0023728E" w:rsidP="0023728E">
            <w:pPr>
              <w:jc w:val="center"/>
              <w:rPr>
                <w:rFonts w:cs="Times New Roman"/>
                <w:sz w:val="18"/>
                <w:szCs w:val="18"/>
              </w:rPr>
            </w:pPr>
            <w:proofErr w:type="spellStart"/>
            <w:r w:rsidRPr="00765034">
              <w:rPr>
                <w:rFonts w:eastAsia="Times New Roman" w:cs="Times New Roman"/>
                <w:color w:val="000000"/>
                <w:sz w:val="18"/>
                <w:szCs w:val="18"/>
              </w:rPr>
              <w:t>AdamW</w:t>
            </w:r>
            <w:proofErr w:type="spellEnd"/>
          </w:p>
        </w:tc>
      </w:tr>
      <w:tr w:rsidR="0023728E" w:rsidRPr="00765034" w14:paraId="1A01299E" w14:textId="77777777" w:rsidTr="0023728E">
        <w:trPr>
          <w:jc w:val="center"/>
        </w:trPr>
        <w:tc>
          <w:tcPr>
            <w:tcW w:w="2263" w:type="dxa"/>
            <w:vAlign w:val="center"/>
          </w:tcPr>
          <w:p w14:paraId="2F4B143B" w14:textId="0C373FDA" w:rsidR="0023728E" w:rsidRPr="00765034" w:rsidRDefault="0023728E" w:rsidP="0023728E">
            <w:pPr>
              <w:jc w:val="center"/>
              <w:rPr>
                <w:rFonts w:cs="Times New Roman"/>
                <w:bCs/>
                <w:sz w:val="18"/>
                <w:szCs w:val="18"/>
              </w:rPr>
            </w:pPr>
            <w:r w:rsidRPr="00765034">
              <w:rPr>
                <w:rFonts w:eastAsia="Times New Roman" w:cs="Times New Roman"/>
                <w:bCs/>
                <w:color w:val="000000"/>
                <w:sz w:val="18"/>
                <w:szCs w:val="18"/>
              </w:rPr>
              <w:t>Learning rate</w:t>
            </w:r>
          </w:p>
        </w:tc>
        <w:tc>
          <w:tcPr>
            <w:tcW w:w="3269" w:type="dxa"/>
            <w:vAlign w:val="center"/>
          </w:tcPr>
          <w:p w14:paraId="6E53F0A0" w14:textId="3E994A10" w:rsidR="0023728E" w:rsidRPr="00765034" w:rsidRDefault="0023728E" w:rsidP="0023728E">
            <w:pPr>
              <w:jc w:val="center"/>
              <w:rPr>
                <w:rFonts w:cs="Times New Roman"/>
                <w:sz w:val="18"/>
                <w:szCs w:val="18"/>
              </w:rPr>
            </w:pPr>
            <w:r w:rsidRPr="00765034">
              <w:rPr>
                <w:rFonts w:eastAsia="Times New Roman" w:cs="Times New Roman"/>
                <w:color w:val="000000"/>
                <w:sz w:val="18"/>
                <w:szCs w:val="18"/>
              </w:rPr>
              <w:t>2 × 10⁻⁵</w:t>
            </w:r>
          </w:p>
        </w:tc>
        <w:tc>
          <w:tcPr>
            <w:tcW w:w="2767" w:type="dxa"/>
            <w:vAlign w:val="center"/>
          </w:tcPr>
          <w:p w14:paraId="2543181F" w14:textId="19BB26AD" w:rsidR="0023728E" w:rsidRPr="00765034" w:rsidRDefault="0023728E" w:rsidP="0023728E">
            <w:pPr>
              <w:jc w:val="center"/>
              <w:rPr>
                <w:rFonts w:cs="Times New Roman"/>
                <w:sz w:val="18"/>
                <w:szCs w:val="18"/>
              </w:rPr>
            </w:pPr>
            <w:r w:rsidRPr="00765034">
              <w:rPr>
                <w:rFonts w:eastAsia="Times New Roman" w:cs="Times New Roman"/>
                <w:color w:val="000000"/>
                <w:sz w:val="18"/>
                <w:szCs w:val="18"/>
              </w:rPr>
              <w:t>2 × 10⁻⁵</w:t>
            </w:r>
          </w:p>
        </w:tc>
      </w:tr>
      <w:tr w:rsidR="0023728E" w:rsidRPr="00765034" w14:paraId="482B7F18" w14:textId="77777777" w:rsidTr="0023728E">
        <w:trPr>
          <w:jc w:val="center"/>
        </w:trPr>
        <w:tc>
          <w:tcPr>
            <w:tcW w:w="2263" w:type="dxa"/>
            <w:vAlign w:val="center"/>
          </w:tcPr>
          <w:p w14:paraId="5BAF55B2" w14:textId="4C14F0AE" w:rsidR="0023728E" w:rsidRPr="00765034" w:rsidRDefault="0023728E" w:rsidP="0023728E">
            <w:pPr>
              <w:jc w:val="center"/>
              <w:rPr>
                <w:rFonts w:eastAsia="Times New Roman" w:cs="Times New Roman"/>
                <w:bCs/>
                <w:color w:val="000000"/>
                <w:sz w:val="18"/>
                <w:szCs w:val="18"/>
              </w:rPr>
            </w:pPr>
            <w:r w:rsidRPr="00765034">
              <w:rPr>
                <w:rFonts w:eastAsia="Times New Roman" w:cs="Times New Roman"/>
                <w:bCs/>
                <w:color w:val="000000"/>
                <w:sz w:val="18"/>
                <w:szCs w:val="18"/>
              </w:rPr>
              <w:t>Schedule</w:t>
            </w:r>
          </w:p>
        </w:tc>
        <w:tc>
          <w:tcPr>
            <w:tcW w:w="3269" w:type="dxa"/>
            <w:vAlign w:val="center"/>
          </w:tcPr>
          <w:p w14:paraId="70776B06" w14:textId="5A6230C1" w:rsidR="0023728E" w:rsidRPr="00765034" w:rsidRDefault="0023728E" w:rsidP="0023728E">
            <w:pPr>
              <w:jc w:val="center"/>
              <w:rPr>
                <w:rFonts w:eastAsia="Times New Roman" w:cs="Times New Roman"/>
                <w:color w:val="000000"/>
                <w:sz w:val="18"/>
                <w:szCs w:val="18"/>
              </w:rPr>
            </w:pPr>
            <w:r w:rsidRPr="00765034">
              <w:rPr>
                <w:rFonts w:eastAsia="Times New Roman" w:cs="Times New Roman"/>
                <w:color w:val="000000"/>
                <w:sz w:val="18"/>
                <w:szCs w:val="18"/>
              </w:rPr>
              <w:t>Cosine decay with warm-up</w:t>
            </w:r>
          </w:p>
        </w:tc>
        <w:tc>
          <w:tcPr>
            <w:tcW w:w="2767" w:type="dxa"/>
            <w:vAlign w:val="center"/>
          </w:tcPr>
          <w:p w14:paraId="3051AB75" w14:textId="03F54B63" w:rsidR="0023728E" w:rsidRPr="00765034" w:rsidRDefault="0023728E" w:rsidP="0023728E">
            <w:pPr>
              <w:jc w:val="center"/>
              <w:rPr>
                <w:rFonts w:eastAsia="Times New Roman" w:cs="Times New Roman"/>
                <w:color w:val="000000"/>
                <w:sz w:val="18"/>
                <w:szCs w:val="18"/>
              </w:rPr>
            </w:pPr>
            <w:r w:rsidRPr="00765034">
              <w:rPr>
                <w:rFonts w:eastAsia="Times New Roman" w:cs="Times New Roman"/>
                <w:color w:val="000000"/>
                <w:sz w:val="18"/>
                <w:szCs w:val="18"/>
              </w:rPr>
              <w:t>Cosine decay with warm-up</w:t>
            </w:r>
          </w:p>
        </w:tc>
      </w:tr>
      <w:tr w:rsidR="0023728E" w:rsidRPr="00765034" w14:paraId="5D0A1278" w14:textId="77777777" w:rsidTr="0023728E">
        <w:trPr>
          <w:jc w:val="center"/>
        </w:trPr>
        <w:tc>
          <w:tcPr>
            <w:tcW w:w="2263" w:type="dxa"/>
            <w:vAlign w:val="center"/>
          </w:tcPr>
          <w:p w14:paraId="47B7A285" w14:textId="7459BE53" w:rsidR="0023728E" w:rsidRPr="00765034" w:rsidRDefault="0023728E" w:rsidP="0023728E">
            <w:pPr>
              <w:jc w:val="center"/>
              <w:rPr>
                <w:rFonts w:eastAsia="Times New Roman" w:cs="Times New Roman"/>
                <w:bCs/>
                <w:color w:val="000000"/>
                <w:sz w:val="18"/>
                <w:szCs w:val="18"/>
              </w:rPr>
            </w:pPr>
            <w:r w:rsidRPr="00765034">
              <w:rPr>
                <w:rFonts w:eastAsia="Times New Roman" w:cs="Times New Roman"/>
                <w:bCs/>
                <w:color w:val="000000"/>
                <w:sz w:val="18"/>
                <w:szCs w:val="18"/>
              </w:rPr>
              <w:t>Epochs</w:t>
            </w:r>
          </w:p>
        </w:tc>
        <w:tc>
          <w:tcPr>
            <w:tcW w:w="3269" w:type="dxa"/>
            <w:vAlign w:val="center"/>
          </w:tcPr>
          <w:p w14:paraId="6AE2AA3F" w14:textId="31E75A2F" w:rsidR="0023728E" w:rsidRPr="00765034" w:rsidRDefault="0023728E" w:rsidP="0023728E">
            <w:pPr>
              <w:jc w:val="center"/>
              <w:rPr>
                <w:rFonts w:eastAsia="Times New Roman" w:cs="Times New Roman"/>
                <w:color w:val="000000"/>
                <w:sz w:val="18"/>
                <w:szCs w:val="18"/>
              </w:rPr>
            </w:pPr>
            <w:r w:rsidRPr="00765034">
              <w:rPr>
                <w:rFonts w:eastAsia="Times New Roman" w:cs="Times New Roman"/>
                <w:color w:val="000000"/>
                <w:sz w:val="18"/>
                <w:szCs w:val="18"/>
              </w:rPr>
              <w:t>3</w:t>
            </w:r>
          </w:p>
        </w:tc>
        <w:tc>
          <w:tcPr>
            <w:tcW w:w="2767" w:type="dxa"/>
            <w:vAlign w:val="center"/>
          </w:tcPr>
          <w:p w14:paraId="14AA1C3D" w14:textId="137B836F" w:rsidR="0023728E" w:rsidRPr="00765034" w:rsidRDefault="0023728E" w:rsidP="0023728E">
            <w:pPr>
              <w:jc w:val="center"/>
              <w:rPr>
                <w:rFonts w:eastAsia="Times New Roman" w:cs="Times New Roman"/>
                <w:color w:val="000000"/>
                <w:sz w:val="18"/>
                <w:szCs w:val="18"/>
              </w:rPr>
            </w:pPr>
            <w:r w:rsidRPr="00765034">
              <w:rPr>
                <w:rFonts w:eastAsia="Times New Roman" w:cs="Times New Roman"/>
                <w:color w:val="000000"/>
                <w:sz w:val="18"/>
                <w:szCs w:val="18"/>
              </w:rPr>
              <w:t>3</w:t>
            </w:r>
          </w:p>
        </w:tc>
      </w:tr>
      <w:tr w:rsidR="0023728E" w:rsidRPr="00765034" w14:paraId="4B3E6ED5" w14:textId="77777777" w:rsidTr="0023728E">
        <w:trPr>
          <w:jc w:val="center"/>
        </w:trPr>
        <w:tc>
          <w:tcPr>
            <w:tcW w:w="2263" w:type="dxa"/>
            <w:vAlign w:val="center"/>
          </w:tcPr>
          <w:p w14:paraId="66737C47" w14:textId="046E024F" w:rsidR="0023728E" w:rsidRPr="00765034" w:rsidRDefault="0023728E" w:rsidP="0023728E">
            <w:pPr>
              <w:jc w:val="center"/>
              <w:rPr>
                <w:rFonts w:eastAsia="Times New Roman" w:cs="Times New Roman"/>
                <w:bCs/>
                <w:color w:val="000000"/>
                <w:sz w:val="18"/>
                <w:szCs w:val="18"/>
              </w:rPr>
            </w:pPr>
            <w:proofErr w:type="spellStart"/>
            <w:r w:rsidRPr="00765034">
              <w:rPr>
                <w:rFonts w:eastAsia="Times New Roman" w:cs="Times New Roman"/>
                <w:bCs/>
                <w:color w:val="000000"/>
                <w:sz w:val="18"/>
                <w:szCs w:val="18"/>
              </w:rPr>
              <w:t>Microbatch</w:t>
            </w:r>
            <w:proofErr w:type="spellEnd"/>
            <w:r w:rsidRPr="00765034">
              <w:rPr>
                <w:rFonts w:eastAsia="Times New Roman" w:cs="Times New Roman"/>
                <w:bCs/>
                <w:color w:val="000000"/>
                <w:sz w:val="18"/>
                <w:szCs w:val="18"/>
              </w:rPr>
              <w:t xml:space="preserve"> / gradient accumulation</w:t>
            </w:r>
          </w:p>
        </w:tc>
        <w:tc>
          <w:tcPr>
            <w:tcW w:w="3269" w:type="dxa"/>
            <w:vAlign w:val="center"/>
          </w:tcPr>
          <w:p w14:paraId="7773A534" w14:textId="0B5B4108" w:rsidR="0023728E" w:rsidRPr="00765034" w:rsidRDefault="0023728E" w:rsidP="0023728E">
            <w:pPr>
              <w:jc w:val="center"/>
              <w:rPr>
                <w:rFonts w:eastAsia="Times New Roman" w:cs="Times New Roman"/>
                <w:color w:val="000000"/>
                <w:sz w:val="18"/>
                <w:szCs w:val="18"/>
              </w:rPr>
            </w:pPr>
            <w:r w:rsidRPr="00765034">
              <w:rPr>
                <w:rFonts w:eastAsia="Times New Roman" w:cs="Times New Roman"/>
                <w:color w:val="000000"/>
                <w:sz w:val="18"/>
                <w:szCs w:val="18"/>
              </w:rPr>
              <w:t>1 per GPU / 8</w:t>
            </w:r>
          </w:p>
        </w:tc>
        <w:tc>
          <w:tcPr>
            <w:tcW w:w="2767" w:type="dxa"/>
            <w:vAlign w:val="center"/>
          </w:tcPr>
          <w:p w14:paraId="2A95ADEF" w14:textId="46DA8973" w:rsidR="0023728E" w:rsidRPr="00765034" w:rsidRDefault="0023728E" w:rsidP="0023728E">
            <w:pPr>
              <w:jc w:val="center"/>
              <w:rPr>
                <w:rFonts w:eastAsia="Times New Roman" w:cs="Times New Roman"/>
                <w:color w:val="000000"/>
                <w:sz w:val="18"/>
                <w:szCs w:val="18"/>
              </w:rPr>
            </w:pPr>
            <w:r w:rsidRPr="00765034">
              <w:rPr>
                <w:rFonts w:eastAsia="Times New Roman" w:cs="Times New Roman"/>
                <w:color w:val="000000"/>
                <w:sz w:val="18"/>
                <w:szCs w:val="18"/>
              </w:rPr>
              <w:t>1 per GPU / 8</w:t>
            </w:r>
          </w:p>
        </w:tc>
      </w:tr>
      <w:tr w:rsidR="0023728E" w:rsidRPr="00765034" w14:paraId="3CED51E8" w14:textId="77777777" w:rsidTr="0023728E">
        <w:trPr>
          <w:jc w:val="center"/>
        </w:trPr>
        <w:tc>
          <w:tcPr>
            <w:tcW w:w="2263" w:type="dxa"/>
            <w:vAlign w:val="center"/>
          </w:tcPr>
          <w:p w14:paraId="352EC662" w14:textId="48D7EDCC" w:rsidR="0023728E" w:rsidRPr="00765034" w:rsidRDefault="0023728E" w:rsidP="0023728E">
            <w:pPr>
              <w:jc w:val="center"/>
              <w:rPr>
                <w:rFonts w:eastAsia="Times New Roman" w:cs="Times New Roman"/>
                <w:bCs/>
                <w:color w:val="000000"/>
                <w:sz w:val="18"/>
                <w:szCs w:val="18"/>
              </w:rPr>
            </w:pPr>
            <w:r w:rsidRPr="00765034">
              <w:rPr>
                <w:rFonts w:eastAsia="Times New Roman" w:cs="Times New Roman"/>
                <w:bCs/>
                <w:color w:val="000000"/>
                <w:sz w:val="18"/>
                <w:szCs w:val="18"/>
              </w:rPr>
              <w:t>Effective batch size</w:t>
            </w:r>
          </w:p>
        </w:tc>
        <w:tc>
          <w:tcPr>
            <w:tcW w:w="3269" w:type="dxa"/>
            <w:vAlign w:val="center"/>
          </w:tcPr>
          <w:p w14:paraId="5E7D71BF" w14:textId="1ECA8FF7" w:rsidR="0023728E" w:rsidRPr="00765034" w:rsidRDefault="0023728E" w:rsidP="0023728E">
            <w:pPr>
              <w:jc w:val="center"/>
              <w:rPr>
                <w:rFonts w:eastAsia="Times New Roman" w:cs="Times New Roman"/>
                <w:color w:val="000000"/>
                <w:sz w:val="18"/>
                <w:szCs w:val="18"/>
              </w:rPr>
            </w:pPr>
            <w:r w:rsidRPr="00765034">
              <w:rPr>
                <w:rFonts w:eastAsia="Times New Roman" w:cs="Times New Roman"/>
                <w:color w:val="000000"/>
                <w:sz w:val="18"/>
                <w:szCs w:val="18"/>
              </w:rPr>
              <w:t>64</w:t>
            </w:r>
          </w:p>
        </w:tc>
        <w:tc>
          <w:tcPr>
            <w:tcW w:w="2767" w:type="dxa"/>
            <w:vAlign w:val="center"/>
          </w:tcPr>
          <w:p w14:paraId="0D81858E" w14:textId="5C01BCF0" w:rsidR="0023728E" w:rsidRPr="00765034" w:rsidRDefault="0023728E" w:rsidP="0023728E">
            <w:pPr>
              <w:jc w:val="center"/>
              <w:rPr>
                <w:rFonts w:eastAsia="Times New Roman" w:cs="Times New Roman"/>
                <w:color w:val="000000"/>
                <w:sz w:val="18"/>
                <w:szCs w:val="18"/>
              </w:rPr>
            </w:pPr>
            <w:r w:rsidRPr="00765034">
              <w:rPr>
                <w:rFonts w:eastAsia="Times New Roman" w:cs="Times New Roman"/>
                <w:color w:val="000000"/>
                <w:sz w:val="18"/>
                <w:szCs w:val="18"/>
              </w:rPr>
              <w:t>64</w:t>
            </w:r>
          </w:p>
        </w:tc>
      </w:tr>
      <w:tr w:rsidR="0023728E" w:rsidRPr="00765034" w14:paraId="66AE5669" w14:textId="77777777" w:rsidTr="0023728E">
        <w:trPr>
          <w:jc w:val="center"/>
        </w:trPr>
        <w:tc>
          <w:tcPr>
            <w:tcW w:w="2263" w:type="dxa"/>
            <w:vAlign w:val="center"/>
          </w:tcPr>
          <w:p w14:paraId="776C0965" w14:textId="49BA2498" w:rsidR="0023728E" w:rsidRPr="00765034" w:rsidRDefault="0023728E" w:rsidP="0023728E">
            <w:pPr>
              <w:jc w:val="center"/>
              <w:rPr>
                <w:rFonts w:eastAsia="Times New Roman" w:cs="Times New Roman"/>
                <w:bCs/>
                <w:color w:val="000000"/>
                <w:sz w:val="18"/>
                <w:szCs w:val="18"/>
              </w:rPr>
            </w:pPr>
            <w:r w:rsidRPr="00765034">
              <w:rPr>
                <w:rFonts w:eastAsia="Times New Roman" w:cs="Times New Roman"/>
                <w:bCs/>
                <w:color w:val="000000"/>
                <w:sz w:val="18"/>
                <w:szCs w:val="18"/>
              </w:rPr>
              <w:t>Maximum input length</w:t>
            </w:r>
          </w:p>
        </w:tc>
        <w:tc>
          <w:tcPr>
            <w:tcW w:w="3269" w:type="dxa"/>
            <w:vAlign w:val="center"/>
          </w:tcPr>
          <w:p w14:paraId="06B158E9" w14:textId="051ABA28" w:rsidR="0023728E" w:rsidRPr="00765034" w:rsidRDefault="0023728E" w:rsidP="0023728E">
            <w:pPr>
              <w:jc w:val="center"/>
              <w:rPr>
                <w:rFonts w:eastAsia="Times New Roman" w:cs="Times New Roman"/>
                <w:color w:val="000000"/>
                <w:sz w:val="18"/>
                <w:szCs w:val="18"/>
              </w:rPr>
            </w:pPr>
            <w:r w:rsidRPr="00765034">
              <w:rPr>
                <w:rFonts w:eastAsia="Times New Roman" w:cs="Times New Roman"/>
                <w:color w:val="000000"/>
                <w:sz w:val="18"/>
                <w:szCs w:val="18"/>
              </w:rPr>
              <w:t>4,096 tokens</w:t>
            </w:r>
          </w:p>
        </w:tc>
        <w:tc>
          <w:tcPr>
            <w:tcW w:w="2767" w:type="dxa"/>
            <w:vAlign w:val="center"/>
          </w:tcPr>
          <w:p w14:paraId="5CACA7CD" w14:textId="6D644953" w:rsidR="0023728E" w:rsidRPr="00765034" w:rsidRDefault="0023728E" w:rsidP="0023728E">
            <w:pPr>
              <w:jc w:val="center"/>
              <w:rPr>
                <w:rFonts w:eastAsia="Times New Roman" w:cs="Times New Roman"/>
                <w:color w:val="000000"/>
                <w:sz w:val="18"/>
                <w:szCs w:val="18"/>
              </w:rPr>
            </w:pPr>
            <w:r w:rsidRPr="00765034">
              <w:rPr>
                <w:rFonts w:eastAsia="Times New Roman" w:cs="Times New Roman"/>
                <w:color w:val="000000"/>
                <w:sz w:val="18"/>
                <w:szCs w:val="18"/>
              </w:rPr>
              <w:t>4,096 tokens</w:t>
            </w:r>
          </w:p>
        </w:tc>
      </w:tr>
      <w:tr w:rsidR="0023728E" w:rsidRPr="00765034" w14:paraId="0DB961A1" w14:textId="77777777" w:rsidTr="0023728E">
        <w:trPr>
          <w:jc w:val="center"/>
        </w:trPr>
        <w:tc>
          <w:tcPr>
            <w:tcW w:w="2263" w:type="dxa"/>
            <w:vAlign w:val="center"/>
          </w:tcPr>
          <w:p w14:paraId="4935EC69" w14:textId="3B5DE938" w:rsidR="0023728E" w:rsidRPr="00765034" w:rsidRDefault="0023728E" w:rsidP="0023728E">
            <w:pPr>
              <w:jc w:val="center"/>
              <w:rPr>
                <w:rFonts w:eastAsia="Times New Roman" w:cs="Times New Roman"/>
                <w:bCs/>
                <w:color w:val="000000"/>
                <w:sz w:val="18"/>
                <w:szCs w:val="18"/>
              </w:rPr>
            </w:pPr>
            <w:r w:rsidRPr="00765034">
              <w:rPr>
                <w:rFonts w:eastAsia="Times New Roman" w:cs="Times New Roman"/>
                <w:bCs/>
                <w:color w:val="000000"/>
                <w:sz w:val="18"/>
                <w:szCs w:val="18"/>
              </w:rPr>
              <w:t>Numerical precision</w:t>
            </w:r>
          </w:p>
        </w:tc>
        <w:tc>
          <w:tcPr>
            <w:tcW w:w="3269" w:type="dxa"/>
            <w:vAlign w:val="center"/>
          </w:tcPr>
          <w:p w14:paraId="34BB520F" w14:textId="1CC8CAC2" w:rsidR="0023728E" w:rsidRPr="00765034" w:rsidRDefault="0023728E" w:rsidP="0023728E">
            <w:pPr>
              <w:jc w:val="center"/>
              <w:rPr>
                <w:rFonts w:eastAsia="Times New Roman" w:cs="Times New Roman"/>
                <w:color w:val="000000"/>
                <w:sz w:val="18"/>
                <w:szCs w:val="18"/>
              </w:rPr>
            </w:pPr>
            <w:r w:rsidRPr="00765034">
              <w:rPr>
                <w:rFonts w:eastAsia="Times New Roman" w:cs="Times New Roman"/>
                <w:color w:val="000000"/>
                <w:sz w:val="18"/>
                <w:szCs w:val="18"/>
              </w:rPr>
              <w:t>FP16</w:t>
            </w:r>
          </w:p>
        </w:tc>
        <w:tc>
          <w:tcPr>
            <w:tcW w:w="2767" w:type="dxa"/>
            <w:vAlign w:val="center"/>
          </w:tcPr>
          <w:p w14:paraId="1147E218" w14:textId="5E173DE8" w:rsidR="0023728E" w:rsidRPr="00765034" w:rsidRDefault="0023728E" w:rsidP="0023728E">
            <w:pPr>
              <w:jc w:val="center"/>
              <w:rPr>
                <w:rFonts w:eastAsia="Times New Roman" w:cs="Times New Roman"/>
                <w:color w:val="000000"/>
                <w:sz w:val="18"/>
                <w:szCs w:val="18"/>
              </w:rPr>
            </w:pPr>
            <w:r w:rsidRPr="00765034">
              <w:rPr>
                <w:rFonts w:eastAsia="Times New Roman" w:cs="Times New Roman"/>
                <w:color w:val="000000"/>
                <w:sz w:val="18"/>
                <w:szCs w:val="18"/>
              </w:rPr>
              <w:t>FP16</w:t>
            </w:r>
          </w:p>
        </w:tc>
      </w:tr>
      <w:tr w:rsidR="0023728E" w:rsidRPr="00765034" w14:paraId="67BB8A15" w14:textId="77777777" w:rsidTr="0023728E">
        <w:trPr>
          <w:jc w:val="center"/>
        </w:trPr>
        <w:tc>
          <w:tcPr>
            <w:tcW w:w="2263" w:type="dxa"/>
            <w:vAlign w:val="center"/>
          </w:tcPr>
          <w:p w14:paraId="1BE305BA" w14:textId="3CAEC76C" w:rsidR="0023728E" w:rsidRPr="00765034" w:rsidRDefault="0023728E" w:rsidP="0023728E">
            <w:pPr>
              <w:jc w:val="center"/>
              <w:rPr>
                <w:rFonts w:eastAsia="Times New Roman" w:cs="Times New Roman"/>
                <w:bCs/>
                <w:color w:val="000000"/>
                <w:sz w:val="18"/>
                <w:szCs w:val="18"/>
              </w:rPr>
            </w:pPr>
            <w:r w:rsidRPr="00765034">
              <w:rPr>
                <w:rFonts w:eastAsia="Times New Roman" w:cs="Times New Roman"/>
                <w:bCs/>
                <w:color w:val="000000"/>
                <w:sz w:val="18"/>
                <w:szCs w:val="18"/>
              </w:rPr>
              <w:t>Random seed</w:t>
            </w:r>
          </w:p>
        </w:tc>
        <w:tc>
          <w:tcPr>
            <w:tcW w:w="3269" w:type="dxa"/>
            <w:vAlign w:val="center"/>
          </w:tcPr>
          <w:p w14:paraId="6F5F78CC" w14:textId="1825416B" w:rsidR="0023728E" w:rsidRPr="00765034" w:rsidRDefault="0023728E" w:rsidP="0023728E">
            <w:pPr>
              <w:jc w:val="center"/>
              <w:rPr>
                <w:rFonts w:eastAsia="Times New Roman" w:cs="Times New Roman"/>
                <w:color w:val="000000"/>
                <w:sz w:val="18"/>
                <w:szCs w:val="18"/>
              </w:rPr>
            </w:pPr>
            <w:r w:rsidRPr="00765034">
              <w:rPr>
                <w:rFonts w:eastAsia="Times New Roman" w:cs="Times New Roman"/>
                <w:color w:val="000000"/>
                <w:sz w:val="18"/>
                <w:szCs w:val="18"/>
              </w:rPr>
              <w:t>42</w:t>
            </w:r>
          </w:p>
        </w:tc>
        <w:tc>
          <w:tcPr>
            <w:tcW w:w="2767" w:type="dxa"/>
            <w:vAlign w:val="center"/>
          </w:tcPr>
          <w:p w14:paraId="3CAA2E35" w14:textId="684B6EC6" w:rsidR="0023728E" w:rsidRPr="00765034" w:rsidRDefault="0023728E" w:rsidP="0023728E">
            <w:pPr>
              <w:jc w:val="center"/>
              <w:rPr>
                <w:rFonts w:eastAsia="Times New Roman" w:cs="Times New Roman"/>
                <w:color w:val="000000"/>
                <w:sz w:val="18"/>
                <w:szCs w:val="18"/>
              </w:rPr>
            </w:pPr>
            <w:r w:rsidRPr="00765034">
              <w:rPr>
                <w:rFonts w:eastAsia="Times New Roman" w:cs="Times New Roman"/>
                <w:color w:val="000000"/>
                <w:sz w:val="18"/>
                <w:szCs w:val="18"/>
              </w:rPr>
              <w:t>42</w:t>
            </w:r>
          </w:p>
        </w:tc>
      </w:tr>
      <w:tr w:rsidR="0023728E" w:rsidRPr="00765034" w14:paraId="4673E385" w14:textId="77777777" w:rsidTr="0023728E">
        <w:trPr>
          <w:jc w:val="center"/>
        </w:trPr>
        <w:tc>
          <w:tcPr>
            <w:tcW w:w="2263" w:type="dxa"/>
            <w:vAlign w:val="center"/>
          </w:tcPr>
          <w:p w14:paraId="5ACD0153" w14:textId="30E59805" w:rsidR="0023728E" w:rsidRPr="00765034" w:rsidRDefault="0023728E" w:rsidP="0023728E">
            <w:pPr>
              <w:jc w:val="center"/>
              <w:rPr>
                <w:rFonts w:eastAsia="Times New Roman" w:cs="Times New Roman"/>
                <w:bCs/>
                <w:color w:val="000000"/>
                <w:sz w:val="18"/>
                <w:szCs w:val="18"/>
              </w:rPr>
            </w:pPr>
            <w:r w:rsidRPr="00765034">
              <w:rPr>
                <w:rFonts w:eastAsia="Times New Roman" w:cs="Times New Roman"/>
                <w:bCs/>
                <w:color w:val="000000"/>
                <w:sz w:val="18"/>
                <w:szCs w:val="18"/>
              </w:rPr>
              <w:t>Hardware</w:t>
            </w:r>
          </w:p>
        </w:tc>
        <w:tc>
          <w:tcPr>
            <w:tcW w:w="3269" w:type="dxa"/>
            <w:vAlign w:val="center"/>
          </w:tcPr>
          <w:p w14:paraId="05B8A20D" w14:textId="7305B57B" w:rsidR="0023728E" w:rsidRPr="00765034" w:rsidRDefault="0023728E" w:rsidP="0023728E">
            <w:pPr>
              <w:jc w:val="center"/>
              <w:rPr>
                <w:rFonts w:eastAsia="Times New Roman" w:cs="Times New Roman"/>
                <w:color w:val="000000"/>
                <w:sz w:val="18"/>
                <w:szCs w:val="18"/>
              </w:rPr>
            </w:pPr>
            <w:r w:rsidRPr="00765034">
              <w:rPr>
                <w:rFonts w:eastAsia="Times New Roman" w:cs="Times New Roman"/>
                <w:color w:val="000000"/>
                <w:sz w:val="18"/>
                <w:szCs w:val="18"/>
              </w:rPr>
              <w:t>8 × NVIDIA H100 GPUs</w:t>
            </w:r>
          </w:p>
        </w:tc>
        <w:tc>
          <w:tcPr>
            <w:tcW w:w="2767" w:type="dxa"/>
            <w:vAlign w:val="center"/>
          </w:tcPr>
          <w:p w14:paraId="172D787C" w14:textId="3D101C55" w:rsidR="0023728E" w:rsidRPr="00765034" w:rsidRDefault="0023728E" w:rsidP="0023728E">
            <w:pPr>
              <w:jc w:val="center"/>
              <w:rPr>
                <w:rFonts w:eastAsia="Times New Roman" w:cs="Times New Roman"/>
                <w:color w:val="000000"/>
                <w:sz w:val="18"/>
                <w:szCs w:val="18"/>
              </w:rPr>
            </w:pPr>
            <w:r w:rsidRPr="00765034">
              <w:rPr>
                <w:rFonts w:eastAsia="Times New Roman" w:cs="Times New Roman"/>
                <w:color w:val="000000"/>
                <w:sz w:val="18"/>
                <w:szCs w:val="18"/>
              </w:rPr>
              <w:t>8 × NVIDIA RTX 4090 GPUs (24 GB)</w:t>
            </w:r>
          </w:p>
        </w:tc>
      </w:tr>
      <w:tr w:rsidR="0023728E" w:rsidRPr="00765034" w14:paraId="31262CDB" w14:textId="77777777" w:rsidTr="0023728E">
        <w:trPr>
          <w:jc w:val="center"/>
        </w:trPr>
        <w:tc>
          <w:tcPr>
            <w:tcW w:w="2263" w:type="dxa"/>
            <w:vAlign w:val="center"/>
          </w:tcPr>
          <w:p w14:paraId="66EC412D" w14:textId="2E1BAAE4" w:rsidR="0023728E" w:rsidRPr="00765034" w:rsidRDefault="0023728E" w:rsidP="0023728E">
            <w:pPr>
              <w:jc w:val="center"/>
              <w:rPr>
                <w:rFonts w:eastAsia="Times New Roman" w:cs="Times New Roman"/>
                <w:bCs/>
                <w:color w:val="000000"/>
                <w:sz w:val="18"/>
                <w:szCs w:val="18"/>
              </w:rPr>
            </w:pPr>
            <w:r w:rsidRPr="00765034">
              <w:rPr>
                <w:rFonts w:eastAsia="Times New Roman" w:cs="Times New Roman"/>
                <w:bCs/>
                <w:color w:val="000000"/>
                <w:sz w:val="18"/>
                <w:szCs w:val="18"/>
              </w:rPr>
              <w:t>Checkpoint selection</w:t>
            </w:r>
          </w:p>
        </w:tc>
        <w:tc>
          <w:tcPr>
            <w:tcW w:w="3269" w:type="dxa"/>
            <w:vAlign w:val="center"/>
          </w:tcPr>
          <w:p w14:paraId="108D4FB7" w14:textId="7677C7A3" w:rsidR="0023728E" w:rsidRPr="00765034" w:rsidRDefault="0023728E" w:rsidP="0023728E">
            <w:pPr>
              <w:jc w:val="center"/>
              <w:rPr>
                <w:rFonts w:eastAsia="Times New Roman" w:cs="Times New Roman"/>
                <w:color w:val="000000"/>
                <w:sz w:val="18"/>
                <w:szCs w:val="18"/>
              </w:rPr>
            </w:pPr>
            <w:r w:rsidRPr="00765034">
              <w:rPr>
                <w:rFonts w:eastAsia="Times New Roman" w:cs="Times New Roman"/>
                <w:color w:val="000000"/>
                <w:sz w:val="18"/>
                <w:szCs w:val="18"/>
              </w:rPr>
              <w:t>Validation loss and medical-task performance</w:t>
            </w:r>
          </w:p>
        </w:tc>
        <w:tc>
          <w:tcPr>
            <w:tcW w:w="2767" w:type="dxa"/>
            <w:vAlign w:val="center"/>
          </w:tcPr>
          <w:p w14:paraId="1837D655" w14:textId="6C32BE1C" w:rsidR="0023728E" w:rsidRPr="00765034" w:rsidRDefault="0023728E" w:rsidP="0023728E">
            <w:pPr>
              <w:jc w:val="center"/>
              <w:rPr>
                <w:rFonts w:eastAsia="Times New Roman" w:cs="Times New Roman"/>
                <w:color w:val="000000"/>
                <w:sz w:val="18"/>
                <w:szCs w:val="18"/>
              </w:rPr>
            </w:pPr>
            <w:r w:rsidRPr="00765034">
              <w:rPr>
                <w:rFonts w:eastAsia="Times New Roman" w:cs="Times New Roman"/>
                <w:color w:val="000000"/>
                <w:sz w:val="18"/>
                <w:szCs w:val="18"/>
              </w:rPr>
              <w:t>Primarily FNR; NPV and sensitivity secondary</w:t>
            </w:r>
          </w:p>
        </w:tc>
      </w:tr>
    </w:tbl>
    <w:p w14:paraId="044F1D0A" w14:textId="6F1B6D2C" w:rsidR="00D13CB5" w:rsidRDefault="00D13CB5">
      <w:pPr>
        <w:rPr>
          <w:sz w:val="18"/>
        </w:rPr>
      </w:pPr>
    </w:p>
    <w:p w14:paraId="03480CAC" w14:textId="77777777" w:rsidR="00F74D52" w:rsidRDefault="00F74D52" w:rsidP="00F74D52">
      <w:pPr>
        <w:pStyle w:val="SupplementaryTableCaption"/>
      </w:pPr>
    </w:p>
    <w:p w14:paraId="700B5BCE" w14:textId="2A8D216D" w:rsidR="0023728E" w:rsidRPr="0061668B" w:rsidRDefault="0061668B" w:rsidP="00F74D52">
      <w:pPr>
        <w:pStyle w:val="SupplementaryTableCaption"/>
      </w:pPr>
      <w:bookmarkStart w:id="6" w:name="_Toc238946678"/>
      <w:r w:rsidRPr="0061668B">
        <w:lastRenderedPageBreak/>
        <w:t xml:space="preserve">Supplementary Table S4. </w:t>
      </w:r>
      <w:proofErr w:type="spellStart"/>
      <w:r w:rsidRPr="0061668B">
        <w:t>NovaMind</w:t>
      </w:r>
      <w:proofErr w:type="spellEnd"/>
      <w:r w:rsidRPr="0061668B">
        <w:t xml:space="preserve"> inference configuration</w:t>
      </w:r>
      <w:bookmarkEnd w:id="6"/>
    </w:p>
    <w:tbl>
      <w:tblPr>
        <w:tblStyle w:val="a8"/>
        <w:tblW w:w="8358"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6090"/>
      </w:tblGrid>
      <w:tr w:rsidR="0061668B" w:rsidRPr="00765034" w14:paraId="618BA939" w14:textId="77777777" w:rsidTr="00F74D52">
        <w:trPr>
          <w:jc w:val="center"/>
        </w:trPr>
        <w:tc>
          <w:tcPr>
            <w:tcW w:w="2268" w:type="dxa"/>
            <w:tcBorders>
              <w:top w:val="single" w:sz="12" w:space="0" w:color="auto"/>
              <w:bottom w:val="single" w:sz="6" w:space="0" w:color="auto"/>
            </w:tcBorders>
            <w:vAlign w:val="center"/>
          </w:tcPr>
          <w:p w14:paraId="3337903D" w14:textId="48F534DF" w:rsidR="0061668B" w:rsidRPr="00765034" w:rsidRDefault="0061668B" w:rsidP="0061668B">
            <w:pPr>
              <w:jc w:val="center"/>
              <w:rPr>
                <w:sz w:val="18"/>
                <w:szCs w:val="18"/>
              </w:rPr>
            </w:pPr>
            <w:r w:rsidRPr="00765034">
              <w:rPr>
                <w:rFonts w:eastAsia="Times New Roman"/>
                <w:b/>
                <w:color w:val="000000"/>
                <w:sz w:val="18"/>
                <w:szCs w:val="18"/>
              </w:rPr>
              <w:t>Parameter</w:t>
            </w:r>
          </w:p>
        </w:tc>
        <w:tc>
          <w:tcPr>
            <w:tcW w:w="6090" w:type="dxa"/>
            <w:tcBorders>
              <w:top w:val="single" w:sz="12" w:space="0" w:color="auto"/>
              <w:bottom w:val="single" w:sz="6" w:space="0" w:color="auto"/>
            </w:tcBorders>
            <w:vAlign w:val="center"/>
          </w:tcPr>
          <w:p w14:paraId="75A54D19" w14:textId="01FA264F" w:rsidR="0061668B" w:rsidRPr="00765034" w:rsidRDefault="0061668B" w:rsidP="0061668B">
            <w:pPr>
              <w:jc w:val="center"/>
              <w:rPr>
                <w:sz w:val="18"/>
                <w:szCs w:val="18"/>
              </w:rPr>
            </w:pPr>
            <w:r w:rsidRPr="00765034">
              <w:rPr>
                <w:rFonts w:eastAsia="Times New Roman"/>
                <w:b/>
                <w:color w:val="000000"/>
                <w:sz w:val="18"/>
                <w:szCs w:val="18"/>
              </w:rPr>
              <w:t>Setting</w:t>
            </w:r>
          </w:p>
        </w:tc>
      </w:tr>
      <w:tr w:rsidR="0061668B" w:rsidRPr="00765034" w14:paraId="1F20E446" w14:textId="77777777" w:rsidTr="00F74D52">
        <w:trPr>
          <w:jc w:val="center"/>
        </w:trPr>
        <w:tc>
          <w:tcPr>
            <w:tcW w:w="2268" w:type="dxa"/>
            <w:tcBorders>
              <w:top w:val="single" w:sz="6" w:space="0" w:color="auto"/>
            </w:tcBorders>
            <w:vAlign w:val="center"/>
          </w:tcPr>
          <w:p w14:paraId="45E7D430" w14:textId="7936E59B" w:rsidR="0061668B" w:rsidRPr="00765034" w:rsidRDefault="0061668B" w:rsidP="0061668B">
            <w:pPr>
              <w:jc w:val="center"/>
              <w:rPr>
                <w:bCs/>
                <w:sz w:val="18"/>
                <w:szCs w:val="18"/>
              </w:rPr>
            </w:pPr>
            <w:r w:rsidRPr="00765034">
              <w:rPr>
                <w:rFonts w:eastAsia="Times New Roman"/>
                <w:bCs/>
                <w:color w:val="000000"/>
                <w:sz w:val="18"/>
                <w:szCs w:val="18"/>
              </w:rPr>
              <w:t>Software environment</w:t>
            </w:r>
          </w:p>
        </w:tc>
        <w:tc>
          <w:tcPr>
            <w:tcW w:w="6090" w:type="dxa"/>
            <w:tcBorders>
              <w:top w:val="single" w:sz="6" w:space="0" w:color="auto"/>
            </w:tcBorders>
            <w:vAlign w:val="center"/>
          </w:tcPr>
          <w:p w14:paraId="69C3FF2A" w14:textId="4A1362D2" w:rsidR="0061668B" w:rsidRPr="00765034" w:rsidRDefault="0061668B" w:rsidP="0061668B">
            <w:pPr>
              <w:jc w:val="center"/>
              <w:rPr>
                <w:sz w:val="18"/>
                <w:szCs w:val="18"/>
              </w:rPr>
            </w:pPr>
            <w:r w:rsidRPr="00765034">
              <w:rPr>
                <w:rFonts w:eastAsia="Times New Roman"/>
                <w:color w:val="000000"/>
                <w:sz w:val="18"/>
                <w:szCs w:val="18"/>
              </w:rPr>
              <w:t xml:space="preserve">Python 3.11; </w:t>
            </w:r>
            <w:proofErr w:type="spellStart"/>
            <w:r w:rsidRPr="00765034">
              <w:rPr>
                <w:rFonts w:eastAsia="Times New Roman"/>
                <w:color w:val="000000"/>
                <w:sz w:val="18"/>
                <w:szCs w:val="18"/>
              </w:rPr>
              <w:t>vLLM</w:t>
            </w:r>
            <w:proofErr w:type="spellEnd"/>
            <w:r w:rsidRPr="00765034">
              <w:rPr>
                <w:rFonts w:eastAsia="Times New Roman"/>
                <w:color w:val="000000"/>
                <w:sz w:val="18"/>
                <w:szCs w:val="18"/>
              </w:rPr>
              <w:t xml:space="preserve"> 0.15.0; </w:t>
            </w:r>
            <w:proofErr w:type="spellStart"/>
            <w:r w:rsidRPr="00765034">
              <w:rPr>
                <w:rFonts w:eastAsia="Times New Roman"/>
                <w:color w:val="000000"/>
                <w:sz w:val="18"/>
                <w:szCs w:val="18"/>
              </w:rPr>
              <w:t>PyTorch</w:t>
            </w:r>
            <w:proofErr w:type="spellEnd"/>
            <w:r w:rsidRPr="00765034">
              <w:rPr>
                <w:rFonts w:eastAsia="Times New Roman"/>
                <w:color w:val="000000"/>
                <w:sz w:val="18"/>
                <w:szCs w:val="18"/>
              </w:rPr>
              <w:t xml:space="preserve"> 2.10.0; CUDA 12.8; </w:t>
            </w:r>
            <w:proofErr w:type="spellStart"/>
            <w:r w:rsidRPr="00765034">
              <w:rPr>
                <w:rFonts w:eastAsia="Times New Roman"/>
                <w:color w:val="000000"/>
                <w:sz w:val="18"/>
                <w:szCs w:val="18"/>
              </w:rPr>
              <w:t>cuDNN</w:t>
            </w:r>
            <w:proofErr w:type="spellEnd"/>
            <w:r w:rsidRPr="00765034">
              <w:rPr>
                <w:rFonts w:eastAsia="Times New Roman"/>
                <w:color w:val="000000"/>
                <w:sz w:val="18"/>
                <w:szCs w:val="18"/>
              </w:rPr>
              <w:t xml:space="preserve"> 9.x; Transformers 5.0.0</w:t>
            </w:r>
          </w:p>
        </w:tc>
      </w:tr>
      <w:tr w:rsidR="0061668B" w:rsidRPr="00765034" w14:paraId="7ED57853" w14:textId="77777777" w:rsidTr="00F74D52">
        <w:trPr>
          <w:jc w:val="center"/>
        </w:trPr>
        <w:tc>
          <w:tcPr>
            <w:tcW w:w="2268" w:type="dxa"/>
            <w:vAlign w:val="center"/>
          </w:tcPr>
          <w:p w14:paraId="4BE20820" w14:textId="64C2E156" w:rsidR="0061668B" w:rsidRPr="00765034" w:rsidRDefault="0061668B" w:rsidP="0061668B">
            <w:pPr>
              <w:jc w:val="center"/>
              <w:rPr>
                <w:bCs/>
                <w:sz w:val="18"/>
                <w:szCs w:val="18"/>
              </w:rPr>
            </w:pPr>
            <w:r w:rsidRPr="00765034">
              <w:rPr>
                <w:rFonts w:eastAsia="Times New Roman"/>
                <w:bCs/>
                <w:color w:val="000000"/>
                <w:sz w:val="18"/>
                <w:szCs w:val="18"/>
              </w:rPr>
              <w:t>Temperature</w:t>
            </w:r>
          </w:p>
        </w:tc>
        <w:tc>
          <w:tcPr>
            <w:tcW w:w="6090" w:type="dxa"/>
            <w:vAlign w:val="center"/>
          </w:tcPr>
          <w:p w14:paraId="395EA465" w14:textId="234B9249" w:rsidR="0061668B" w:rsidRPr="00765034" w:rsidRDefault="0061668B" w:rsidP="0061668B">
            <w:pPr>
              <w:jc w:val="center"/>
              <w:rPr>
                <w:sz w:val="18"/>
                <w:szCs w:val="18"/>
              </w:rPr>
            </w:pPr>
            <w:r w:rsidRPr="00765034">
              <w:rPr>
                <w:rFonts w:eastAsia="Times New Roman"/>
                <w:color w:val="000000"/>
                <w:sz w:val="18"/>
                <w:szCs w:val="18"/>
              </w:rPr>
              <w:t>0</w:t>
            </w:r>
          </w:p>
        </w:tc>
      </w:tr>
      <w:tr w:rsidR="0061668B" w:rsidRPr="00765034" w14:paraId="0014FCA3" w14:textId="77777777" w:rsidTr="00F74D52">
        <w:trPr>
          <w:jc w:val="center"/>
        </w:trPr>
        <w:tc>
          <w:tcPr>
            <w:tcW w:w="2268" w:type="dxa"/>
            <w:vAlign w:val="center"/>
          </w:tcPr>
          <w:p w14:paraId="5E760CD9" w14:textId="2537BF88" w:rsidR="0061668B" w:rsidRPr="00765034" w:rsidRDefault="0061668B" w:rsidP="0061668B">
            <w:pPr>
              <w:jc w:val="center"/>
              <w:rPr>
                <w:bCs/>
                <w:sz w:val="18"/>
                <w:szCs w:val="18"/>
              </w:rPr>
            </w:pPr>
            <w:r w:rsidRPr="00765034">
              <w:rPr>
                <w:rFonts w:eastAsia="Times New Roman"/>
                <w:bCs/>
                <w:color w:val="000000"/>
                <w:sz w:val="18"/>
                <w:szCs w:val="18"/>
              </w:rPr>
              <w:t>Top-p</w:t>
            </w:r>
          </w:p>
        </w:tc>
        <w:tc>
          <w:tcPr>
            <w:tcW w:w="6090" w:type="dxa"/>
            <w:vAlign w:val="center"/>
          </w:tcPr>
          <w:p w14:paraId="71D7D50B" w14:textId="66BB830B" w:rsidR="0061668B" w:rsidRPr="00765034" w:rsidRDefault="0061668B" w:rsidP="0061668B">
            <w:pPr>
              <w:jc w:val="center"/>
              <w:rPr>
                <w:sz w:val="18"/>
                <w:szCs w:val="18"/>
              </w:rPr>
            </w:pPr>
            <w:r w:rsidRPr="00765034">
              <w:rPr>
                <w:rFonts w:eastAsia="Times New Roman"/>
                <w:color w:val="000000"/>
                <w:sz w:val="18"/>
                <w:szCs w:val="18"/>
              </w:rPr>
              <w:t>1</w:t>
            </w:r>
          </w:p>
        </w:tc>
      </w:tr>
      <w:tr w:rsidR="0061668B" w:rsidRPr="00765034" w14:paraId="463718A5" w14:textId="77777777" w:rsidTr="00F74D52">
        <w:trPr>
          <w:jc w:val="center"/>
        </w:trPr>
        <w:tc>
          <w:tcPr>
            <w:tcW w:w="2268" w:type="dxa"/>
            <w:vAlign w:val="center"/>
          </w:tcPr>
          <w:p w14:paraId="402CB36F" w14:textId="429F3781" w:rsidR="0061668B" w:rsidRPr="00765034" w:rsidRDefault="0061668B" w:rsidP="0061668B">
            <w:pPr>
              <w:jc w:val="center"/>
              <w:rPr>
                <w:bCs/>
                <w:sz w:val="18"/>
                <w:szCs w:val="18"/>
              </w:rPr>
            </w:pPr>
            <w:r w:rsidRPr="00765034">
              <w:rPr>
                <w:rFonts w:eastAsia="Times New Roman"/>
                <w:bCs/>
                <w:color w:val="000000"/>
                <w:sz w:val="18"/>
                <w:szCs w:val="18"/>
              </w:rPr>
              <w:t>Top-k</w:t>
            </w:r>
          </w:p>
        </w:tc>
        <w:tc>
          <w:tcPr>
            <w:tcW w:w="6090" w:type="dxa"/>
            <w:vAlign w:val="center"/>
          </w:tcPr>
          <w:p w14:paraId="0DEC8857" w14:textId="71212906" w:rsidR="0061668B" w:rsidRPr="00765034" w:rsidRDefault="0061668B" w:rsidP="0061668B">
            <w:pPr>
              <w:jc w:val="center"/>
              <w:rPr>
                <w:sz w:val="18"/>
                <w:szCs w:val="18"/>
              </w:rPr>
            </w:pPr>
            <w:r w:rsidRPr="00765034">
              <w:rPr>
                <w:rFonts w:eastAsia="Times New Roman"/>
                <w:color w:val="000000"/>
                <w:sz w:val="18"/>
                <w:szCs w:val="18"/>
              </w:rPr>
              <w:t>Disabled</w:t>
            </w:r>
          </w:p>
        </w:tc>
      </w:tr>
      <w:tr w:rsidR="0061668B" w:rsidRPr="00765034" w14:paraId="330C5B5A" w14:textId="77777777" w:rsidTr="00F74D52">
        <w:trPr>
          <w:jc w:val="center"/>
        </w:trPr>
        <w:tc>
          <w:tcPr>
            <w:tcW w:w="2268" w:type="dxa"/>
            <w:vAlign w:val="center"/>
          </w:tcPr>
          <w:p w14:paraId="4AB93DC5" w14:textId="202FD13B" w:rsidR="0061668B" w:rsidRPr="00765034" w:rsidRDefault="0061668B" w:rsidP="0061668B">
            <w:pPr>
              <w:jc w:val="center"/>
              <w:rPr>
                <w:bCs/>
                <w:sz w:val="18"/>
                <w:szCs w:val="18"/>
              </w:rPr>
            </w:pPr>
            <w:r w:rsidRPr="00765034">
              <w:rPr>
                <w:rFonts w:eastAsia="Times New Roman"/>
                <w:bCs/>
                <w:color w:val="000000"/>
                <w:sz w:val="18"/>
                <w:szCs w:val="18"/>
              </w:rPr>
              <w:t>Maximum output length</w:t>
            </w:r>
          </w:p>
        </w:tc>
        <w:tc>
          <w:tcPr>
            <w:tcW w:w="6090" w:type="dxa"/>
            <w:vAlign w:val="center"/>
          </w:tcPr>
          <w:p w14:paraId="3F838183" w14:textId="657A7642" w:rsidR="0061668B" w:rsidRPr="00765034" w:rsidRDefault="0061668B" w:rsidP="0061668B">
            <w:pPr>
              <w:jc w:val="center"/>
              <w:rPr>
                <w:sz w:val="18"/>
                <w:szCs w:val="18"/>
              </w:rPr>
            </w:pPr>
            <w:r w:rsidRPr="00765034">
              <w:rPr>
                <w:rFonts w:eastAsia="Times New Roman"/>
                <w:color w:val="000000"/>
                <w:sz w:val="18"/>
                <w:szCs w:val="18"/>
              </w:rPr>
              <w:t>1,024 tokens</w:t>
            </w:r>
          </w:p>
        </w:tc>
      </w:tr>
      <w:tr w:rsidR="0061668B" w:rsidRPr="00765034" w14:paraId="05CB1DA9" w14:textId="77777777" w:rsidTr="00F74D52">
        <w:trPr>
          <w:jc w:val="center"/>
        </w:trPr>
        <w:tc>
          <w:tcPr>
            <w:tcW w:w="2268" w:type="dxa"/>
            <w:vAlign w:val="center"/>
          </w:tcPr>
          <w:p w14:paraId="7C196096" w14:textId="2617BA2A" w:rsidR="0061668B" w:rsidRPr="00765034" w:rsidRDefault="0061668B" w:rsidP="0061668B">
            <w:pPr>
              <w:jc w:val="center"/>
              <w:rPr>
                <w:bCs/>
                <w:sz w:val="18"/>
                <w:szCs w:val="18"/>
              </w:rPr>
            </w:pPr>
            <w:r w:rsidRPr="00765034">
              <w:rPr>
                <w:rFonts w:eastAsia="Times New Roman"/>
                <w:bCs/>
                <w:color w:val="000000"/>
                <w:sz w:val="18"/>
                <w:szCs w:val="18"/>
              </w:rPr>
              <w:t>Repeated sampling</w:t>
            </w:r>
          </w:p>
        </w:tc>
        <w:tc>
          <w:tcPr>
            <w:tcW w:w="6090" w:type="dxa"/>
            <w:vAlign w:val="center"/>
          </w:tcPr>
          <w:p w14:paraId="749B52F9" w14:textId="774D9E38" w:rsidR="0061668B" w:rsidRPr="00765034" w:rsidRDefault="0061668B" w:rsidP="0061668B">
            <w:pPr>
              <w:jc w:val="center"/>
              <w:rPr>
                <w:sz w:val="18"/>
                <w:szCs w:val="18"/>
              </w:rPr>
            </w:pPr>
            <w:r w:rsidRPr="00765034">
              <w:rPr>
                <w:rFonts w:eastAsia="Times New Roman"/>
                <w:color w:val="000000"/>
                <w:sz w:val="18"/>
                <w:szCs w:val="18"/>
              </w:rPr>
              <w:t>None; each input was evaluated once</w:t>
            </w:r>
          </w:p>
        </w:tc>
      </w:tr>
      <w:tr w:rsidR="0061668B" w:rsidRPr="00765034" w14:paraId="7776BAE6" w14:textId="77777777" w:rsidTr="00F74D52">
        <w:trPr>
          <w:jc w:val="center"/>
        </w:trPr>
        <w:tc>
          <w:tcPr>
            <w:tcW w:w="2268" w:type="dxa"/>
            <w:vAlign w:val="center"/>
          </w:tcPr>
          <w:p w14:paraId="5C3D91F8" w14:textId="77BBB6B0" w:rsidR="0061668B" w:rsidRPr="00765034" w:rsidRDefault="0061668B" w:rsidP="0061668B">
            <w:pPr>
              <w:jc w:val="center"/>
              <w:rPr>
                <w:bCs/>
                <w:sz w:val="18"/>
                <w:szCs w:val="18"/>
              </w:rPr>
            </w:pPr>
            <w:r w:rsidRPr="00765034">
              <w:rPr>
                <w:rFonts w:eastAsia="Times New Roman"/>
                <w:bCs/>
                <w:color w:val="000000"/>
                <w:sz w:val="18"/>
                <w:szCs w:val="18"/>
              </w:rPr>
              <w:t>Hardware</w:t>
            </w:r>
          </w:p>
        </w:tc>
        <w:tc>
          <w:tcPr>
            <w:tcW w:w="6090" w:type="dxa"/>
            <w:vAlign w:val="center"/>
          </w:tcPr>
          <w:p w14:paraId="4115AC10" w14:textId="775C70CD" w:rsidR="0061668B" w:rsidRPr="00765034" w:rsidRDefault="0061668B" w:rsidP="0061668B">
            <w:pPr>
              <w:jc w:val="center"/>
              <w:rPr>
                <w:sz w:val="18"/>
                <w:szCs w:val="18"/>
              </w:rPr>
            </w:pPr>
            <w:r w:rsidRPr="00765034">
              <w:rPr>
                <w:rFonts w:eastAsia="Times New Roman"/>
                <w:color w:val="000000"/>
                <w:sz w:val="18"/>
                <w:szCs w:val="18"/>
              </w:rPr>
              <w:t>8 × NVIDIA RTX 4090 GPUs (24 GB)</w:t>
            </w:r>
          </w:p>
        </w:tc>
      </w:tr>
    </w:tbl>
    <w:p w14:paraId="2FD51EF1" w14:textId="77777777" w:rsidR="0061668B" w:rsidRPr="0061668B" w:rsidRDefault="0061668B" w:rsidP="0061668B">
      <w:pPr>
        <w:rPr>
          <w:sz w:val="18"/>
        </w:rPr>
      </w:pPr>
    </w:p>
    <w:p w14:paraId="6A0271BD" w14:textId="3E1AE707" w:rsidR="0061668B" w:rsidRPr="00765034" w:rsidRDefault="00077646" w:rsidP="00C9263D">
      <w:pPr>
        <w:pStyle w:val="1"/>
        <w:ind w:left="210" w:right="210"/>
      </w:pPr>
      <w:bookmarkStart w:id="7" w:name="_Toc238946679"/>
      <w:r w:rsidRPr="00765034">
        <w:t>Supplementary Methods S4. PBRTQC development and evaluation</w:t>
      </w:r>
      <w:bookmarkEnd w:id="7"/>
    </w:p>
    <w:p w14:paraId="3D12EB6C" w14:textId="77777777" w:rsidR="00077646" w:rsidRPr="00765034" w:rsidRDefault="00077646" w:rsidP="00765034">
      <w:pPr>
        <w:spacing w:after="0" w:line="360" w:lineRule="auto"/>
        <w:ind w:firstLineChars="200" w:firstLine="480"/>
        <w:rPr>
          <w:sz w:val="24"/>
        </w:rPr>
      </w:pPr>
      <w:r w:rsidRPr="00765034">
        <w:rPr>
          <w:sz w:val="24"/>
        </w:rPr>
        <w:t xml:space="preserve">PBRTQC was developed separately for E2, P, LH, FSH, and </w:t>
      </w:r>
      <w:proofErr w:type="spellStart"/>
      <w:r w:rsidRPr="00765034">
        <w:rPr>
          <w:sz w:val="24"/>
        </w:rPr>
        <w:t>hCG</w:t>
      </w:r>
      <w:proofErr w:type="spellEnd"/>
      <w:r w:rsidRPr="00765034">
        <w:rPr>
          <w:sz w:val="24"/>
        </w:rPr>
        <w:t xml:space="preserve"> using retrospective patient-result streams. For each analyte, values were transformed as uᵢ = </w:t>
      </w:r>
      <w:proofErr w:type="gramStart"/>
      <w:r w:rsidRPr="00765034">
        <w:rPr>
          <w:sz w:val="24"/>
        </w:rPr>
        <w:t>ln(</w:t>
      </w:r>
      <w:proofErr w:type="gramEnd"/>
      <w:r w:rsidRPr="00765034">
        <w:rPr>
          <w:sz w:val="24"/>
        </w:rPr>
        <w:t>1 + xᵢ). A rolling reference window of the preceding 30 eligible results was summarized using the median and median absolute deviation (MAD), and a robust standardized score was calculated as zᵢ = (uᵢ − median) / (1.4826 × MAD + ε). An exponentially weighted moving average (EWMA) was updated as EWMAᵢ = 0.25zᵢ + 0.75EWMAᵢ₋₁.</w:t>
      </w:r>
    </w:p>
    <w:p w14:paraId="19DE63E1" w14:textId="77777777" w:rsidR="00077646" w:rsidRPr="00765034" w:rsidRDefault="00077646" w:rsidP="00765034">
      <w:pPr>
        <w:spacing w:after="0" w:line="360" w:lineRule="auto"/>
        <w:ind w:firstLineChars="200" w:firstLine="480"/>
        <w:rPr>
          <w:sz w:val="24"/>
        </w:rPr>
      </w:pPr>
      <w:r w:rsidRPr="00765034">
        <w:rPr>
          <w:sz w:val="24"/>
        </w:rPr>
        <w:t xml:space="preserve">The PBRTQC feature set included the robust standardized score, EWMA, short-window mean, rolling median, local variability, and concentration-level information. These features were combined using </w:t>
      </w:r>
      <w:proofErr w:type="spellStart"/>
      <w:r w:rsidRPr="00765034">
        <w:rPr>
          <w:sz w:val="24"/>
        </w:rPr>
        <w:t>XGBoost</w:t>
      </w:r>
      <w:proofErr w:type="spellEnd"/>
      <w:r w:rsidRPr="00765034">
        <w:rPr>
          <w:sz w:val="24"/>
        </w:rPr>
        <w:t xml:space="preserve"> to identify potential systematic shifts. Analyte-specific parameters and alert thresholds were determined during retrospective development and locked before evaluation. The first 15 eligible results in a stream were used for initialization, and no alerts were generated during this period. Thereafter, an alert required the threshold condition to be met at least twice within three consecutive eligible results.</w:t>
      </w:r>
    </w:p>
    <w:p w14:paraId="227972AF" w14:textId="03AA79D2" w:rsidR="00077646" w:rsidRPr="00765034" w:rsidRDefault="00077646" w:rsidP="00765034">
      <w:pPr>
        <w:spacing w:after="0" w:line="360" w:lineRule="auto"/>
        <w:ind w:firstLineChars="200" w:firstLine="480"/>
        <w:rPr>
          <w:sz w:val="24"/>
        </w:rPr>
      </w:pPr>
      <w:r w:rsidRPr="00765034">
        <w:rPr>
          <w:sz w:val="24"/>
        </w:rPr>
        <w:t xml:space="preserve">Detection performance was evaluated using prespecified simulated-shift scenarios in an independent retrospective dataset that was not used for PBRTQC tuning. Detection rate was the proportion of simulated-shift scenarios producing an alert within </w:t>
      </w:r>
      <w:r w:rsidRPr="00765034">
        <w:rPr>
          <w:sz w:val="24"/>
        </w:rPr>
        <w:lastRenderedPageBreak/>
        <w:t>the prespecified evaluation window. Detection delay was the number of consecutive results between shift onset and the first qualifying alert among detected scenarios. False-alert rate was calculated from eligible monitoring positions in corresponding no-shift streams. During the prospective period, PBRTQC operated silently on unmodified real-world result streams and did not influence clinical decisions.</w:t>
      </w:r>
    </w:p>
    <w:p w14:paraId="607EF66C" w14:textId="68CE7B0A" w:rsidR="00077646" w:rsidRPr="00077646" w:rsidRDefault="00077646" w:rsidP="00F74D52">
      <w:pPr>
        <w:pStyle w:val="SupplementaryTableCaption"/>
      </w:pPr>
      <w:bookmarkStart w:id="8" w:name="_Toc238946680"/>
      <w:r w:rsidRPr="00077646">
        <w:t>Supplementary Table S5. Locked common PBRTQC parameters</w:t>
      </w:r>
      <w:bookmarkEnd w:id="8"/>
    </w:p>
    <w:tbl>
      <w:tblPr>
        <w:tblStyle w:val="a8"/>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605"/>
      </w:tblGrid>
      <w:tr w:rsidR="00077646" w:rsidRPr="00765034" w14:paraId="0E39447E" w14:textId="77777777" w:rsidTr="00077646">
        <w:trPr>
          <w:jc w:val="center"/>
        </w:trPr>
        <w:tc>
          <w:tcPr>
            <w:tcW w:w="2694" w:type="dxa"/>
            <w:tcBorders>
              <w:top w:val="single" w:sz="12" w:space="0" w:color="auto"/>
              <w:bottom w:val="single" w:sz="6" w:space="0" w:color="auto"/>
            </w:tcBorders>
            <w:vAlign w:val="center"/>
          </w:tcPr>
          <w:p w14:paraId="1025C440" w14:textId="1901E5B7" w:rsidR="00077646" w:rsidRPr="00765034" w:rsidRDefault="00077646" w:rsidP="00077646">
            <w:pPr>
              <w:jc w:val="center"/>
              <w:rPr>
                <w:sz w:val="18"/>
                <w:szCs w:val="18"/>
              </w:rPr>
            </w:pPr>
            <w:r w:rsidRPr="00765034">
              <w:rPr>
                <w:rFonts w:eastAsia="Times New Roman"/>
                <w:b/>
                <w:color w:val="000000"/>
                <w:sz w:val="18"/>
                <w:szCs w:val="18"/>
              </w:rPr>
              <w:t>Component</w:t>
            </w:r>
          </w:p>
        </w:tc>
        <w:tc>
          <w:tcPr>
            <w:tcW w:w="5605" w:type="dxa"/>
            <w:tcBorders>
              <w:top w:val="single" w:sz="12" w:space="0" w:color="auto"/>
              <w:bottom w:val="single" w:sz="6" w:space="0" w:color="auto"/>
            </w:tcBorders>
            <w:vAlign w:val="center"/>
          </w:tcPr>
          <w:p w14:paraId="13E68998" w14:textId="78D65CDE" w:rsidR="00077646" w:rsidRPr="00765034" w:rsidRDefault="00077646" w:rsidP="00077646">
            <w:pPr>
              <w:jc w:val="center"/>
              <w:rPr>
                <w:sz w:val="18"/>
                <w:szCs w:val="18"/>
              </w:rPr>
            </w:pPr>
            <w:r w:rsidRPr="00765034">
              <w:rPr>
                <w:rFonts w:eastAsia="Times New Roman"/>
                <w:b/>
                <w:color w:val="000000"/>
                <w:sz w:val="18"/>
                <w:szCs w:val="18"/>
              </w:rPr>
              <w:t>Locked specification</w:t>
            </w:r>
          </w:p>
        </w:tc>
      </w:tr>
      <w:tr w:rsidR="00077646" w:rsidRPr="00765034" w14:paraId="01D8970F" w14:textId="77777777" w:rsidTr="00077646">
        <w:trPr>
          <w:jc w:val="center"/>
        </w:trPr>
        <w:tc>
          <w:tcPr>
            <w:tcW w:w="2694" w:type="dxa"/>
            <w:tcBorders>
              <w:top w:val="single" w:sz="6" w:space="0" w:color="auto"/>
            </w:tcBorders>
            <w:vAlign w:val="center"/>
          </w:tcPr>
          <w:p w14:paraId="4605590F" w14:textId="54EF7DB3" w:rsidR="00077646" w:rsidRPr="00765034" w:rsidRDefault="00077646" w:rsidP="00077646">
            <w:pPr>
              <w:jc w:val="center"/>
              <w:rPr>
                <w:bCs/>
                <w:sz w:val="18"/>
                <w:szCs w:val="18"/>
              </w:rPr>
            </w:pPr>
            <w:r w:rsidRPr="00765034">
              <w:rPr>
                <w:rFonts w:eastAsia="Times New Roman"/>
                <w:bCs/>
                <w:color w:val="000000"/>
                <w:sz w:val="18"/>
                <w:szCs w:val="18"/>
              </w:rPr>
              <w:t>Analytes</w:t>
            </w:r>
          </w:p>
        </w:tc>
        <w:tc>
          <w:tcPr>
            <w:tcW w:w="5605" w:type="dxa"/>
            <w:tcBorders>
              <w:top w:val="single" w:sz="6" w:space="0" w:color="auto"/>
            </w:tcBorders>
            <w:vAlign w:val="center"/>
          </w:tcPr>
          <w:p w14:paraId="563672A2" w14:textId="02B61F50" w:rsidR="00077646" w:rsidRPr="00765034" w:rsidRDefault="00077646" w:rsidP="00077646">
            <w:pPr>
              <w:jc w:val="center"/>
              <w:rPr>
                <w:sz w:val="18"/>
                <w:szCs w:val="18"/>
              </w:rPr>
            </w:pPr>
            <w:r w:rsidRPr="00765034">
              <w:rPr>
                <w:rFonts w:eastAsia="Times New Roman"/>
                <w:color w:val="000000"/>
                <w:sz w:val="18"/>
                <w:szCs w:val="18"/>
              </w:rPr>
              <w:t xml:space="preserve">E2, P, LH, FSH, and </w:t>
            </w:r>
            <w:proofErr w:type="spellStart"/>
            <w:r w:rsidRPr="00765034">
              <w:rPr>
                <w:rFonts w:eastAsia="Times New Roman"/>
                <w:color w:val="000000"/>
                <w:sz w:val="18"/>
                <w:szCs w:val="18"/>
              </w:rPr>
              <w:t>hCG</w:t>
            </w:r>
            <w:proofErr w:type="spellEnd"/>
          </w:p>
        </w:tc>
      </w:tr>
      <w:tr w:rsidR="00077646" w:rsidRPr="00765034" w14:paraId="47D50171" w14:textId="77777777" w:rsidTr="00077646">
        <w:trPr>
          <w:jc w:val="center"/>
        </w:trPr>
        <w:tc>
          <w:tcPr>
            <w:tcW w:w="2694" w:type="dxa"/>
            <w:vAlign w:val="center"/>
          </w:tcPr>
          <w:p w14:paraId="6D27C4A2" w14:textId="1FDBE707" w:rsidR="00077646" w:rsidRPr="00765034" w:rsidRDefault="00077646" w:rsidP="00077646">
            <w:pPr>
              <w:jc w:val="center"/>
              <w:rPr>
                <w:bCs/>
                <w:sz w:val="18"/>
                <w:szCs w:val="18"/>
              </w:rPr>
            </w:pPr>
            <w:r w:rsidRPr="00765034">
              <w:rPr>
                <w:rFonts w:eastAsia="Times New Roman"/>
                <w:bCs/>
                <w:color w:val="000000"/>
                <w:sz w:val="18"/>
                <w:szCs w:val="18"/>
              </w:rPr>
              <w:t>Transformation</w:t>
            </w:r>
          </w:p>
        </w:tc>
        <w:tc>
          <w:tcPr>
            <w:tcW w:w="5605" w:type="dxa"/>
            <w:vAlign w:val="center"/>
          </w:tcPr>
          <w:p w14:paraId="29AF5ECF" w14:textId="523ABC67" w:rsidR="00077646" w:rsidRPr="00765034" w:rsidRDefault="00077646" w:rsidP="00077646">
            <w:pPr>
              <w:jc w:val="center"/>
              <w:rPr>
                <w:sz w:val="18"/>
                <w:szCs w:val="18"/>
              </w:rPr>
            </w:pPr>
            <w:r w:rsidRPr="00765034">
              <w:rPr>
                <w:rFonts w:eastAsia="Times New Roman"/>
                <w:color w:val="000000"/>
                <w:sz w:val="18"/>
                <w:szCs w:val="18"/>
              </w:rPr>
              <w:t>Natural logarithm of 1 + result</w:t>
            </w:r>
          </w:p>
        </w:tc>
      </w:tr>
      <w:tr w:rsidR="00077646" w:rsidRPr="00765034" w14:paraId="2A351B10" w14:textId="77777777" w:rsidTr="00077646">
        <w:trPr>
          <w:jc w:val="center"/>
        </w:trPr>
        <w:tc>
          <w:tcPr>
            <w:tcW w:w="2694" w:type="dxa"/>
            <w:vAlign w:val="center"/>
          </w:tcPr>
          <w:p w14:paraId="51A52883" w14:textId="325AA97D" w:rsidR="00077646" w:rsidRPr="00765034" w:rsidRDefault="00077646" w:rsidP="00077646">
            <w:pPr>
              <w:jc w:val="center"/>
              <w:rPr>
                <w:bCs/>
                <w:sz w:val="18"/>
                <w:szCs w:val="18"/>
              </w:rPr>
            </w:pPr>
            <w:r w:rsidRPr="00765034">
              <w:rPr>
                <w:rFonts w:eastAsia="Times New Roman"/>
                <w:bCs/>
                <w:color w:val="000000"/>
                <w:sz w:val="18"/>
                <w:szCs w:val="18"/>
              </w:rPr>
              <w:t>Rolling reference window</w:t>
            </w:r>
          </w:p>
        </w:tc>
        <w:tc>
          <w:tcPr>
            <w:tcW w:w="5605" w:type="dxa"/>
            <w:vAlign w:val="center"/>
          </w:tcPr>
          <w:p w14:paraId="481008F9" w14:textId="5B24F3BB" w:rsidR="00077646" w:rsidRPr="00765034" w:rsidRDefault="00077646" w:rsidP="00077646">
            <w:pPr>
              <w:jc w:val="center"/>
              <w:rPr>
                <w:sz w:val="18"/>
                <w:szCs w:val="18"/>
              </w:rPr>
            </w:pPr>
            <w:r w:rsidRPr="00765034">
              <w:rPr>
                <w:rFonts w:eastAsia="Times New Roman"/>
                <w:color w:val="000000"/>
                <w:sz w:val="18"/>
                <w:szCs w:val="18"/>
              </w:rPr>
              <w:t>30 preceding eligible results</w:t>
            </w:r>
          </w:p>
        </w:tc>
      </w:tr>
      <w:tr w:rsidR="00077646" w:rsidRPr="00765034" w14:paraId="46069ECF" w14:textId="77777777" w:rsidTr="00077646">
        <w:trPr>
          <w:jc w:val="center"/>
        </w:trPr>
        <w:tc>
          <w:tcPr>
            <w:tcW w:w="2694" w:type="dxa"/>
            <w:vAlign w:val="center"/>
          </w:tcPr>
          <w:p w14:paraId="525C1026" w14:textId="33A7262D" w:rsidR="00077646" w:rsidRPr="00765034" w:rsidRDefault="00077646" w:rsidP="00077646">
            <w:pPr>
              <w:jc w:val="center"/>
              <w:rPr>
                <w:bCs/>
                <w:sz w:val="18"/>
                <w:szCs w:val="18"/>
              </w:rPr>
            </w:pPr>
            <w:r w:rsidRPr="00765034">
              <w:rPr>
                <w:rFonts w:eastAsia="Times New Roman"/>
                <w:bCs/>
                <w:color w:val="000000"/>
                <w:sz w:val="18"/>
                <w:szCs w:val="18"/>
              </w:rPr>
              <w:t>Robust location and scale</w:t>
            </w:r>
          </w:p>
        </w:tc>
        <w:tc>
          <w:tcPr>
            <w:tcW w:w="5605" w:type="dxa"/>
            <w:vAlign w:val="center"/>
          </w:tcPr>
          <w:p w14:paraId="30E46BC1" w14:textId="2E704CA3" w:rsidR="00077646" w:rsidRPr="00765034" w:rsidRDefault="00077646" w:rsidP="00077646">
            <w:pPr>
              <w:jc w:val="center"/>
              <w:rPr>
                <w:sz w:val="18"/>
                <w:szCs w:val="18"/>
              </w:rPr>
            </w:pPr>
            <w:r w:rsidRPr="00765034">
              <w:rPr>
                <w:rFonts w:eastAsia="Times New Roman"/>
                <w:color w:val="000000"/>
                <w:sz w:val="18"/>
                <w:szCs w:val="18"/>
              </w:rPr>
              <w:t>Median and MAD</w:t>
            </w:r>
          </w:p>
        </w:tc>
      </w:tr>
      <w:tr w:rsidR="00077646" w:rsidRPr="00765034" w14:paraId="3BD763BD" w14:textId="77777777" w:rsidTr="00077646">
        <w:trPr>
          <w:jc w:val="center"/>
        </w:trPr>
        <w:tc>
          <w:tcPr>
            <w:tcW w:w="2694" w:type="dxa"/>
            <w:vAlign w:val="center"/>
          </w:tcPr>
          <w:p w14:paraId="070740EC" w14:textId="2538DD36" w:rsidR="00077646" w:rsidRPr="00765034" w:rsidRDefault="00077646" w:rsidP="00077646">
            <w:pPr>
              <w:jc w:val="center"/>
              <w:rPr>
                <w:bCs/>
                <w:sz w:val="18"/>
                <w:szCs w:val="18"/>
              </w:rPr>
            </w:pPr>
            <w:r w:rsidRPr="00765034">
              <w:rPr>
                <w:rFonts w:eastAsia="Times New Roman"/>
                <w:bCs/>
                <w:color w:val="000000"/>
                <w:sz w:val="18"/>
                <w:szCs w:val="18"/>
              </w:rPr>
              <w:t>EWMA smoothing coefficient</w:t>
            </w:r>
          </w:p>
        </w:tc>
        <w:tc>
          <w:tcPr>
            <w:tcW w:w="5605" w:type="dxa"/>
            <w:vAlign w:val="center"/>
          </w:tcPr>
          <w:p w14:paraId="3C52496B" w14:textId="118B2BD9" w:rsidR="00077646" w:rsidRPr="00765034" w:rsidRDefault="00077646" w:rsidP="00077646">
            <w:pPr>
              <w:jc w:val="center"/>
              <w:rPr>
                <w:sz w:val="18"/>
                <w:szCs w:val="18"/>
              </w:rPr>
            </w:pPr>
            <w:r w:rsidRPr="00765034">
              <w:rPr>
                <w:rFonts w:eastAsia="Times New Roman"/>
                <w:color w:val="000000"/>
                <w:sz w:val="18"/>
                <w:szCs w:val="18"/>
              </w:rPr>
              <w:t>0.25</w:t>
            </w:r>
          </w:p>
        </w:tc>
      </w:tr>
      <w:tr w:rsidR="00077646" w:rsidRPr="00765034" w14:paraId="1E9DD769" w14:textId="77777777" w:rsidTr="00077646">
        <w:trPr>
          <w:jc w:val="center"/>
        </w:trPr>
        <w:tc>
          <w:tcPr>
            <w:tcW w:w="2694" w:type="dxa"/>
            <w:vAlign w:val="center"/>
          </w:tcPr>
          <w:p w14:paraId="511A29A5" w14:textId="231DE565" w:rsidR="00077646" w:rsidRPr="00765034" w:rsidRDefault="00077646" w:rsidP="00077646">
            <w:pPr>
              <w:jc w:val="center"/>
              <w:rPr>
                <w:bCs/>
                <w:sz w:val="18"/>
                <w:szCs w:val="18"/>
              </w:rPr>
            </w:pPr>
            <w:r w:rsidRPr="00765034">
              <w:rPr>
                <w:rFonts w:eastAsia="Times New Roman"/>
                <w:bCs/>
                <w:color w:val="000000"/>
                <w:sz w:val="18"/>
                <w:szCs w:val="18"/>
              </w:rPr>
              <w:t>Initialization period</w:t>
            </w:r>
          </w:p>
        </w:tc>
        <w:tc>
          <w:tcPr>
            <w:tcW w:w="5605" w:type="dxa"/>
            <w:vAlign w:val="center"/>
          </w:tcPr>
          <w:p w14:paraId="73BC6C90" w14:textId="4CF62B0F" w:rsidR="00077646" w:rsidRPr="00765034" w:rsidRDefault="00077646" w:rsidP="00077646">
            <w:pPr>
              <w:jc w:val="center"/>
              <w:rPr>
                <w:sz w:val="18"/>
                <w:szCs w:val="18"/>
              </w:rPr>
            </w:pPr>
            <w:r w:rsidRPr="00765034">
              <w:rPr>
                <w:rFonts w:eastAsia="Times New Roman"/>
                <w:color w:val="000000"/>
                <w:sz w:val="18"/>
                <w:szCs w:val="18"/>
              </w:rPr>
              <w:t>First 15 eligible results; alerts suppressed</w:t>
            </w:r>
          </w:p>
        </w:tc>
      </w:tr>
      <w:tr w:rsidR="00077646" w:rsidRPr="00765034" w14:paraId="64A8AAB9" w14:textId="77777777" w:rsidTr="00077646">
        <w:trPr>
          <w:jc w:val="center"/>
        </w:trPr>
        <w:tc>
          <w:tcPr>
            <w:tcW w:w="2694" w:type="dxa"/>
            <w:vAlign w:val="center"/>
          </w:tcPr>
          <w:p w14:paraId="285D9DCE" w14:textId="1ADEB059" w:rsidR="00077646" w:rsidRPr="00765034" w:rsidRDefault="00077646" w:rsidP="00077646">
            <w:pPr>
              <w:jc w:val="center"/>
              <w:rPr>
                <w:bCs/>
                <w:sz w:val="18"/>
                <w:szCs w:val="18"/>
              </w:rPr>
            </w:pPr>
            <w:r w:rsidRPr="00765034">
              <w:rPr>
                <w:rFonts w:eastAsia="Times New Roman"/>
                <w:bCs/>
                <w:color w:val="000000"/>
                <w:sz w:val="18"/>
                <w:szCs w:val="18"/>
              </w:rPr>
              <w:t>Alert persistence rule</w:t>
            </w:r>
          </w:p>
        </w:tc>
        <w:tc>
          <w:tcPr>
            <w:tcW w:w="5605" w:type="dxa"/>
            <w:vAlign w:val="center"/>
          </w:tcPr>
          <w:p w14:paraId="2A7BA654" w14:textId="6C200E43" w:rsidR="00077646" w:rsidRPr="00765034" w:rsidRDefault="00077646" w:rsidP="00077646">
            <w:pPr>
              <w:jc w:val="center"/>
              <w:rPr>
                <w:sz w:val="18"/>
                <w:szCs w:val="18"/>
              </w:rPr>
            </w:pPr>
            <w:r w:rsidRPr="00765034">
              <w:rPr>
                <w:rFonts w:eastAsia="Times New Roman"/>
                <w:color w:val="000000"/>
                <w:sz w:val="18"/>
                <w:szCs w:val="18"/>
              </w:rPr>
              <w:t>Threshold condition met at least twice within three consecutive eligible results</w:t>
            </w:r>
          </w:p>
        </w:tc>
      </w:tr>
      <w:tr w:rsidR="00077646" w:rsidRPr="00765034" w14:paraId="3B48FB2A" w14:textId="77777777" w:rsidTr="00077646">
        <w:trPr>
          <w:jc w:val="center"/>
        </w:trPr>
        <w:tc>
          <w:tcPr>
            <w:tcW w:w="2694" w:type="dxa"/>
            <w:vAlign w:val="center"/>
          </w:tcPr>
          <w:p w14:paraId="33D4D934" w14:textId="24D00891" w:rsidR="00077646" w:rsidRPr="00765034" w:rsidRDefault="00077646" w:rsidP="00077646">
            <w:pPr>
              <w:jc w:val="center"/>
              <w:rPr>
                <w:bCs/>
                <w:sz w:val="18"/>
                <w:szCs w:val="18"/>
              </w:rPr>
            </w:pPr>
            <w:r w:rsidRPr="00765034">
              <w:rPr>
                <w:rFonts w:eastAsia="Times New Roman"/>
                <w:bCs/>
                <w:color w:val="000000"/>
                <w:sz w:val="18"/>
                <w:szCs w:val="18"/>
              </w:rPr>
              <w:t>Evaluation data</w:t>
            </w:r>
          </w:p>
        </w:tc>
        <w:tc>
          <w:tcPr>
            <w:tcW w:w="5605" w:type="dxa"/>
            <w:vAlign w:val="center"/>
          </w:tcPr>
          <w:p w14:paraId="079D5EC2" w14:textId="5BE56FA0" w:rsidR="00077646" w:rsidRPr="00765034" w:rsidRDefault="00077646" w:rsidP="00077646">
            <w:pPr>
              <w:jc w:val="center"/>
              <w:rPr>
                <w:sz w:val="18"/>
                <w:szCs w:val="18"/>
              </w:rPr>
            </w:pPr>
            <w:r w:rsidRPr="00765034">
              <w:rPr>
                <w:rFonts w:eastAsia="Times New Roman"/>
                <w:color w:val="000000"/>
                <w:sz w:val="18"/>
                <w:szCs w:val="18"/>
              </w:rPr>
              <w:t>Independent retrospective data for simulated shifts; unmodified prospective streams for silent operation</w:t>
            </w:r>
          </w:p>
        </w:tc>
      </w:tr>
    </w:tbl>
    <w:p w14:paraId="3D9C2D5B" w14:textId="77777777" w:rsidR="00077646" w:rsidRDefault="00077646" w:rsidP="00A3374C">
      <w:pPr>
        <w:ind w:firstLine="360"/>
        <w:rPr>
          <w:sz w:val="18"/>
        </w:rPr>
      </w:pPr>
    </w:p>
    <w:p w14:paraId="4BB25248" w14:textId="0D0F34A1" w:rsidR="00077646" w:rsidRPr="00765034" w:rsidRDefault="00B45373" w:rsidP="00C9263D">
      <w:pPr>
        <w:pStyle w:val="1"/>
        <w:ind w:left="210" w:right="210"/>
      </w:pPr>
      <w:bookmarkStart w:id="9" w:name="_Toc238946681"/>
      <w:r w:rsidRPr="00765034">
        <w:t>Supplementary Results S1. Discordance by availability of longitudinal hormone history</w:t>
      </w:r>
      <w:bookmarkEnd w:id="9"/>
    </w:p>
    <w:p w14:paraId="11B918DD" w14:textId="2B02C34A" w:rsidR="00765034" w:rsidRPr="00765034" w:rsidRDefault="00B45373" w:rsidP="00765034">
      <w:pPr>
        <w:spacing w:after="0" w:line="360" w:lineRule="auto"/>
        <w:ind w:firstLineChars="200" w:firstLine="480"/>
        <w:rPr>
          <w:sz w:val="24"/>
        </w:rPr>
      </w:pPr>
      <w:r w:rsidRPr="00765034">
        <w:rPr>
          <w:sz w:val="24"/>
        </w:rPr>
        <w:t xml:space="preserve">In the augmented challenge set, discordance between </w:t>
      </w:r>
      <w:proofErr w:type="spellStart"/>
      <w:r w:rsidRPr="00765034">
        <w:rPr>
          <w:sz w:val="24"/>
        </w:rPr>
        <w:t>NovaMind</w:t>
      </w:r>
      <w:proofErr w:type="spellEnd"/>
      <w:r w:rsidRPr="00765034">
        <w:rPr>
          <w:sz w:val="24"/>
        </w:rPr>
        <w:t xml:space="preserve"> and the expert-derived reference standard was summarized according to the availability of longitudinal hormone history.</w:t>
      </w:r>
    </w:p>
    <w:p w14:paraId="7725763C" w14:textId="2482AC1C" w:rsidR="00B45373" w:rsidRPr="00C1025B" w:rsidRDefault="00B45373" w:rsidP="00F74D52">
      <w:pPr>
        <w:pStyle w:val="SupplementaryTableCaption"/>
      </w:pPr>
      <w:bookmarkStart w:id="10" w:name="_Toc238946682"/>
      <w:r w:rsidRPr="00C1025B">
        <w:t>Supplementary Table S6. Discordance by availability of longitudinal hormone history in the augmented challenge set</w:t>
      </w:r>
      <w:bookmarkEnd w:id="10"/>
    </w:p>
    <w:tbl>
      <w:tblPr>
        <w:tblStyle w:val="a8"/>
        <w:tblW w:w="9214"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997"/>
        <w:gridCol w:w="1417"/>
        <w:gridCol w:w="1418"/>
        <w:gridCol w:w="1417"/>
        <w:gridCol w:w="2410"/>
      </w:tblGrid>
      <w:tr w:rsidR="00B45373" w:rsidRPr="00765034" w14:paraId="6FE0B58F" w14:textId="77777777" w:rsidTr="00765034">
        <w:trPr>
          <w:jc w:val="center"/>
        </w:trPr>
        <w:tc>
          <w:tcPr>
            <w:tcW w:w="1555" w:type="dxa"/>
            <w:tcBorders>
              <w:top w:val="single" w:sz="12" w:space="0" w:color="auto"/>
              <w:bottom w:val="single" w:sz="6" w:space="0" w:color="auto"/>
            </w:tcBorders>
            <w:vAlign w:val="center"/>
          </w:tcPr>
          <w:p w14:paraId="22CC9144" w14:textId="2C3A0D43" w:rsidR="00B45373" w:rsidRPr="00765034" w:rsidRDefault="00B45373" w:rsidP="00B45373">
            <w:pPr>
              <w:jc w:val="center"/>
              <w:rPr>
                <w:sz w:val="18"/>
                <w:szCs w:val="18"/>
              </w:rPr>
            </w:pPr>
            <w:r w:rsidRPr="00765034">
              <w:rPr>
                <w:rFonts w:eastAsia="Times New Roman"/>
                <w:b/>
                <w:color w:val="000000"/>
                <w:sz w:val="18"/>
                <w:szCs w:val="18"/>
              </w:rPr>
              <w:t>Longitudinal hormone history</w:t>
            </w:r>
          </w:p>
        </w:tc>
        <w:tc>
          <w:tcPr>
            <w:tcW w:w="997" w:type="dxa"/>
            <w:tcBorders>
              <w:top w:val="single" w:sz="12" w:space="0" w:color="auto"/>
              <w:bottom w:val="single" w:sz="6" w:space="0" w:color="auto"/>
            </w:tcBorders>
            <w:vAlign w:val="center"/>
          </w:tcPr>
          <w:p w14:paraId="1CED9ED1" w14:textId="4A1B95B0" w:rsidR="00B45373" w:rsidRPr="00765034" w:rsidRDefault="00B45373" w:rsidP="00B45373">
            <w:pPr>
              <w:jc w:val="center"/>
              <w:rPr>
                <w:sz w:val="18"/>
                <w:szCs w:val="18"/>
              </w:rPr>
            </w:pPr>
            <w:r w:rsidRPr="00765034">
              <w:rPr>
                <w:rFonts w:eastAsia="Times New Roman"/>
                <w:b/>
                <w:color w:val="000000"/>
                <w:sz w:val="18"/>
                <w:szCs w:val="18"/>
              </w:rPr>
              <w:t>n</w:t>
            </w:r>
          </w:p>
        </w:tc>
        <w:tc>
          <w:tcPr>
            <w:tcW w:w="1417" w:type="dxa"/>
            <w:tcBorders>
              <w:top w:val="single" w:sz="12" w:space="0" w:color="auto"/>
              <w:bottom w:val="single" w:sz="6" w:space="0" w:color="auto"/>
            </w:tcBorders>
            <w:vAlign w:val="center"/>
          </w:tcPr>
          <w:p w14:paraId="62F28BD8" w14:textId="1F4A4C51" w:rsidR="00B45373" w:rsidRPr="00765034" w:rsidRDefault="00B45373" w:rsidP="00B45373">
            <w:pPr>
              <w:jc w:val="center"/>
              <w:rPr>
                <w:sz w:val="18"/>
                <w:szCs w:val="18"/>
              </w:rPr>
            </w:pPr>
            <w:r w:rsidRPr="00765034">
              <w:rPr>
                <w:rFonts w:eastAsia="Times New Roman"/>
                <w:b/>
                <w:color w:val="000000"/>
                <w:sz w:val="18"/>
                <w:szCs w:val="18"/>
              </w:rPr>
              <w:t>False positive</w:t>
            </w:r>
          </w:p>
        </w:tc>
        <w:tc>
          <w:tcPr>
            <w:tcW w:w="1418" w:type="dxa"/>
            <w:tcBorders>
              <w:top w:val="single" w:sz="12" w:space="0" w:color="auto"/>
              <w:bottom w:val="single" w:sz="6" w:space="0" w:color="auto"/>
            </w:tcBorders>
            <w:vAlign w:val="center"/>
          </w:tcPr>
          <w:p w14:paraId="0DEBC818" w14:textId="005E8EEE" w:rsidR="00B45373" w:rsidRPr="00765034" w:rsidRDefault="00B45373" w:rsidP="00B45373">
            <w:pPr>
              <w:jc w:val="center"/>
              <w:rPr>
                <w:sz w:val="18"/>
                <w:szCs w:val="18"/>
              </w:rPr>
            </w:pPr>
            <w:r w:rsidRPr="00765034">
              <w:rPr>
                <w:rFonts w:eastAsia="Times New Roman"/>
                <w:b/>
                <w:color w:val="000000"/>
                <w:sz w:val="18"/>
                <w:szCs w:val="18"/>
              </w:rPr>
              <w:t>False negative</w:t>
            </w:r>
          </w:p>
        </w:tc>
        <w:tc>
          <w:tcPr>
            <w:tcW w:w="1417" w:type="dxa"/>
            <w:tcBorders>
              <w:top w:val="single" w:sz="12" w:space="0" w:color="auto"/>
              <w:bottom w:val="single" w:sz="6" w:space="0" w:color="auto"/>
            </w:tcBorders>
            <w:vAlign w:val="center"/>
          </w:tcPr>
          <w:p w14:paraId="29680667" w14:textId="469DE939" w:rsidR="00B45373" w:rsidRPr="00765034" w:rsidRDefault="00B45373" w:rsidP="00B45373">
            <w:pPr>
              <w:jc w:val="center"/>
              <w:rPr>
                <w:sz w:val="18"/>
                <w:szCs w:val="18"/>
              </w:rPr>
            </w:pPr>
            <w:r w:rsidRPr="00765034">
              <w:rPr>
                <w:rFonts w:eastAsia="Times New Roman"/>
                <w:b/>
                <w:color w:val="000000"/>
                <w:sz w:val="18"/>
                <w:szCs w:val="18"/>
              </w:rPr>
              <w:t>Discordant, n</w:t>
            </w:r>
          </w:p>
        </w:tc>
        <w:tc>
          <w:tcPr>
            <w:tcW w:w="2410" w:type="dxa"/>
            <w:tcBorders>
              <w:top w:val="single" w:sz="12" w:space="0" w:color="auto"/>
              <w:bottom w:val="single" w:sz="6" w:space="0" w:color="auto"/>
            </w:tcBorders>
            <w:vAlign w:val="center"/>
          </w:tcPr>
          <w:p w14:paraId="16CA746A" w14:textId="3309025B" w:rsidR="00B45373" w:rsidRPr="00765034" w:rsidRDefault="00B45373" w:rsidP="00B45373">
            <w:pPr>
              <w:jc w:val="center"/>
              <w:rPr>
                <w:sz w:val="18"/>
                <w:szCs w:val="18"/>
              </w:rPr>
            </w:pPr>
            <w:r w:rsidRPr="00765034">
              <w:rPr>
                <w:rFonts w:eastAsia="Times New Roman"/>
                <w:b/>
                <w:color w:val="000000"/>
                <w:sz w:val="18"/>
                <w:szCs w:val="18"/>
              </w:rPr>
              <w:t>Discordance rate (95% CI)</w:t>
            </w:r>
          </w:p>
        </w:tc>
      </w:tr>
      <w:tr w:rsidR="00B45373" w:rsidRPr="00765034" w14:paraId="24D4056A" w14:textId="77777777" w:rsidTr="00765034">
        <w:trPr>
          <w:jc w:val="center"/>
        </w:trPr>
        <w:tc>
          <w:tcPr>
            <w:tcW w:w="1555" w:type="dxa"/>
            <w:tcBorders>
              <w:top w:val="single" w:sz="6" w:space="0" w:color="auto"/>
            </w:tcBorders>
            <w:vAlign w:val="center"/>
          </w:tcPr>
          <w:p w14:paraId="1AA231DA" w14:textId="0F3CE360" w:rsidR="00B45373" w:rsidRPr="00765034" w:rsidRDefault="00B45373" w:rsidP="00B45373">
            <w:pPr>
              <w:jc w:val="center"/>
              <w:rPr>
                <w:sz w:val="18"/>
                <w:szCs w:val="18"/>
              </w:rPr>
            </w:pPr>
            <w:r w:rsidRPr="00765034">
              <w:rPr>
                <w:rFonts w:eastAsia="Times New Roman"/>
                <w:color w:val="000000"/>
                <w:sz w:val="18"/>
                <w:szCs w:val="18"/>
              </w:rPr>
              <w:t>Not available</w:t>
            </w:r>
          </w:p>
        </w:tc>
        <w:tc>
          <w:tcPr>
            <w:tcW w:w="997" w:type="dxa"/>
            <w:tcBorders>
              <w:top w:val="single" w:sz="6" w:space="0" w:color="auto"/>
            </w:tcBorders>
            <w:vAlign w:val="center"/>
          </w:tcPr>
          <w:p w14:paraId="5B5F3842" w14:textId="2DEB8AF4" w:rsidR="00B45373" w:rsidRPr="00765034" w:rsidRDefault="00B45373" w:rsidP="00B45373">
            <w:pPr>
              <w:jc w:val="center"/>
              <w:rPr>
                <w:sz w:val="18"/>
                <w:szCs w:val="18"/>
              </w:rPr>
            </w:pPr>
            <w:r w:rsidRPr="00765034">
              <w:rPr>
                <w:rFonts w:eastAsia="Times New Roman"/>
                <w:color w:val="000000"/>
                <w:sz w:val="18"/>
                <w:szCs w:val="18"/>
              </w:rPr>
              <w:t>101</w:t>
            </w:r>
          </w:p>
        </w:tc>
        <w:tc>
          <w:tcPr>
            <w:tcW w:w="1417" w:type="dxa"/>
            <w:tcBorders>
              <w:top w:val="single" w:sz="6" w:space="0" w:color="auto"/>
            </w:tcBorders>
            <w:vAlign w:val="center"/>
          </w:tcPr>
          <w:p w14:paraId="6EFE216D" w14:textId="403E8B82" w:rsidR="00B45373" w:rsidRPr="00765034" w:rsidRDefault="00B45373" w:rsidP="00B45373">
            <w:pPr>
              <w:jc w:val="center"/>
              <w:rPr>
                <w:sz w:val="18"/>
                <w:szCs w:val="18"/>
              </w:rPr>
            </w:pPr>
            <w:r w:rsidRPr="00765034">
              <w:rPr>
                <w:rFonts w:eastAsia="Times New Roman"/>
                <w:color w:val="000000"/>
                <w:sz w:val="18"/>
                <w:szCs w:val="18"/>
              </w:rPr>
              <w:t>25</w:t>
            </w:r>
          </w:p>
        </w:tc>
        <w:tc>
          <w:tcPr>
            <w:tcW w:w="1418" w:type="dxa"/>
            <w:tcBorders>
              <w:top w:val="single" w:sz="6" w:space="0" w:color="auto"/>
            </w:tcBorders>
            <w:vAlign w:val="center"/>
          </w:tcPr>
          <w:p w14:paraId="2655508E" w14:textId="3A7ABE0A" w:rsidR="00B45373" w:rsidRPr="00765034" w:rsidRDefault="00B45373" w:rsidP="00B45373">
            <w:pPr>
              <w:jc w:val="center"/>
              <w:rPr>
                <w:sz w:val="18"/>
                <w:szCs w:val="18"/>
              </w:rPr>
            </w:pPr>
            <w:r w:rsidRPr="00765034">
              <w:rPr>
                <w:rFonts w:eastAsia="Times New Roman"/>
                <w:color w:val="000000"/>
                <w:sz w:val="18"/>
                <w:szCs w:val="18"/>
              </w:rPr>
              <w:t>0</w:t>
            </w:r>
          </w:p>
        </w:tc>
        <w:tc>
          <w:tcPr>
            <w:tcW w:w="1417" w:type="dxa"/>
            <w:tcBorders>
              <w:top w:val="single" w:sz="6" w:space="0" w:color="auto"/>
            </w:tcBorders>
            <w:vAlign w:val="center"/>
          </w:tcPr>
          <w:p w14:paraId="3200181A" w14:textId="11D947DF" w:rsidR="00B45373" w:rsidRPr="00765034" w:rsidRDefault="00B45373" w:rsidP="00B45373">
            <w:pPr>
              <w:jc w:val="center"/>
              <w:rPr>
                <w:sz w:val="18"/>
                <w:szCs w:val="18"/>
              </w:rPr>
            </w:pPr>
            <w:r w:rsidRPr="00765034">
              <w:rPr>
                <w:rFonts w:eastAsia="Times New Roman"/>
                <w:color w:val="000000"/>
                <w:sz w:val="18"/>
                <w:szCs w:val="18"/>
              </w:rPr>
              <w:t>25</w:t>
            </w:r>
          </w:p>
        </w:tc>
        <w:tc>
          <w:tcPr>
            <w:tcW w:w="2410" w:type="dxa"/>
            <w:tcBorders>
              <w:top w:val="single" w:sz="6" w:space="0" w:color="auto"/>
            </w:tcBorders>
            <w:vAlign w:val="center"/>
          </w:tcPr>
          <w:p w14:paraId="48A95FFB" w14:textId="57A6FF5E" w:rsidR="00B45373" w:rsidRPr="00765034" w:rsidRDefault="00B45373" w:rsidP="00B45373">
            <w:pPr>
              <w:jc w:val="center"/>
              <w:rPr>
                <w:sz w:val="18"/>
                <w:szCs w:val="18"/>
              </w:rPr>
            </w:pPr>
            <w:r w:rsidRPr="00765034">
              <w:rPr>
                <w:rFonts w:eastAsia="Times New Roman"/>
                <w:color w:val="000000"/>
                <w:sz w:val="18"/>
                <w:szCs w:val="18"/>
              </w:rPr>
              <w:t>24.8% (17.4%–34.0%)</w:t>
            </w:r>
          </w:p>
        </w:tc>
      </w:tr>
      <w:tr w:rsidR="00B45373" w:rsidRPr="00765034" w14:paraId="5A6B0D94" w14:textId="77777777" w:rsidTr="00765034">
        <w:trPr>
          <w:jc w:val="center"/>
        </w:trPr>
        <w:tc>
          <w:tcPr>
            <w:tcW w:w="1555" w:type="dxa"/>
            <w:vAlign w:val="center"/>
          </w:tcPr>
          <w:p w14:paraId="74E07631" w14:textId="3C9F8C52" w:rsidR="00B45373" w:rsidRPr="00765034" w:rsidRDefault="00B45373" w:rsidP="00B45373">
            <w:pPr>
              <w:jc w:val="center"/>
              <w:rPr>
                <w:sz w:val="18"/>
                <w:szCs w:val="18"/>
              </w:rPr>
            </w:pPr>
            <w:r w:rsidRPr="00765034">
              <w:rPr>
                <w:rFonts w:eastAsia="Times New Roman"/>
                <w:color w:val="000000"/>
                <w:sz w:val="18"/>
                <w:szCs w:val="18"/>
              </w:rPr>
              <w:t>Available</w:t>
            </w:r>
          </w:p>
        </w:tc>
        <w:tc>
          <w:tcPr>
            <w:tcW w:w="997" w:type="dxa"/>
            <w:vAlign w:val="center"/>
          </w:tcPr>
          <w:p w14:paraId="622328F7" w14:textId="4FD6F117" w:rsidR="00B45373" w:rsidRPr="00765034" w:rsidRDefault="00B45373" w:rsidP="00B45373">
            <w:pPr>
              <w:jc w:val="center"/>
              <w:rPr>
                <w:sz w:val="18"/>
                <w:szCs w:val="18"/>
              </w:rPr>
            </w:pPr>
            <w:r w:rsidRPr="00765034">
              <w:rPr>
                <w:rFonts w:eastAsia="Times New Roman"/>
                <w:color w:val="000000"/>
                <w:sz w:val="18"/>
                <w:szCs w:val="18"/>
              </w:rPr>
              <w:t>899</w:t>
            </w:r>
          </w:p>
        </w:tc>
        <w:tc>
          <w:tcPr>
            <w:tcW w:w="1417" w:type="dxa"/>
            <w:vAlign w:val="center"/>
          </w:tcPr>
          <w:p w14:paraId="79E76C9C" w14:textId="03EBEE41" w:rsidR="00B45373" w:rsidRPr="00765034" w:rsidRDefault="00B45373" w:rsidP="00B45373">
            <w:pPr>
              <w:jc w:val="center"/>
              <w:rPr>
                <w:sz w:val="18"/>
                <w:szCs w:val="18"/>
              </w:rPr>
            </w:pPr>
            <w:r w:rsidRPr="00765034">
              <w:rPr>
                <w:rFonts w:eastAsia="Times New Roman"/>
                <w:color w:val="000000"/>
                <w:sz w:val="18"/>
                <w:szCs w:val="18"/>
              </w:rPr>
              <w:t>170</w:t>
            </w:r>
          </w:p>
        </w:tc>
        <w:tc>
          <w:tcPr>
            <w:tcW w:w="1418" w:type="dxa"/>
            <w:vAlign w:val="center"/>
          </w:tcPr>
          <w:p w14:paraId="3E3E978E" w14:textId="0D1FE080" w:rsidR="00B45373" w:rsidRPr="00765034" w:rsidRDefault="00B45373" w:rsidP="00B45373">
            <w:pPr>
              <w:jc w:val="center"/>
              <w:rPr>
                <w:sz w:val="18"/>
                <w:szCs w:val="18"/>
              </w:rPr>
            </w:pPr>
            <w:r w:rsidRPr="00765034">
              <w:rPr>
                <w:rFonts w:eastAsia="Times New Roman"/>
                <w:color w:val="000000"/>
                <w:sz w:val="18"/>
                <w:szCs w:val="18"/>
              </w:rPr>
              <w:t>23</w:t>
            </w:r>
          </w:p>
        </w:tc>
        <w:tc>
          <w:tcPr>
            <w:tcW w:w="1417" w:type="dxa"/>
            <w:vAlign w:val="center"/>
          </w:tcPr>
          <w:p w14:paraId="0248F83C" w14:textId="1AF43A69" w:rsidR="00B45373" w:rsidRPr="00765034" w:rsidRDefault="00B45373" w:rsidP="00B45373">
            <w:pPr>
              <w:jc w:val="center"/>
              <w:rPr>
                <w:sz w:val="18"/>
                <w:szCs w:val="18"/>
              </w:rPr>
            </w:pPr>
            <w:r w:rsidRPr="00765034">
              <w:rPr>
                <w:rFonts w:eastAsia="Times New Roman"/>
                <w:color w:val="000000"/>
                <w:sz w:val="18"/>
                <w:szCs w:val="18"/>
              </w:rPr>
              <w:t>193</w:t>
            </w:r>
          </w:p>
        </w:tc>
        <w:tc>
          <w:tcPr>
            <w:tcW w:w="2410" w:type="dxa"/>
            <w:vAlign w:val="center"/>
          </w:tcPr>
          <w:p w14:paraId="4467BA83" w14:textId="2671928E" w:rsidR="00B45373" w:rsidRPr="00765034" w:rsidRDefault="00B45373" w:rsidP="00B45373">
            <w:pPr>
              <w:jc w:val="center"/>
              <w:rPr>
                <w:sz w:val="18"/>
                <w:szCs w:val="18"/>
              </w:rPr>
            </w:pPr>
            <w:r w:rsidRPr="00765034">
              <w:rPr>
                <w:rFonts w:eastAsia="Times New Roman"/>
                <w:color w:val="000000"/>
                <w:sz w:val="18"/>
                <w:szCs w:val="18"/>
              </w:rPr>
              <w:t>21.5% (18.9%–24.3%)</w:t>
            </w:r>
          </w:p>
        </w:tc>
      </w:tr>
    </w:tbl>
    <w:p w14:paraId="18AA6CDE" w14:textId="77777777" w:rsidR="0043516B" w:rsidRDefault="0043516B" w:rsidP="00B45373">
      <w:pPr>
        <w:rPr>
          <w:b/>
          <w:bCs/>
          <w:sz w:val="18"/>
        </w:rPr>
      </w:pPr>
    </w:p>
    <w:p w14:paraId="4A720D2F" w14:textId="77777777" w:rsidR="0043516B" w:rsidRPr="00765034" w:rsidRDefault="0043516B" w:rsidP="00C9263D">
      <w:pPr>
        <w:pStyle w:val="1"/>
        <w:ind w:left="210" w:right="210"/>
      </w:pPr>
      <w:bookmarkStart w:id="11" w:name="_Toc238946683"/>
      <w:r w:rsidRPr="00765034">
        <w:lastRenderedPageBreak/>
        <w:t>Supplementary Results S2. PBRTQC prospective silent operation</w:t>
      </w:r>
      <w:bookmarkEnd w:id="11"/>
    </w:p>
    <w:p w14:paraId="750DCB35" w14:textId="77777777" w:rsidR="0043516B" w:rsidRPr="00765034" w:rsidRDefault="0043516B" w:rsidP="00765034">
      <w:pPr>
        <w:spacing w:after="0" w:line="360" w:lineRule="auto"/>
        <w:ind w:firstLineChars="200" w:firstLine="480"/>
        <w:rPr>
          <w:rFonts w:eastAsia="Times New Roman"/>
          <w:color w:val="000000"/>
          <w:sz w:val="24"/>
        </w:rPr>
      </w:pPr>
      <w:r w:rsidRPr="00765034">
        <w:rPr>
          <w:rFonts w:eastAsia="Times New Roman"/>
          <w:color w:val="000000"/>
          <w:sz w:val="24"/>
        </w:rPr>
        <w:t>During prospective silent operation from 1 March to 1 May 2026, PBRTQC generated 52 analyte-level alerts. Review of the underlying result sequences and the available internal quality-control data, calibration records, reagent-lot information, instrument-maintenance records, and repeat-test results did not confirm a naturally occurring system-level analytical event during the observation period. The prospective phase therefore characterized false-alert performance in routine data streams but did not evaluate detection of naturally occurring analytical shifts.</w:t>
      </w:r>
    </w:p>
    <w:p w14:paraId="4181C792" w14:textId="7E2BE56F" w:rsidR="0043516B" w:rsidRPr="00765034" w:rsidRDefault="0043516B" w:rsidP="00F74D52">
      <w:pPr>
        <w:pStyle w:val="SupplementaryTableCaption"/>
      </w:pPr>
      <w:bookmarkStart w:id="12" w:name="_Toc238946684"/>
      <w:r w:rsidRPr="00765034">
        <w:t>Supplementary Table S7. Analyte-level alerts during prospective PBRTQC silent operation</w:t>
      </w:r>
      <w:bookmarkEnd w:id="12"/>
    </w:p>
    <w:tbl>
      <w:tblPr>
        <w:tblStyle w:val="a8"/>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766"/>
        <w:gridCol w:w="2766"/>
        <w:gridCol w:w="2767"/>
      </w:tblGrid>
      <w:tr w:rsidR="0043516B" w:rsidRPr="00765034" w14:paraId="0287AE0E" w14:textId="77777777" w:rsidTr="0043516B">
        <w:trPr>
          <w:jc w:val="center"/>
        </w:trPr>
        <w:tc>
          <w:tcPr>
            <w:tcW w:w="2766" w:type="dxa"/>
            <w:tcBorders>
              <w:top w:val="single" w:sz="12" w:space="0" w:color="auto"/>
              <w:bottom w:val="single" w:sz="6" w:space="0" w:color="auto"/>
            </w:tcBorders>
            <w:vAlign w:val="center"/>
          </w:tcPr>
          <w:p w14:paraId="4B323D7F" w14:textId="596F7145" w:rsidR="0043516B" w:rsidRPr="00765034" w:rsidRDefault="0043516B" w:rsidP="0043516B">
            <w:pPr>
              <w:jc w:val="center"/>
              <w:rPr>
                <w:b/>
                <w:bCs/>
                <w:sz w:val="18"/>
                <w:szCs w:val="18"/>
              </w:rPr>
            </w:pPr>
            <w:r w:rsidRPr="00765034">
              <w:rPr>
                <w:rFonts w:eastAsia="Times New Roman"/>
                <w:b/>
                <w:color w:val="000000"/>
                <w:sz w:val="18"/>
                <w:szCs w:val="18"/>
              </w:rPr>
              <w:t>Analyte</w:t>
            </w:r>
          </w:p>
        </w:tc>
        <w:tc>
          <w:tcPr>
            <w:tcW w:w="2766" w:type="dxa"/>
            <w:tcBorders>
              <w:top w:val="single" w:sz="12" w:space="0" w:color="auto"/>
              <w:bottom w:val="single" w:sz="6" w:space="0" w:color="auto"/>
            </w:tcBorders>
            <w:vAlign w:val="center"/>
          </w:tcPr>
          <w:p w14:paraId="616E0641" w14:textId="23594DF1" w:rsidR="0043516B" w:rsidRPr="00765034" w:rsidRDefault="0043516B" w:rsidP="0043516B">
            <w:pPr>
              <w:jc w:val="center"/>
              <w:rPr>
                <w:b/>
                <w:bCs/>
                <w:sz w:val="18"/>
                <w:szCs w:val="18"/>
              </w:rPr>
            </w:pPr>
            <w:r w:rsidRPr="00765034">
              <w:rPr>
                <w:rFonts w:eastAsia="Times New Roman"/>
                <w:b/>
                <w:color w:val="000000"/>
                <w:sz w:val="18"/>
                <w:szCs w:val="18"/>
              </w:rPr>
              <w:t>Alerts, n</w:t>
            </w:r>
          </w:p>
        </w:tc>
        <w:tc>
          <w:tcPr>
            <w:tcW w:w="2767" w:type="dxa"/>
            <w:tcBorders>
              <w:top w:val="single" w:sz="12" w:space="0" w:color="auto"/>
              <w:bottom w:val="single" w:sz="6" w:space="0" w:color="auto"/>
            </w:tcBorders>
            <w:vAlign w:val="center"/>
          </w:tcPr>
          <w:p w14:paraId="54F2D2A4" w14:textId="340FE347" w:rsidR="0043516B" w:rsidRPr="00765034" w:rsidRDefault="0043516B" w:rsidP="0043516B">
            <w:pPr>
              <w:jc w:val="center"/>
              <w:rPr>
                <w:b/>
                <w:bCs/>
                <w:sz w:val="18"/>
                <w:szCs w:val="18"/>
              </w:rPr>
            </w:pPr>
            <w:r w:rsidRPr="00765034">
              <w:rPr>
                <w:rFonts w:eastAsia="Times New Roman"/>
                <w:b/>
                <w:color w:val="000000"/>
                <w:sz w:val="18"/>
                <w:szCs w:val="18"/>
              </w:rPr>
              <w:t>False-alert rate (95% CI)</w:t>
            </w:r>
          </w:p>
        </w:tc>
      </w:tr>
      <w:tr w:rsidR="0043516B" w:rsidRPr="00765034" w14:paraId="3DB6693A" w14:textId="77777777" w:rsidTr="0043516B">
        <w:trPr>
          <w:jc w:val="center"/>
        </w:trPr>
        <w:tc>
          <w:tcPr>
            <w:tcW w:w="2766" w:type="dxa"/>
            <w:tcBorders>
              <w:top w:val="single" w:sz="6" w:space="0" w:color="auto"/>
            </w:tcBorders>
            <w:vAlign w:val="center"/>
          </w:tcPr>
          <w:p w14:paraId="2A2D05B6" w14:textId="63E13781" w:rsidR="0043516B" w:rsidRPr="00765034" w:rsidRDefault="0043516B" w:rsidP="0043516B">
            <w:pPr>
              <w:jc w:val="center"/>
              <w:rPr>
                <w:b/>
                <w:bCs/>
                <w:sz w:val="18"/>
                <w:szCs w:val="18"/>
              </w:rPr>
            </w:pPr>
            <w:r w:rsidRPr="00765034">
              <w:rPr>
                <w:rFonts w:eastAsia="Times New Roman"/>
                <w:color w:val="000000"/>
                <w:sz w:val="18"/>
                <w:szCs w:val="18"/>
              </w:rPr>
              <w:t>E2</w:t>
            </w:r>
          </w:p>
        </w:tc>
        <w:tc>
          <w:tcPr>
            <w:tcW w:w="2766" w:type="dxa"/>
            <w:tcBorders>
              <w:top w:val="single" w:sz="6" w:space="0" w:color="auto"/>
            </w:tcBorders>
            <w:vAlign w:val="center"/>
          </w:tcPr>
          <w:p w14:paraId="1C40DA8F" w14:textId="521B2FB2" w:rsidR="0043516B" w:rsidRPr="00765034" w:rsidRDefault="0043516B" w:rsidP="0043516B">
            <w:pPr>
              <w:jc w:val="center"/>
              <w:rPr>
                <w:b/>
                <w:bCs/>
                <w:sz w:val="18"/>
                <w:szCs w:val="18"/>
              </w:rPr>
            </w:pPr>
            <w:r w:rsidRPr="00765034">
              <w:rPr>
                <w:rFonts w:eastAsia="Times New Roman"/>
                <w:color w:val="000000"/>
                <w:sz w:val="18"/>
                <w:szCs w:val="18"/>
              </w:rPr>
              <w:t>16</w:t>
            </w:r>
          </w:p>
        </w:tc>
        <w:tc>
          <w:tcPr>
            <w:tcW w:w="2767" w:type="dxa"/>
            <w:tcBorders>
              <w:top w:val="single" w:sz="6" w:space="0" w:color="auto"/>
            </w:tcBorders>
            <w:vAlign w:val="center"/>
          </w:tcPr>
          <w:p w14:paraId="7F0D5658" w14:textId="7801A5B7" w:rsidR="0043516B" w:rsidRPr="00765034" w:rsidRDefault="0043516B" w:rsidP="0043516B">
            <w:pPr>
              <w:jc w:val="center"/>
              <w:rPr>
                <w:b/>
                <w:bCs/>
                <w:sz w:val="18"/>
                <w:szCs w:val="18"/>
              </w:rPr>
            </w:pPr>
            <w:r w:rsidRPr="00765034">
              <w:rPr>
                <w:rFonts w:eastAsia="Times New Roman"/>
                <w:color w:val="000000"/>
                <w:sz w:val="18"/>
                <w:szCs w:val="18"/>
              </w:rPr>
              <w:t>1.28% (0.79%–2.07%)</w:t>
            </w:r>
          </w:p>
        </w:tc>
      </w:tr>
      <w:tr w:rsidR="0043516B" w:rsidRPr="00765034" w14:paraId="31ECBE78" w14:textId="77777777" w:rsidTr="0043516B">
        <w:trPr>
          <w:jc w:val="center"/>
        </w:trPr>
        <w:tc>
          <w:tcPr>
            <w:tcW w:w="2766" w:type="dxa"/>
            <w:vAlign w:val="center"/>
          </w:tcPr>
          <w:p w14:paraId="19EFA845" w14:textId="723F4674" w:rsidR="0043516B" w:rsidRPr="00765034" w:rsidRDefault="0043516B" w:rsidP="0043516B">
            <w:pPr>
              <w:jc w:val="center"/>
              <w:rPr>
                <w:b/>
                <w:bCs/>
                <w:sz w:val="18"/>
                <w:szCs w:val="18"/>
              </w:rPr>
            </w:pPr>
            <w:r w:rsidRPr="00765034">
              <w:rPr>
                <w:rFonts w:eastAsia="Times New Roman"/>
                <w:color w:val="000000"/>
                <w:sz w:val="18"/>
                <w:szCs w:val="18"/>
              </w:rPr>
              <w:t>P</w:t>
            </w:r>
          </w:p>
        </w:tc>
        <w:tc>
          <w:tcPr>
            <w:tcW w:w="2766" w:type="dxa"/>
            <w:vAlign w:val="center"/>
          </w:tcPr>
          <w:p w14:paraId="1A171C83" w14:textId="007EBC6B" w:rsidR="0043516B" w:rsidRPr="00765034" w:rsidRDefault="0043516B" w:rsidP="0043516B">
            <w:pPr>
              <w:jc w:val="center"/>
              <w:rPr>
                <w:b/>
                <w:bCs/>
                <w:sz w:val="18"/>
                <w:szCs w:val="18"/>
              </w:rPr>
            </w:pPr>
            <w:r w:rsidRPr="00765034">
              <w:rPr>
                <w:rFonts w:eastAsia="Times New Roman"/>
                <w:color w:val="000000"/>
                <w:sz w:val="18"/>
                <w:szCs w:val="18"/>
              </w:rPr>
              <w:t>8</w:t>
            </w:r>
          </w:p>
        </w:tc>
        <w:tc>
          <w:tcPr>
            <w:tcW w:w="2767" w:type="dxa"/>
            <w:vAlign w:val="center"/>
          </w:tcPr>
          <w:p w14:paraId="03AD7EF9" w14:textId="190EF41E" w:rsidR="0043516B" w:rsidRPr="00765034" w:rsidRDefault="0043516B" w:rsidP="0043516B">
            <w:pPr>
              <w:jc w:val="center"/>
              <w:rPr>
                <w:b/>
                <w:bCs/>
                <w:sz w:val="18"/>
                <w:szCs w:val="18"/>
              </w:rPr>
            </w:pPr>
            <w:r w:rsidRPr="00765034">
              <w:rPr>
                <w:rFonts w:eastAsia="Times New Roman"/>
                <w:color w:val="000000"/>
                <w:sz w:val="18"/>
                <w:szCs w:val="18"/>
              </w:rPr>
              <w:t>0.67% (0.34%–1.31%)</w:t>
            </w:r>
          </w:p>
        </w:tc>
      </w:tr>
      <w:tr w:rsidR="0043516B" w:rsidRPr="00765034" w14:paraId="4F239C5D" w14:textId="77777777" w:rsidTr="0043516B">
        <w:trPr>
          <w:jc w:val="center"/>
        </w:trPr>
        <w:tc>
          <w:tcPr>
            <w:tcW w:w="2766" w:type="dxa"/>
            <w:vAlign w:val="center"/>
          </w:tcPr>
          <w:p w14:paraId="6253DB48" w14:textId="6DB7F2EC" w:rsidR="0043516B" w:rsidRPr="00765034" w:rsidRDefault="0043516B" w:rsidP="0043516B">
            <w:pPr>
              <w:jc w:val="center"/>
              <w:rPr>
                <w:b/>
                <w:bCs/>
                <w:sz w:val="18"/>
                <w:szCs w:val="18"/>
              </w:rPr>
            </w:pPr>
            <w:r w:rsidRPr="00765034">
              <w:rPr>
                <w:rFonts w:eastAsia="Times New Roman"/>
                <w:color w:val="000000"/>
                <w:sz w:val="18"/>
                <w:szCs w:val="18"/>
              </w:rPr>
              <w:t>LH</w:t>
            </w:r>
          </w:p>
        </w:tc>
        <w:tc>
          <w:tcPr>
            <w:tcW w:w="2766" w:type="dxa"/>
            <w:vAlign w:val="center"/>
          </w:tcPr>
          <w:p w14:paraId="46104341" w14:textId="44EF2CC6" w:rsidR="0043516B" w:rsidRPr="00765034" w:rsidRDefault="0043516B" w:rsidP="0043516B">
            <w:pPr>
              <w:jc w:val="center"/>
              <w:rPr>
                <w:b/>
                <w:bCs/>
                <w:sz w:val="18"/>
                <w:szCs w:val="18"/>
              </w:rPr>
            </w:pPr>
            <w:r w:rsidRPr="00765034">
              <w:rPr>
                <w:rFonts w:eastAsia="Times New Roman"/>
                <w:color w:val="000000"/>
                <w:sz w:val="18"/>
                <w:szCs w:val="18"/>
              </w:rPr>
              <w:t>13</w:t>
            </w:r>
          </w:p>
        </w:tc>
        <w:tc>
          <w:tcPr>
            <w:tcW w:w="2767" w:type="dxa"/>
            <w:vAlign w:val="center"/>
          </w:tcPr>
          <w:p w14:paraId="78F0F63E" w14:textId="269592B4" w:rsidR="0043516B" w:rsidRPr="00765034" w:rsidRDefault="0043516B" w:rsidP="0043516B">
            <w:pPr>
              <w:jc w:val="center"/>
              <w:rPr>
                <w:b/>
                <w:bCs/>
                <w:sz w:val="18"/>
                <w:szCs w:val="18"/>
              </w:rPr>
            </w:pPr>
            <w:r w:rsidRPr="00765034">
              <w:rPr>
                <w:rFonts w:eastAsia="Times New Roman"/>
                <w:color w:val="000000"/>
                <w:sz w:val="18"/>
                <w:szCs w:val="18"/>
              </w:rPr>
              <w:t>1.25% (0.73%–2.12%)</w:t>
            </w:r>
          </w:p>
        </w:tc>
      </w:tr>
      <w:tr w:rsidR="0043516B" w:rsidRPr="00765034" w14:paraId="33E914AB" w14:textId="77777777" w:rsidTr="0043516B">
        <w:trPr>
          <w:jc w:val="center"/>
        </w:trPr>
        <w:tc>
          <w:tcPr>
            <w:tcW w:w="2766" w:type="dxa"/>
            <w:vAlign w:val="center"/>
          </w:tcPr>
          <w:p w14:paraId="24326E95" w14:textId="5329D702" w:rsidR="0043516B" w:rsidRPr="00765034" w:rsidRDefault="0043516B" w:rsidP="0043516B">
            <w:pPr>
              <w:jc w:val="center"/>
              <w:rPr>
                <w:b/>
                <w:bCs/>
                <w:sz w:val="18"/>
                <w:szCs w:val="18"/>
              </w:rPr>
            </w:pPr>
            <w:r w:rsidRPr="00765034">
              <w:rPr>
                <w:rFonts w:eastAsia="Times New Roman"/>
                <w:color w:val="000000"/>
                <w:sz w:val="18"/>
                <w:szCs w:val="18"/>
              </w:rPr>
              <w:t>FSH</w:t>
            </w:r>
          </w:p>
        </w:tc>
        <w:tc>
          <w:tcPr>
            <w:tcW w:w="2766" w:type="dxa"/>
            <w:vAlign w:val="center"/>
          </w:tcPr>
          <w:p w14:paraId="3DC918F4" w14:textId="072A5CD8" w:rsidR="0043516B" w:rsidRPr="00765034" w:rsidRDefault="0043516B" w:rsidP="0043516B">
            <w:pPr>
              <w:jc w:val="center"/>
              <w:rPr>
                <w:b/>
                <w:bCs/>
                <w:sz w:val="18"/>
                <w:szCs w:val="18"/>
              </w:rPr>
            </w:pPr>
            <w:r w:rsidRPr="00765034">
              <w:rPr>
                <w:rFonts w:eastAsia="Times New Roman"/>
                <w:color w:val="000000"/>
                <w:sz w:val="18"/>
                <w:szCs w:val="18"/>
              </w:rPr>
              <w:t>8</w:t>
            </w:r>
          </w:p>
        </w:tc>
        <w:tc>
          <w:tcPr>
            <w:tcW w:w="2767" w:type="dxa"/>
            <w:vAlign w:val="center"/>
          </w:tcPr>
          <w:p w14:paraId="66CF25C6" w14:textId="7F387A45" w:rsidR="0043516B" w:rsidRPr="00765034" w:rsidRDefault="0043516B" w:rsidP="0043516B">
            <w:pPr>
              <w:jc w:val="center"/>
              <w:rPr>
                <w:b/>
                <w:bCs/>
                <w:sz w:val="18"/>
                <w:szCs w:val="18"/>
              </w:rPr>
            </w:pPr>
            <w:r w:rsidRPr="00765034">
              <w:rPr>
                <w:rFonts w:eastAsia="Times New Roman"/>
                <w:color w:val="000000"/>
                <w:sz w:val="18"/>
                <w:szCs w:val="18"/>
              </w:rPr>
              <w:t>0.82% (0.41%–1.60%)</w:t>
            </w:r>
          </w:p>
        </w:tc>
      </w:tr>
      <w:tr w:rsidR="0043516B" w:rsidRPr="00765034" w14:paraId="449EB4D6" w14:textId="77777777" w:rsidTr="0043516B">
        <w:trPr>
          <w:jc w:val="center"/>
        </w:trPr>
        <w:tc>
          <w:tcPr>
            <w:tcW w:w="2766" w:type="dxa"/>
            <w:vAlign w:val="center"/>
          </w:tcPr>
          <w:p w14:paraId="0FCAA1A4" w14:textId="34B7A4ED" w:rsidR="0043516B" w:rsidRPr="00765034" w:rsidRDefault="0043516B" w:rsidP="0043516B">
            <w:pPr>
              <w:jc w:val="center"/>
              <w:rPr>
                <w:b/>
                <w:bCs/>
                <w:sz w:val="18"/>
                <w:szCs w:val="18"/>
              </w:rPr>
            </w:pPr>
            <w:proofErr w:type="spellStart"/>
            <w:r w:rsidRPr="00765034">
              <w:rPr>
                <w:rFonts w:eastAsia="Times New Roman"/>
                <w:color w:val="000000"/>
                <w:sz w:val="18"/>
                <w:szCs w:val="18"/>
              </w:rPr>
              <w:t>hCG</w:t>
            </w:r>
            <w:proofErr w:type="spellEnd"/>
          </w:p>
        </w:tc>
        <w:tc>
          <w:tcPr>
            <w:tcW w:w="2766" w:type="dxa"/>
            <w:vAlign w:val="center"/>
          </w:tcPr>
          <w:p w14:paraId="6BA7C8EC" w14:textId="043ED551" w:rsidR="0043516B" w:rsidRPr="00765034" w:rsidRDefault="0043516B" w:rsidP="0043516B">
            <w:pPr>
              <w:jc w:val="center"/>
              <w:rPr>
                <w:b/>
                <w:bCs/>
                <w:sz w:val="18"/>
                <w:szCs w:val="18"/>
              </w:rPr>
            </w:pPr>
            <w:r w:rsidRPr="00765034">
              <w:rPr>
                <w:rFonts w:eastAsia="Times New Roman"/>
                <w:color w:val="000000"/>
                <w:sz w:val="18"/>
                <w:szCs w:val="18"/>
              </w:rPr>
              <w:t>7</w:t>
            </w:r>
          </w:p>
        </w:tc>
        <w:tc>
          <w:tcPr>
            <w:tcW w:w="2767" w:type="dxa"/>
            <w:vAlign w:val="center"/>
          </w:tcPr>
          <w:p w14:paraId="1ED3F65B" w14:textId="798A4742" w:rsidR="0043516B" w:rsidRPr="00765034" w:rsidRDefault="0043516B" w:rsidP="0043516B">
            <w:pPr>
              <w:jc w:val="center"/>
              <w:rPr>
                <w:b/>
                <w:bCs/>
                <w:sz w:val="18"/>
                <w:szCs w:val="18"/>
              </w:rPr>
            </w:pPr>
            <w:r w:rsidRPr="00765034">
              <w:rPr>
                <w:rFonts w:eastAsia="Times New Roman"/>
                <w:color w:val="000000"/>
                <w:sz w:val="18"/>
                <w:szCs w:val="18"/>
              </w:rPr>
              <w:t>0.92% (0.44%–1.88%)</w:t>
            </w:r>
          </w:p>
        </w:tc>
      </w:tr>
      <w:tr w:rsidR="0043516B" w:rsidRPr="00765034" w14:paraId="48AC2F05" w14:textId="77777777" w:rsidTr="0043516B">
        <w:trPr>
          <w:jc w:val="center"/>
        </w:trPr>
        <w:tc>
          <w:tcPr>
            <w:tcW w:w="2766" w:type="dxa"/>
            <w:vAlign w:val="center"/>
          </w:tcPr>
          <w:p w14:paraId="178C3CED" w14:textId="48DCB014" w:rsidR="0043516B" w:rsidRPr="00765034" w:rsidRDefault="0043516B" w:rsidP="0043516B">
            <w:pPr>
              <w:jc w:val="center"/>
              <w:rPr>
                <w:b/>
                <w:bCs/>
                <w:sz w:val="18"/>
                <w:szCs w:val="18"/>
              </w:rPr>
            </w:pPr>
            <w:r w:rsidRPr="00765034">
              <w:rPr>
                <w:rFonts w:eastAsia="Times New Roman"/>
                <w:color w:val="000000"/>
                <w:sz w:val="18"/>
                <w:szCs w:val="18"/>
              </w:rPr>
              <w:t>Total</w:t>
            </w:r>
          </w:p>
        </w:tc>
        <w:tc>
          <w:tcPr>
            <w:tcW w:w="2766" w:type="dxa"/>
            <w:vAlign w:val="center"/>
          </w:tcPr>
          <w:p w14:paraId="7A0A1900" w14:textId="555BC7E8" w:rsidR="0043516B" w:rsidRPr="00765034" w:rsidRDefault="0043516B" w:rsidP="0043516B">
            <w:pPr>
              <w:jc w:val="center"/>
              <w:rPr>
                <w:b/>
                <w:bCs/>
                <w:sz w:val="18"/>
                <w:szCs w:val="18"/>
              </w:rPr>
            </w:pPr>
            <w:r w:rsidRPr="00765034">
              <w:rPr>
                <w:rFonts w:eastAsia="Times New Roman"/>
                <w:color w:val="000000"/>
                <w:sz w:val="18"/>
                <w:szCs w:val="18"/>
              </w:rPr>
              <w:t>52</w:t>
            </w:r>
          </w:p>
        </w:tc>
        <w:tc>
          <w:tcPr>
            <w:tcW w:w="2767" w:type="dxa"/>
            <w:vAlign w:val="center"/>
          </w:tcPr>
          <w:p w14:paraId="706E0B16" w14:textId="3D10E48D" w:rsidR="0043516B" w:rsidRPr="00765034" w:rsidRDefault="0043516B" w:rsidP="0043516B">
            <w:pPr>
              <w:jc w:val="center"/>
              <w:rPr>
                <w:b/>
                <w:bCs/>
                <w:sz w:val="18"/>
                <w:szCs w:val="18"/>
              </w:rPr>
            </w:pPr>
            <w:r w:rsidRPr="00765034">
              <w:rPr>
                <w:rFonts w:eastAsia="Times New Roman"/>
                <w:color w:val="000000"/>
                <w:sz w:val="18"/>
                <w:szCs w:val="18"/>
              </w:rPr>
              <w:t>—</w:t>
            </w:r>
          </w:p>
        </w:tc>
      </w:tr>
    </w:tbl>
    <w:p w14:paraId="0829C191" w14:textId="77777777" w:rsidR="0043516B" w:rsidRDefault="0043516B" w:rsidP="0043516B">
      <w:pPr>
        <w:rPr>
          <w:b/>
          <w:bCs/>
          <w:sz w:val="18"/>
        </w:rPr>
      </w:pPr>
    </w:p>
    <w:p w14:paraId="1903C741" w14:textId="0C832BF6" w:rsidR="0043516B" w:rsidRPr="00765034" w:rsidRDefault="0043516B" w:rsidP="00F74D52">
      <w:pPr>
        <w:pStyle w:val="1"/>
      </w:pPr>
      <w:bookmarkStart w:id="13" w:name="_Toc238946685"/>
      <w:r w:rsidRPr="00765034">
        <w:t>Abbreviations</w:t>
      </w:r>
      <w:bookmarkEnd w:id="13"/>
    </w:p>
    <w:p w14:paraId="17095D02" w14:textId="6D5B9AA9" w:rsidR="0043516B" w:rsidRPr="00765034" w:rsidRDefault="0043516B" w:rsidP="00765034">
      <w:pPr>
        <w:spacing w:after="0" w:line="360" w:lineRule="auto"/>
        <w:rPr>
          <w:sz w:val="24"/>
        </w:rPr>
      </w:pPr>
      <w:r w:rsidRPr="00765034">
        <w:rPr>
          <w:sz w:val="24"/>
        </w:rPr>
        <w:t xml:space="preserve">ART, assisted reproductive technology; CI, confidence interval; E2, estradiol; EWMA, exponentially weighted moving average; FNR, false-negative rate; FSH, follicle-stimulating hormone; </w:t>
      </w:r>
      <w:proofErr w:type="spellStart"/>
      <w:r w:rsidRPr="00765034">
        <w:rPr>
          <w:sz w:val="24"/>
        </w:rPr>
        <w:t>hCG</w:t>
      </w:r>
      <w:proofErr w:type="spellEnd"/>
      <w:r w:rsidRPr="00765034">
        <w:rPr>
          <w:sz w:val="24"/>
        </w:rPr>
        <w:t xml:space="preserve">, human chorionic gonadotropin; LH, luteinizing hormone; LLM, large language model; </w:t>
      </w:r>
      <w:proofErr w:type="spellStart"/>
      <w:r w:rsidRPr="00765034">
        <w:rPr>
          <w:sz w:val="24"/>
        </w:rPr>
        <w:t>LoRA</w:t>
      </w:r>
      <w:proofErr w:type="spellEnd"/>
      <w:r w:rsidRPr="00765034">
        <w:rPr>
          <w:sz w:val="24"/>
        </w:rPr>
        <w:t xml:space="preserve">, low-rank adaptation; MAD, median absolute deviation; NPV, negative predictive value; P, progesterone; PBRTQC, patient-based real-time quality control; </w:t>
      </w:r>
      <w:proofErr w:type="spellStart"/>
      <w:r w:rsidRPr="00765034">
        <w:rPr>
          <w:sz w:val="24"/>
        </w:rPr>
        <w:t>XGBoost</w:t>
      </w:r>
      <w:proofErr w:type="spellEnd"/>
      <w:r w:rsidRPr="00765034">
        <w:rPr>
          <w:sz w:val="24"/>
        </w:rPr>
        <w:t>, extreme gradient boosting.</w:t>
      </w:r>
    </w:p>
    <w:p w14:paraId="10592A39" w14:textId="77777777" w:rsidR="0043516B" w:rsidRPr="0043516B" w:rsidRDefault="0043516B" w:rsidP="00B45373">
      <w:pPr>
        <w:rPr>
          <w:b/>
          <w:bCs/>
          <w:sz w:val="18"/>
        </w:rPr>
      </w:pPr>
    </w:p>
    <w:sectPr w:rsidR="0043516B" w:rsidRPr="0043516B">
      <w:footerReference w:type="even" r:id="rId7"/>
      <w:footerReference w:type="default" r:id="rId8"/>
      <w:pgSz w:w="11909" w:h="16834"/>
      <w:pgMar w:top="1440" w:right="1800" w:bottom="1440" w:left="1800" w:header="706" w:footer="706"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9BC32D" w14:textId="77777777" w:rsidR="000F1F1C" w:rsidRDefault="000F1F1C">
      <w:pPr>
        <w:spacing w:line="240" w:lineRule="auto"/>
      </w:pPr>
      <w:r>
        <w:separator/>
      </w:r>
    </w:p>
  </w:endnote>
  <w:endnote w:type="continuationSeparator" w:id="0">
    <w:p w14:paraId="7B5EC91E" w14:textId="77777777" w:rsidR="000F1F1C" w:rsidRDefault="000F1F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华文宋体">
    <w:altName w:val="STSong"/>
    <w:panose1 w:val="02010600040101010101"/>
    <w:charset w:val="86"/>
    <w:family w:val="auto"/>
    <w:pitch w:val="variable"/>
    <w:sig w:usb0="80000287" w:usb1="280F3C52" w:usb2="00000016" w:usb3="00000000" w:csb0="0004001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9"/>
      </w:rPr>
      <w:id w:val="1439794513"/>
    </w:sdtPr>
    <w:sdtContent>
      <w:p w14:paraId="564E66E3" w14:textId="77777777" w:rsidR="00A456C6" w:rsidRDefault="00000000" w:rsidP="004B7629">
        <w:pPr>
          <w:pStyle w:val="a4"/>
          <w:framePr w:wrap="none" w:vAnchor="text" w:hAnchor="margin" w:xAlign="center" w:y="1"/>
          <w:rPr>
            <w:rStyle w:val="a9"/>
          </w:rPr>
        </w:pPr>
        <w:r>
          <w:rPr>
            <w:rStyle w:val="a9"/>
          </w:rPr>
          <w:fldChar w:fldCharType="begin"/>
        </w:r>
        <w:r>
          <w:rPr>
            <w:rStyle w:val="a9"/>
          </w:rPr>
          <w:instrText xml:space="preserve"> PAGE </w:instrText>
        </w:r>
        <w:r>
          <w:rPr>
            <w:rStyle w:val="a9"/>
          </w:rPr>
          <w:fldChar w:fldCharType="separate"/>
        </w:r>
        <w:r>
          <w:rPr>
            <w:rStyle w:val="a9"/>
          </w:rPr>
          <w:t>1</w:t>
        </w:r>
        <w:r>
          <w:rPr>
            <w:rStyle w:val="a9"/>
          </w:rPr>
          <w:fldChar w:fldCharType="end"/>
        </w:r>
      </w:p>
    </w:sdtContent>
  </w:sdt>
  <w:p w14:paraId="18CDFA05" w14:textId="77777777" w:rsidR="00A456C6" w:rsidRDefault="00A456C6">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9"/>
      </w:rPr>
      <w:id w:val="-721287528"/>
    </w:sdtPr>
    <w:sdtContent>
      <w:p w14:paraId="7F805E1B" w14:textId="77777777" w:rsidR="00A456C6" w:rsidRDefault="00000000" w:rsidP="004B7629">
        <w:pPr>
          <w:pStyle w:val="a4"/>
          <w:framePr w:wrap="none" w:vAnchor="text" w:hAnchor="margin" w:xAlign="center" w:y="1"/>
          <w:rPr>
            <w:rStyle w:val="a9"/>
          </w:rPr>
        </w:pPr>
        <w:r>
          <w:rPr>
            <w:rStyle w:val="a9"/>
          </w:rPr>
          <w:fldChar w:fldCharType="begin"/>
        </w:r>
        <w:r>
          <w:rPr>
            <w:rStyle w:val="a9"/>
          </w:rPr>
          <w:instrText xml:space="preserve"> PAGE </w:instrText>
        </w:r>
        <w:r>
          <w:rPr>
            <w:rStyle w:val="a9"/>
          </w:rPr>
          <w:fldChar w:fldCharType="separate"/>
        </w:r>
        <w:r>
          <w:rPr>
            <w:rStyle w:val="a9"/>
          </w:rPr>
          <w:t>1</w:t>
        </w:r>
        <w:r>
          <w:rPr>
            <w:rStyle w:val="a9"/>
          </w:rPr>
          <w:fldChar w:fldCharType="end"/>
        </w:r>
      </w:p>
    </w:sdtContent>
  </w:sdt>
  <w:p w14:paraId="7AA71E3A" w14:textId="77777777" w:rsidR="00A456C6" w:rsidRDefault="00A456C6">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1B037E" w14:textId="77777777" w:rsidR="000F1F1C" w:rsidRDefault="000F1F1C">
      <w:pPr>
        <w:spacing w:after="0"/>
      </w:pPr>
      <w:r>
        <w:separator/>
      </w:r>
    </w:p>
  </w:footnote>
  <w:footnote w:type="continuationSeparator" w:id="0">
    <w:p w14:paraId="79FC2127" w14:textId="77777777" w:rsidR="000F1F1C" w:rsidRDefault="000F1F1C">
      <w:pPr>
        <w:spacing w:after="0"/>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hinese Std GBT7714 (numeric)&lt;/Style&gt;&lt;LeftDelim&gt;{&lt;/LeftDelim&gt;&lt;RightDelim&gt;}&lt;/RightDelim&gt;&lt;FontName&gt;DengXi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vaad095v022t1evsf3ve0wotrxpd9av9v5w&quot;&gt;My EndNote Library&lt;record-ids&gt;&lt;item&gt;357&lt;/item&gt;&lt;/record-ids&gt;&lt;/item&gt;&lt;/Libraries&gt;"/>
  </w:docVars>
  <w:rsids>
    <w:rsidRoot w:val="005A22F3"/>
    <w:rsid w:val="00005E9D"/>
    <w:rsid w:val="000137ED"/>
    <w:rsid w:val="00026D58"/>
    <w:rsid w:val="000317CD"/>
    <w:rsid w:val="00046DBB"/>
    <w:rsid w:val="00053584"/>
    <w:rsid w:val="00057E11"/>
    <w:rsid w:val="00067884"/>
    <w:rsid w:val="00071D11"/>
    <w:rsid w:val="00077646"/>
    <w:rsid w:val="00086382"/>
    <w:rsid w:val="00093839"/>
    <w:rsid w:val="00093947"/>
    <w:rsid w:val="000F1F1C"/>
    <w:rsid w:val="000F2EDC"/>
    <w:rsid w:val="00101389"/>
    <w:rsid w:val="0012012C"/>
    <w:rsid w:val="00166007"/>
    <w:rsid w:val="001666EC"/>
    <w:rsid w:val="0019014B"/>
    <w:rsid w:val="001A5C77"/>
    <w:rsid w:val="001E3F05"/>
    <w:rsid w:val="00206BD2"/>
    <w:rsid w:val="00224FB9"/>
    <w:rsid w:val="00235CD8"/>
    <w:rsid w:val="0023728E"/>
    <w:rsid w:val="002734A9"/>
    <w:rsid w:val="00287A94"/>
    <w:rsid w:val="00295640"/>
    <w:rsid w:val="00297E21"/>
    <w:rsid w:val="002A2F22"/>
    <w:rsid w:val="002A3F72"/>
    <w:rsid w:val="002D69C1"/>
    <w:rsid w:val="002E412B"/>
    <w:rsid w:val="002F3BA8"/>
    <w:rsid w:val="00325D5E"/>
    <w:rsid w:val="00335F7C"/>
    <w:rsid w:val="003438C4"/>
    <w:rsid w:val="00356E68"/>
    <w:rsid w:val="003A2D52"/>
    <w:rsid w:val="00404F36"/>
    <w:rsid w:val="004247E8"/>
    <w:rsid w:val="004250BB"/>
    <w:rsid w:val="0043049A"/>
    <w:rsid w:val="00433EA3"/>
    <w:rsid w:val="0043516B"/>
    <w:rsid w:val="0044745F"/>
    <w:rsid w:val="00455593"/>
    <w:rsid w:val="004A008B"/>
    <w:rsid w:val="004B3588"/>
    <w:rsid w:val="004B7629"/>
    <w:rsid w:val="004C47A7"/>
    <w:rsid w:val="004D15A6"/>
    <w:rsid w:val="004D4E42"/>
    <w:rsid w:val="004E02C4"/>
    <w:rsid w:val="0051349D"/>
    <w:rsid w:val="005337BB"/>
    <w:rsid w:val="005346ED"/>
    <w:rsid w:val="00557F07"/>
    <w:rsid w:val="00585E6D"/>
    <w:rsid w:val="005A22F3"/>
    <w:rsid w:val="005B1A89"/>
    <w:rsid w:val="005B1F16"/>
    <w:rsid w:val="005B2B0D"/>
    <w:rsid w:val="005E57A9"/>
    <w:rsid w:val="005F4F4C"/>
    <w:rsid w:val="006020D4"/>
    <w:rsid w:val="0061668B"/>
    <w:rsid w:val="0062378D"/>
    <w:rsid w:val="006448BC"/>
    <w:rsid w:val="00667BFE"/>
    <w:rsid w:val="00674234"/>
    <w:rsid w:val="00685219"/>
    <w:rsid w:val="006929A2"/>
    <w:rsid w:val="006B158F"/>
    <w:rsid w:val="006B7291"/>
    <w:rsid w:val="006B77E4"/>
    <w:rsid w:val="0070191D"/>
    <w:rsid w:val="00706BCF"/>
    <w:rsid w:val="007122DD"/>
    <w:rsid w:val="00722E42"/>
    <w:rsid w:val="00737BE1"/>
    <w:rsid w:val="00740C60"/>
    <w:rsid w:val="0074114C"/>
    <w:rsid w:val="00761F94"/>
    <w:rsid w:val="00765034"/>
    <w:rsid w:val="00766286"/>
    <w:rsid w:val="007B7068"/>
    <w:rsid w:val="007C2CCD"/>
    <w:rsid w:val="007E20A5"/>
    <w:rsid w:val="00806470"/>
    <w:rsid w:val="00807EBB"/>
    <w:rsid w:val="00815F59"/>
    <w:rsid w:val="008231E7"/>
    <w:rsid w:val="008239CC"/>
    <w:rsid w:val="008445C4"/>
    <w:rsid w:val="00893BCE"/>
    <w:rsid w:val="008A3E85"/>
    <w:rsid w:val="008D2050"/>
    <w:rsid w:val="009347D7"/>
    <w:rsid w:val="0096114E"/>
    <w:rsid w:val="00964626"/>
    <w:rsid w:val="00964796"/>
    <w:rsid w:val="009727A7"/>
    <w:rsid w:val="00981957"/>
    <w:rsid w:val="0098357F"/>
    <w:rsid w:val="00983FB4"/>
    <w:rsid w:val="009879BA"/>
    <w:rsid w:val="0099353B"/>
    <w:rsid w:val="0099461E"/>
    <w:rsid w:val="009C0DD5"/>
    <w:rsid w:val="009C5DB5"/>
    <w:rsid w:val="009D4C5E"/>
    <w:rsid w:val="009E2BD4"/>
    <w:rsid w:val="00A0528F"/>
    <w:rsid w:val="00A064A9"/>
    <w:rsid w:val="00A13EC6"/>
    <w:rsid w:val="00A3374C"/>
    <w:rsid w:val="00A40E4F"/>
    <w:rsid w:val="00A456C6"/>
    <w:rsid w:val="00A5246E"/>
    <w:rsid w:val="00A53B7B"/>
    <w:rsid w:val="00A95FA7"/>
    <w:rsid w:val="00AB4ADA"/>
    <w:rsid w:val="00AC6E29"/>
    <w:rsid w:val="00AF0492"/>
    <w:rsid w:val="00B45373"/>
    <w:rsid w:val="00B55ACD"/>
    <w:rsid w:val="00BA5CC2"/>
    <w:rsid w:val="00C1025B"/>
    <w:rsid w:val="00C23BE5"/>
    <w:rsid w:val="00C314C4"/>
    <w:rsid w:val="00C35F36"/>
    <w:rsid w:val="00C705CB"/>
    <w:rsid w:val="00C9263D"/>
    <w:rsid w:val="00CC32B0"/>
    <w:rsid w:val="00CE4203"/>
    <w:rsid w:val="00CF6A6D"/>
    <w:rsid w:val="00D13C47"/>
    <w:rsid w:val="00D13CB5"/>
    <w:rsid w:val="00D3280D"/>
    <w:rsid w:val="00D44205"/>
    <w:rsid w:val="00DB0A00"/>
    <w:rsid w:val="00DC1586"/>
    <w:rsid w:val="00DD4B73"/>
    <w:rsid w:val="00DE1F71"/>
    <w:rsid w:val="00DF410D"/>
    <w:rsid w:val="00E14E49"/>
    <w:rsid w:val="00E20C74"/>
    <w:rsid w:val="00E212FE"/>
    <w:rsid w:val="00E24257"/>
    <w:rsid w:val="00E265CF"/>
    <w:rsid w:val="00E60771"/>
    <w:rsid w:val="00E702ED"/>
    <w:rsid w:val="00E85B30"/>
    <w:rsid w:val="00EA011C"/>
    <w:rsid w:val="00EA33F2"/>
    <w:rsid w:val="00EB49BA"/>
    <w:rsid w:val="00ED1A51"/>
    <w:rsid w:val="00ED2667"/>
    <w:rsid w:val="00ED5C4E"/>
    <w:rsid w:val="00ED7052"/>
    <w:rsid w:val="00EE64BD"/>
    <w:rsid w:val="00EE7CDD"/>
    <w:rsid w:val="00EF6AE8"/>
    <w:rsid w:val="00F11990"/>
    <w:rsid w:val="00F21512"/>
    <w:rsid w:val="00F22FEC"/>
    <w:rsid w:val="00F249F0"/>
    <w:rsid w:val="00F3759A"/>
    <w:rsid w:val="00F64906"/>
    <w:rsid w:val="00F74D52"/>
    <w:rsid w:val="00F823ED"/>
    <w:rsid w:val="00FB5C94"/>
    <w:rsid w:val="00FC08C4"/>
    <w:rsid w:val="00FD0DAC"/>
    <w:rsid w:val="00FE4E18"/>
    <w:rsid w:val="00FF2F1E"/>
    <w:rsid w:val="01EF572E"/>
    <w:rsid w:val="05373674"/>
    <w:rsid w:val="071C6FC5"/>
    <w:rsid w:val="07337610"/>
    <w:rsid w:val="09942310"/>
    <w:rsid w:val="0A44529E"/>
    <w:rsid w:val="0C7927C4"/>
    <w:rsid w:val="10020DC3"/>
    <w:rsid w:val="11DA1F57"/>
    <w:rsid w:val="126B2BAF"/>
    <w:rsid w:val="133631BD"/>
    <w:rsid w:val="13463B67"/>
    <w:rsid w:val="15637558"/>
    <w:rsid w:val="1763479D"/>
    <w:rsid w:val="18D94D16"/>
    <w:rsid w:val="1B866036"/>
    <w:rsid w:val="1DAF4298"/>
    <w:rsid w:val="1E472722"/>
    <w:rsid w:val="1EFA1543"/>
    <w:rsid w:val="1F75506D"/>
    <w:rsid w:val="1F9C6A9E"/>
    <w:rsid w:val="1FB931AC"/>
    <w:rsid w:val="202C7E22"/>
    <w:rsid w:val="22B930FB"/>
    <w:rsid w:val="232C0139"/>
    <w:rsid w:val="25DD6060"/>
    <w:rsid w:val="26660FFA"/>
    <w:rsid w:val="271B0BF0"/>
    <w:rsid w:val="2838423C"/>
    <w:rsid w:val="2B8F5708"/>
    <w:rsid w:val="2C820DC9"/>
    <w:rsid w:val="2E786212"/>
    <w:rsid w:val="2EF53AD4"/>
    <w:rsid w:val="30946321"/>
    <w:rsid w:val="30E3452C"/>
    <w:rsid w:val="30EC5537"/>
    <w:rsid w:val="311E5564"/>
    <w:rsid w:val="31293F09"/>
    <w:rsid w:val="33D37AA3"/>
    <w:rsid w:val="3518051D"/>
    <w:rsid w:val="3599165E"/>
    <w:rsid w:val="35D94150"/>
    <w:rsid w:val="363A76DD"/>
    <w:rsid w:val="37125937"/>
    <w:rsid w:val="3891486E"/>
    <w:rsid w:val="39E745CF"/>
    <w:rsid w:val="3A001338"/>
    <w:rsid w:val="3B4C7172"/>
    <w:rsid w:val="3B8F0229"/>
    <w:rsid w:val="3C6127A9"/>
    <w:rsid w:val="3D915310"/>
    <w:rsid w:val="3F4C7623"/>
    <w:rsid w:val="3FDF05B5"/>
    <w:rsid w:val="40FA0730"/>
    <w:rsid w:val="43170AA4"/>
    <w:rsid w:val="4755337E"/>
    <w:rsid w:val="495F7F7C"/>
    <w:rsid w:val="496D6C31"/>
    <w:rsid w:val="4A0C4AF8"/>
    <w:rsid w:val="4A5B2F2E"/>
    <w:rsid w:val="4DBB5413"/>
    <w:rsid w:val="4F98252E"/>
    <w:rsid w:val="52906D2A"/>
    <w:rsid w:val="52960CB6"/>
    <w:rsid w:val="537D5CC3"/>
    <w:rsid w:val="53A56FC8"/>
    <w:rsid w:val="567E5E54"/>
    <w:rsid w:val="5761173E"/>
    <w:rsid w:val="59C23243"/>
    <w:rsid w:val="5A19426B"/>
    <w:rsid w:val="5C58551F"/>
    <w:rsid w:val="5DC56BE4"/>
    <w:rsid w:val="5E253E72"/>
    <w:rsid w:val="5ECC26A9"/>
    <w:rsid w:val="5ED115B9"/>
    <w:rsid w:val="5F025C16"/>
    <w:rsid w:val="608B0F73"/>
    <w:rsid w:val="61242E15"/>
    <w:rsid w:val="62824756"/>
    <w:rsid w:val="64220DC8"/>
    <w:rsid w:val="64CC3C50"/>
    <w:rsid w:val="64D67929"/>
    <w:rsid w:val="65786A78"/>
    <w:rsid w:val="665054B9"/>
    <w:rsid w:val="66807B4C"/>
    <w:rsid w:val="6787315C"/>
    <w:rsid w:val="696077C1"/>
    <w:rsid w:val="6A43306A"/>
    <w:rsid w:val="6D914BEF"/>
    <w:rsid w:val="6E6A58FB"/>
    <w:rsid w:val="70704D23"/>
    <w:rsid w:val="71266FB1"/>
    <w:rsid w:val="72D37256"/>
    <w:rsid w:val="785B21C7"/>
    <w:rsid w:val="787B5FC2"/>
    <w:rsid w:val="7C943EFA"/>
    <w:rsid w:val="7CA3642A"/>
    <w:rsid w:val="7D3036DB"/>
    <w:rsid w:val="7DCE1FE7"/>
    <w:rsid w:val="7FA509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9A80223"/>
  <w15:docId w15:val="{E68BA6B5-D141-5C49-A204-138597EDE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60" w:line="276" w:lineRule="auto"/>
      <w:jc w:val="both"/>
    </w:pPr>
    <w:rPr>
      <w:rFonts w:eastAsia="华文宋体" w:cstheme="minorBidi"/>
      <w:kern w:val="2"/>
      <w:sz w:val="21"/>
      <w:szCs w:val="24"/>
    </w:rPr>
  </w:style>
  <w:style w:type="paragraph" w:styleId="1">
    <w:name w:val="heading 1"/>
    <w:basedOn w:val="a"/>
    <w:next w:val="a"/>
    <w:link w:val="10"/>
    <w:uiPriority w:val="9"/>
    <w:rsid w:val="00C9263D"/>
    <w:pPr>
      <w:keepNext/>
      <w:keepLines/>
      <w:spacing w:before="120" w:after="80" w:line="480" w:lineRule="auto"/>
      <w:jc w:val="left"/>
      <w:outlineLvl w:val="0"/>
    </w:pPr>
    <w:rPr>
      <w:rFonts w:eastAsia="Times New Roman"/>
      <w:b/>
      <w:bCs/>
      <w:kern w:val="44"/>
      <w:sz w:val="2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footer"/>
    <w:basedOn w:val="a"/>
    <w:link w:val="a5"/>
    <w:uiPriority w:val="99"/>
    <w:unhideWhenUsed/>
    <w:qFormat/>
    <w:pPr>
      <w:tabs>
        <w:tab w:val="center" w:pos="4153"/>
        <w:tab w:val="right" w:pos="8306"/>
      </w:tabs>
      <w:snapToGrid w:val="0"/>
      <w:jc w:val="left"/>
    </w:pPr>
    <w:rPr>
      <w:sz w:val="18"/>
      <w:szCs w:val="18"/>
    </w:rPr>
  </w:style>
  <w:style w:type="paragraph" w:styleId="a6">
    <w:name w:val="Normal (Web)"/>
    <w:basedOn w:val="a"/>
    <w:link w:val="a7"/>
    <w:uiPriority w:val="99"/>
    <w:unhideWhenUsed/>
    <w:qFormat/>
    <w:pPr>
      <w:widowControl/>
      <w:spacing w:before="100" w:beforeAutospacing="1" w:after="100" w:afterAutospacing="1"/>
      <w:jc w:val="left"/>
    </w:pPr>
    <w:rPr>
      <w:rFonts w:ascii="宋体" w:eastAsia="宋体" w:hAnsi="宋体" w:cs="宋体"/>
      <w:kern w:val="0"/>
      <w:sz w:val="24"/>
    </w:rPr>
  </w:style>
  <w:style w:type="table" w:styleId="a8">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age number"/>
    <w:basedOn w:val="a0"/>
    <w:uiPriority w:val="99"/>
    <w:semiHidden/>
    <w:unhideWhenUsed/>
    <w:qFormat/>
  </w:style>
  <w:style w:type="character" w:customStyle="1" w:styleId="a7">
    <w:name w:val="普通(网站) 字符"/>
    <w:basedOn w:val="a0"/>
    <w:link w:val="a6"/>
    <w:uiPriority w:val="99"/>
    <w:qFormat/>
    <w:rPr>
      <w:rFonts w:ascii="宋体" w:eastAsia="宋体" w:hAnsi="宋体" w:cs="宋体"/>
      <w:kern w:val="0"/>
      <w:sz w:val="24"/>
    </w:rPr>
  </w:style>
  <w:style w:type="paragraph" w:customStyle="1" w:styleId="EndNoteBibliographyTitle">
    <w:name w:val="EndNote Bibliography Title"/>
    <w:basedOn w:val="a"/>
    <w:link w:val="EndNoteBibliographyTitle0"/>
    <w:qFormat/>
    <w:pPr>
      <w:jc w:val="center"/>
    </w:pPr>
    <w:rPr>
      <w:rFonts w:ascii="DengXian" w:eastAsia="DengXian" w:hAnsi="DengXian"/>
      <w:sz w:val="20"/>
    </w:rPr>
  </w:style>
  <w:style w:type="character" w:customStyle="1" w:styleId="EndNoteBibliographyTitle0">
    <w:name w:val="EndNote Bibliography Title 字符"/>
    <w:basedOn w:val="a0"/>
    <w:link w:val="EndNoteBibliographyTitle"/>
    <w:rPr>
      <w:rFonts w:ascii="DengXian" w:eastAsia="DengXian" w:hAnsi="DengXian"/>
      <w:sz w:val="20"/>
    </w:rPr>
  </w:style>
  <w:style w:type="paragraph" w:customStyle="1" w:styleId="EndNoteBibliography">
    <w:name w:val="EndNote Bibliography"/>
    <w:basedOn w:val="a"/>
    <w:link w:val="EndNoteBibliography0"/>
    <w:qFormat/>
    <w:rPr>
      <w:rFonts w:ascii="DengXian" w:eastAsia="DengXian" w:hAnsi="DengXian"/>
      <w:sz w:val="20"/>
    </w:rPr>
  </w:style>
  <w:style w:type="character" w:customStyle="1" w:styleId="EndNoteBibliography0">
    <w:name w:val="EndNote Bibliography 字符"/>
    <w:basedOn w:val="a0"/>
    <w:link w:val="EndNoteBibliography"/>
    <w:qFormat/>
    <w:rPr>
      <w:rFonts w:ascii="DengXian" w:eastAsia="DengXian" w:hAnsi="DengXian"/>
      <w:sz w:val="20"/>
    </w:rPr>
  </w:style>
  <w:style w:type="character" w:customStyle="1" w:styleId="a5">
    <w:name w:val="页脚 字符"/>
    <w:basedOn w:val="a0"/>
    <w:link w:val="a4"/>
    <w:uiPriority w:val="99"/>
    <w:qFormat/>
    <w:rPr>
      <w:sz w:val="18"/>
      <w:szCs w:val="18"/>
    </w:rPr>
  </w:style>
  <w:style w:type="paragraph" w:customStyle="1" w:styleId="11">
    <w:name w:val="修订1"/>
    <w:hidden/>
    <w:uiPriority w:val="99"/>
    <w:semiHidden/>
    <w:qFormat/>
    <w:rPr>
      <w:rFonts w:asciiTheme="minorHAnsi" w:eastAsiaTheme="minorEastAsia" w:hAnsiTheme="minorHAnsi" w:cstheme="minorBidi"/>
      <w:kern w:val="2"/>
      <w:sz w:val="21"/>
      <w:szCs w:val="24"/>
    </w:rPr>
  </w:style>
  <w:style w:type="paragraph" w:customStyle="1" w:styleId="SupplementaryHeading">
    <w:name w:val="Supplementary Heading"/>
    <w:qFormat/>
    <w:pPr>
      <w:keepNext/>
      <w:spacing w:before="160" w:after="80"/>
    </w:pPr>
    <w:rPr>
      <w:rFonts w:eastAsia="华文宋体" w:cstheme="minorBidi"/>
      <w:b/>
      <w:kern w:val="2"/>
      <w:sz w:val="21"/>
      <w:szCs w:val="24"/>
    </w:rPr>
  </w:style>
  <w:style w:type="character" w:styleId="aa">
    <w:name w:val="annotation reference"/>
    <w:basedOn w:val="a0"/>
    <w:uiPriority w:val="99"/>
    <w:semiHidden/>
    <w:unhideWhenUsed/>
    <w:rPr>
      <w:sz w:val="21"/>
      <w:szCs w:val="21"/>
    </w:rPr>
  </w:style>
  <w:style w:type="paragraph" w:customStyle="1" w:styleId="FirstParagraph">
    <w:name w:val="First Paragraph"/>
    <w:basedOn w:val="a"/>
    <w:next w:val="ab"/>
    <w:qFormat/>
    <w:rsid w:val="00005E9D"/>
    <w:pPr>
      <w:spacing w:before="180" w:after="0" w:line="240" w:lineRule="auto"/>
      <w:ind w:firstLineChars="200" w:firstLine="480"/>
    </w:pPr>
    <w:rPr>
      <w:rFonts w:eastAsia="Cambria Math"/>
    </w:rPr>
  </w:style>
  <w:style w:type="character" w:styleId="ac">
    <w:name w:val="Strong"/>
    <w:basedOn w:val="a0"/>
    <w:uiPriority w:val="22"/>
    <w:qFormat/>
    <w:rsid w:val="00005E9D"/>
    <w:rPr>
      <w:b/>
      <w:bCs/>
    </w:rPr>
  </w:style>
  <w:style w:type="paragraph" w:styleId="ab">
    <w:name w:val="Body Text"/>
    <w:basedOn w:val="a"/>
    <w:link w:val="ad"/>
    <w:uiPriority w:val="99"/>
    <w:semiHidden/>
    <w:unhideWhenUsed/>
    <w:rsid w:val="00005E9D"/>
    <w:pPr>
      <w:spacing w:after="120"/>
    </w:pPr>
  </w:style>
  <w:style w:type="character" w:customStyle="1" w:styleId="ad">
    <w:name w:val="正文文本 字符"/>
    <w:basedOn w:val="a0"/>
    <w:link w:val="ab"/>
    <w:uiPriority w:val="99"/>
    <w:semiHidden/>
    <w:rsid w:val="00005E9D"/>
    <w:rPr>
      <w:rFonts w:eastAsia="华文宋体" w:cstheme="minorBidi"/>
      <w:kern w:val="2"/>
      <w:sz w:val="21"/>
      <w:szCs w:val="24"/>
    </w:rPr>
  </w:style>
  <w:style w:type="character" w:customStyle="1" w:styleId="10">
    <w:name w:val="标题 1 字符"/>
    <w:basedOn w:val="a0"/>
    <w:link w:val="1"/>
    <w:uiPriority w:val="9"/>
    <w:rsid w:val="00C9263D"/>
    <w:rPr>
      <w:rFonts w:eastAsia="Times New Roman" w:cstheme="minorBidi"/>
      <w:b/>
      <w:bCs/>
      <w:kern w:val="44"/>
      <w:sz w:val="24"/>
      <w:szCs w:val="44"/>
    </w:rPr>
  </w:style>
  <w:style w:type="paragraph" w:customStyle="1" w:styleId="SupplementaryTableCaption">
    <w:name w:val="Supplementary Table Caption"/>
    <w:basedOn w:val="a"/>
    <w:qFormat/>
    <w:rsid w:val="00F74D52"/>
    <w:pPr>
      <w:spacing w:after="0" w:line="360" w:lineRule="auto"/>
      <w:jc w:val="left"/>
    </w:pPr>
    <w:rPr>
      <w:rFonts w:eastAsia="Times New Roman"/>
      <w:b/>
      <w:bCs/>
      <w:sz w:val="18"/>
      <w:szCs w:val="18"/>
    </w:rPr>
  </w:style>
  <w:style w:type="paragraph" w:styleId="TOC1">
    <w:name w:val="toc 1"/>
    <w:basedOn w:val="a"/>
    <w:next w:val="a"/>
    <w:autoRedefine/>
    <w:uiPriority w:val="39"/>
    <w:unhideWhenUsed/>
    <w:rsid w:val="00455593"/>
  </w:style>
  <w:style w:type="paragraph" w:styleId="TOC2">
    <w:name w:val="toc 2"/>
    <w:basedOn w:val="a"/>
    <w:next w:val="a"/>
    <w:autoRedefine/>
    <w:uiPriority w:val="39"/>
    <w:unhideWhenUsed/>
    <w:rsid w:val="00455593"/>
    <w:pPr>
      <w:ind w:leftChars="200" w:left="420"/>
    </w:pPr>
  </w:style>
  <w:style w:type="character" w:styleId="ae">
    <w:name w:val="Hyperlink"/>
    <w:basedOn w:val="a0"/>
    <w:uiPriority w:val="99"/>
    <w:unhideWhenUsed/>
    <w:rsid w:val="00F74D5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66C1D0-30B5-454C-9C6A-2A6DCCF9B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TotalTime>
  <Pages>7</Pages>
  <Words>1947</Words>
  <Characters>11098</Characters>
  <Application>Microsoft Office Word</Application>
  <DocSecurity>0</DocSecurity>
  <Lines>92</Lines>
  <Paragraphs>26</Paragraphs>
  <ScaleCrop>false</ScaleCrop>
  <Company/>
  <LinksUpToDate>false</LinksUpToDate>
  <CharactersWithSpaces>13019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Appendix - NovaMind ART hormone result review</dc:title>
  <dc:subject>Author working draft of supplementary appendix</dc:subject>
  <dc:creator>欣欣 张</dc:creator>
  <cp:lastModifiedBy>张欣欣</cp:lastModifiedBy>
  <cp:revision>20</cp:revision>
  <dcterms:created xsi:type="dcterms:W3CDTF">2026-07-20T09:32:00Z</dcterms:created>
  <dcterms:modified xsi:type="dcterms:W3CDTF">2026-08-29T17:52:00Z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eyJoZGlkIjoiYTEwZGQwZmRmNjEyNjkwNjNlMGUwOWE1M2U0OTJlNTgiLCJ1c2VySWQiOiI3MjI4MDM3MjEifQ==</vt:lpwstr>
  </property>
  <property fmtid="{D5CDD505-2E9C-101B-9397-08002B2CF9AE}" pid="3" name="KSOProductBuildVer">
    <vt:lpwstr>2052-12.1.0.26895</vt:lpwstr>
  </property>
  <property fmtid="{D5CDD505-2E9C-101B-9397-08002B2CF9AE}" pid="4" name="ICV">
    <vt:lpwstr>4E92561798B64D529DFDF1224010FCCF_12</vt:lpwstr>
  </property>
</Properties>
</file>