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Additional file 1: Supplementary Material</w:t>
      </w:r>
    </w:p>
    <w:p>
      <w:pPr>
        <w:spacing w:after="80"/>
      </w:pPr>
      <w:r>
        <w:t>Serum Calcium-Phosphate Product and the Risk of Kidney Replacement Therapy or In-Hospital Death in Critically Ill Patients with Rhabdomyolysis: a Multicohort Database Study</w:t>
      </w:r>
    </w:p>
    <w:p>
      <w:pPr>
        <w:pStyle w:val="Heading1"/>
      </w:pPr>
      <w:r>
        <w:t>Supplementary Methods</w:t>
      </w:r>
    </w:p>
    <w:p>
      <w:pPr>
        <w:spacing w:after="80"/>
      </w:pPr>
      <w:r>
        <w:t>Adults aged ≥18 years with maximum CK during ICU hours 0–24 ≥1000 U/L were eligible. The first qualifying ICU stay was retained. Total calcium and phosphate were paired within 6 h; the earliest pair completion time was selected, then the smallest gap. The landmark was ICU admission +24 h. End-stage kidney disease/chronic dialysis, KRT recorded at or before 24 h, and ICU stay ≤24 h were excluded. KRT was identified from database-specific dialysis/renal-replacement records; the first qualifying record after the landmark defined incident KRT.</w:t>
      </w:r>
    </w:p>
    <w:p>
      <w:pPr>
        <w:spacing w:after="80"/>
      </w:pPr>
      <w:r>
        <w:t>Primary model: composite outcome ~ Ca×P/10 + age + male sex + ln(maximum CK during ICU hours 0–24). No standardization was applied. Eligibility required a valid Ca×P pair; regression analyses used complete observations for the prespecified model variables and did not use imputation.</w:t>
      </w:r>
    </w:p>
    <w:p>
      <w:pPr>
        <w:pStyle w:val="Heading1"/>
        <w:keepNext/>
      </w:pPr>
      <w:r>
        <w:t>Supplementary Table S1. Cohort-specific adjusted estimates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 w:val="true"/>
        </w:trPr>
        <w:tc>
          <w:tcPr>
            <w:tcW w:type="dxa" w:w="1656"/>
          </w:tcPr>
          <w:p>
            <w:r>
              <w:rPr>
                <w:b/>
                <w:sz w:val="18"/>
              </w:rPr>
              <w:t>Cohort</w:t>
            </w:r>
          </w:p>
        </w:tc>
        <w:tc>
          <w:tcPr>
            <w:tcW w:type="dxa" w:w="1656"/>
          </w:tcPr>
          <w:p>
            <w:r>
              <w:rPr>
                <w:b/>
                <w:sz w:val="18"/>
              </w:rPr>
              <w:t>N</w:t>
            </w:r>
          </w:p>
        </w:tc>
        <w:tc>
          <w:tcPr>
            <w:tcW w:type="dxa" w:w="1656"/>
          </w:tcPr>
          <w:p>
            <w:r>
              <w:rPr>
                <w:b/>
                <w:sz w:val="18"/>
              </w:rPr>
              <w:t>Events</w:t>
            </w:r>
          </w:p>
        </w:tc>
        <w:tc>
          <w:tcPr>
            <w:tcW w:type="dxa" w:w="1656"/>
          </w:tcPr>
          <w:p>
            <w:r>
              <w:rPr>
                <w:b/>
                <w:sz w:val="18"/>
              </w:rPr>
              <w:t>OR</w:t>
            </w:r>
          </w:p>
        </w:tc>
        <w:tc>
          <w:tcPr>
            <w:tcW w:type="dxa" w:w="1656"/>
          </w:tcPr>
          <w:p>
            <w:r>
              <w:rPr>
                <w:b/>
                <w:sz w:val="18"/>
              </w:rPr>
              <w:t>95% CI</w:t>
            </w:r>
          </w:p>
        </w:tc>
        <w:tc>
          <w:tcPr>
            <w:tcW w:type="dxa" w:w="1656"/>
          </w:tcPr>
          <w:p>
            <w:r>
              <w:rPr>
                <w:b/>
                <w:sz w:val="18"/>
              </w:rPr>
              <w:t>P</w:t>
            </w:r>
          </w:p>
        </w:tc>
      </w:tr>
      <w:tr>
        <w:tc>
          <w:tcPr>
            <w:tcW w:type="dxa" w:w="1656"/>
          </w:tcPr>
          <w:p>
            <w:r>
              <w:rPr>
                <w:sz w:val="17"/>
              </w:rPr>
              <w:t>MIMIC-IV</w:t>
            </w:r>
          </w:p>
        </w:tc>
        <w:tc>
          <w:tcPr>
            <w:tcW w:type="dxa" w:w="1656"/>
          </w:tcPr>
          <w:p>
            <w:r>
              <w:t>2744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541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1.415967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1.324182–1.514113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2.64×10⁻²⁴</w:t>
            </w:r>
          </w:p>
        </w:tc>
      </w:tr>
      <w:tr>
        <w:tc>
          <w:tcPr>
            <w:tcW w:type="dxa" w:w="1656"/>
          </w:tcPr>
          <w:p>
            <w:r>
              <w:rPr>
                <w:sz w:val="17"/>
              </w:rPr>
              <w:t>eICU</w:t>
            </w:r>
          </w:p>
        </w:tc>
        <w:tc>
          <w:tcPr>
            <w:tcW w:type="dxa" w:w="1656"/>
          </w:tcPr>
          <w:p>
            <w:r>
              <w:t>1644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370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1.336862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1.246018–1.434330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6.16×10⁻¹⁶</w:t>
            </w:r>
          </w:p>
        </w:tc>
      </w:tr>
      <w:tr>
        <w:tc>
          <w:tcPr>
            <w:tcW w:type="dxa" w:w="1656"/>
          </w:tcPr>
          <w:p>
            <w:r>
              <w:rPr>
                <w:sz w:val="17"/>
              </w:rPr>
              <w:t>NWICU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109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18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1.514676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1.080302–2.123705</w:t>
            </w:r>
          </w:p>
        </w:tc>
        <w:tc>
          <w:tcPr>
            <w:tcW w:type="dxa" w:w="1656"/>
          </w:tcPr>
          <w:p>
            <w:r>
              <w:rPr>
                <w:sz w:val="17"/>
              </w:rPr>
              <w:t>0.016</w:t>
            </w:r>
          </w:p>
        </w:tc>
      </w:tr>
    </w:tbl>
    <w:p>
      <w:pPr>
        <w:pStyle w:val="Heading1"/>
        <w:keepNext/>
      </w:pPr>
      <w:r>
        <w:t>Supplementary Table S2. Meta-analysis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blHeader w:val="true"/>
        </w:trPr>
        <w:tc>
          <w:tcPr>
            <w:tcW w:type="dxa" w:w="4968"/>
          </w:tcPr>
          <w:p>
            <w:r>
              <w:rPr>
                <w:b/>
                <w:sz w:val="18"/>
              </w:rPr>
              <w:t>Measure</w:t>
            </w:r>
          </w:p>
        </w:tc>
        <w:tc>
          <w:tcPr>
            <w:tcW w:type="dxa" w:w="4968"/>
          </w:tcPr>
          <w:p>
            <w:r>
              <w:rPr>
                <w:b/>
                <w:sz w:val="18"/>
              </w:rPr>
              <w:t>Estimate</w:t>
            </w:r>
          </w:p>
        </w:tc>
      </w:tr>
      <w:tr>
        <w:tc>
          <w:tcPr>
            <w:tcW w:type="dxa" w:w="4968"/>
          </w:tcPr>
          <w:p>
            <w:r>
              <w:rPr>
                <w:sz w:val="17"/>
              </w:rPr>
              <w:t>Fixed-effect pooled OR</w:t>
            </w:r>
          </w:p>
        </w:tc>
        <w:tc>
          <w:tcPr>
            <w:tcW w:type="dxa" w:w="4968"/>
          </w:tcPr>
          <w:p>
            <w:r>
              <w:rPr>
                <w:sz w:val="17"/>
              </w:rPr>
              <w:t>1.380417 (95% CI 1.315672–1.448349)</w:t>
            </w:r>
          </w:p>
        </w:tc>
      </w:tr>
      <w:tr>
        <w:tc>
          <w:tcPr>
            <w:tcW w:type="dxa" w:w="4968"/>
          </w:tcPr>
          <w:p>
            <w:r>
              <w:rPr>
                <w:sz w:val="17"/>
              </w:rPr>
              <w:t>Cochran Q</w:t>
            </w:r>
          </w:p>
        </w:tc>
        <w:tc>
          <w:tcPr>
            <w:tcW w:type="dxa" w:w="4968"/>
          </w:tcPr>
          <w:p>
            <w:r>
              <w:rPr>
                <w:sz w:val="17"/>
              </w:rPr>
              <w:t>1.640103 (df=2; P=0.440409)</w:t>
            </w:r>
          </w:p>
        </w:tc>
      </w:tr>
      <w:tr>
        <w:tc>
          <w:tcPr>
            <w:tcW w:type="dxa" w:w="4968"/>
          </w:tcPr>
          <w:p>
            <w:r>
              <w:rPr>
                <w:sz w:val="17"/>
              </w:rPr>
              <w:t>I²</w:t>
            </w:r>
          </w:p>
        </w:tc>
        <w:tc>
          <w:tcPr>
            <w:tcW w:type="dxa" w:w="4968"/>
          </w:tcPr>
          <w:p>
            <w:r>
              <w:rPr>
                <w:sz w:val="17"/>
              </w:rPr>
              <w:t>0.0%</w:t>
            </w:r>
          </w:p>
        </w:tc>
      </w:tr>
      <w:tr>
        <w:tc>
          <w:tcPr>
            <w:tcW w:type="dxa" w:w="4968"/>
          </w:tcPr>
          <w:p>
            <w:r>
              <w:rPr>
                <w:sz w:val="17"/>
              </w:rPr>
              <w:t>DerSimonian-Laird τ²</w:t>
            </w:r>
          </w:p>
        </w:tc>
        <w:tc>
          <w:tcPr>
            <w:tcW w:type="dxa" w:w="4968"/>
          </w:tcPr>
          <w:p>
            <w:r>
              <w:rPr>
                <w:sz w:val="17"/>
              </w:rPr>
              <w:t>0</w:t>
            </w:r>
          </w:p>
        </w:tc>
      </w:tr>
      <w:tr>
        <w:tc>
          <w:tcPr>
            <w:tcW w:type="dxa" w:w="4968"/>
          </w:tcPr>
          <w:p>
            <w:r>
              <w:rPr>
                <w:sz w:val="17"/>
              </w:rPr>
              <w:t>Random-effects pooled OR</w:t>
            </w:r>
          </w:p>
        </w:tc>
        <w:tc>
          <w:tcPr>
            <w:tcW w:type="dxa" w:w="4968"/>
          </w:tcPr>
          <w:p>
            <w:r>
              <w:rPr>
                <w:sz w:val="17"/>
              </w:rPr>
              <w:t>1.380417 (95% CI 1.315672–1.448349)</w:t>
            </w:r>
          </w:p>
        </w:tc>
      </w:tr>
    </w:tbl>
    <w:p>
      <w:pPr>
        <w:pStyle w:val="Heading1"/>
        <w:keepNext/>
      </w:pPr>
      <w:r>
        <w:t>Supplementary Table S3. Leave-one-out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blHeader w:val="true"/>
        </w:trPr>
        <w:tc>
          <w:tcPr>
            <w:tcW w:type="dxa" w:w="3312"/>
          </w:tcPr>
          <w:p>
            <w:r>
              <w:rPr>
                <w:b/>
                <w:sz w:val="18"/>
              </w:rPr>
              <w:t>Omitted cohort</w:t>
            </w:r>
          </w:p>
        </w:tc>
        <w:tc>
          <w:tcPr>
            <w:tcW w:type="dxa" w:w="3312"/>
          </w:tcPr>
          <w:p>
            <w:r>
              <w:rPr>
                <w:b/>
                <w:sz w:val="18"/>
              </w:rPr>
              <w:t>Pooled OR</w:t>
            </w:r>
          </w:p>
        </w:tc>
        <w:tc>
          <w:tcPr>
            <w:tcW w:type="dxa" w:w="3312"/>
          </w:tcPr>
          <w:p>
            <w:r>
              <w:rPr>
                <w:b/>
                <w:sz w:val="18"/>
              </w:rPr>
              <w:t>95% CI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MIMIC-IV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1.343818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1.254353–1.439663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eICU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1.419582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1.329263–1.516037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NWICU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1.377778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1.312509–1.446292</w:t>
            </w:r>
          </w:p>
        </w:tc>
      </w:tr>
    </w:tbl>
    <w:p>
      <w:pPr>
        <w:pStyle w:val="Heading1"/>
        <w:keepNext/>
      </w:pPr>
      <w:r>
        <w:t>Supplementary Table S4. eICU Ca×P quartiles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blHeader w:val="true"/>
        </w:trPr>
        <w:tc>
          <w:tcPr>
            <w:tcW w:type="dxa" w:w="3312"/>
          </w:tcPr>
          <w:p>
            <w:r>
              <w:rPr>
                <w:b/>
                <w:sz w:val="18"/>
              </w:rPr>
              <w:t>Quartile</w:t>
            </w:r>
          </w:p>
        </w:tc>
        <w:tc>
          <w:tcPr>
            <w:tcW w:type="dxa" w:w="3312"/>
          </w:tcPr>
          <w:p>
            <w:r>
              <w:rPr>
                <w:b/>
                <w:sz w:val="18"/>
              </w:rPr>
              <w:t>Events/N</w:t>
            </w:r>
          </w:p>
        </w:tc>
        <w:tc>
          <w:tcPr>
            <w:tcW w:type="dxa" w:w="3312"/>
          </w:tcPr>
          <w:p>
            <w:r>
              <w:rPr>
                <w:b/>
                <w:sz w:val="18"/>
              </w:rPr>
              <w:t>Rate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Q1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69/413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16.7%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Q2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59/410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14.4%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Q3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82/411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20.0%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Q4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160/410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39.0%</w:t>
            </w:r>
          </w:p>
        </w:tc>
      </w:tr>
    </w:tbl>
    <w:p>
      <w:pPr>
        <w:spacing w:after="80"/>
      </w:pPr>
      <w:r>
        <w:t>Quartile event rates are descriptive; because Q2 was lower than Q1, the pattern should not be described as strictly monotonic.</w:t>
      </w:r>
    </w:p>
    <w:p>
      <w:pPr>
        <w:pStyle w:val="Heading1"/>
        <w:keepNext/>
        <w:pageBreakBefore/>
      </w:pPr>
      <w:r>
        <w:t>Supplementary Table S5. NWICU Ca×P quartiles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blHeader w:val="true"/>
        </w:trPr>
        <w:tc>
          <w:tcPr>
            <w:tcW w:type="dxa" w:w="3312"/>
          </w:tcPr>
          <w:p>
            <w:r>
              <w:rPr>
                <w:b/>
                <w:sz w:val="18"/>
              </w:rPr>
              <w:t>Quartile</w:t>
            </w:r>
          </w:p>
        </w:tc>
        <w:tc>
          <w:tcPr>
            <w:tcW w:type="dxa" w:w="3312"/>
          </w:tcPr>
          <w:p>
            <w:r>
              <w:rPr>
                <w:b/>
                <w:sz w:val="18"/>
              </w:rPr>
              <w:t>Events/N</w:t>
            </w:r>
          </w:p>
        </w:tc>
        <w:tc>
          <w:tcPr>
            <w:tcW w:type="dxa" w:w="3312"/>
          </w:tcPr>
          <w:p>
            <w:r>
              <w:rPr>
                <w:b/>
                <w:sz w:val="18"/>
              </w:rPr>
              <w:t>Rate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Q1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2/28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7.1%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Q2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3/27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11.1%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Q3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3/27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11.1%</w:t>
            </w:r>
          </w:p>
        </w:tc>
      </w:tr>
      <w:tr>
        <w:tc>
          <w:tcPr>
            <w:tcW w:type="dxa" w:w="3312"/>
          </w:tcPr>
          <w:p>
            <w:r>
              <w:rPr>
                <w:sz w:val="17"/>
              </w:rPr>
              <w:t>Q4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10/27</w:t>
            </w:r>
          </w:p>
        </w:tc>
        <w:tc>
          <w:tcPr>
            <w:tcW w:type="dxa" w:w="3312"/>
          </w:tcPr>
          <w:p>
            <w:r>
              <w:rPr>
                <w:sz w:val="17"/>
              </w:rPr>
              <w:t>37.0%</w:t>
            </w:r>
          </w:p>
        </w:tc>
      </w:tr>
    </w:tbl>
    <w:p>
      <w:pPr>
        <w:pStyle w:val="Heading1"/>
      </w:pPr>
      <w:r>
        <w:t>Supplementary Figure S1. Leave-one-out sensitivity analysis</w:t>
      </w:r>
    </w:p>
    <w:p>
      <w:r>
        <w:drawing>
          <wp:inline xmlns:a="http://schemas.openxmlformats.org/drawingml/2006/main" xmlns:pic="http://schemas.openxmlformats.org/drawingml/2006/picture">
            <wp:extent cx="5943600" cy="31579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lo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9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