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045" w:rsidRPr="0068732D" w:rsidRDefault="00361045" w:rsidP="00361045">
      <w:pPr>
        <w:spacing w:before="200" w:after="100"/>
      </w:pPr>
      <w:proofErr w:type="gramStart"/>
      <w:r>
        <w:rPr>
          <w:b/>
          <w:bCs/>
        </w:rPr>
        <w:t>Table 2.</w:t>
      </w:r>
      <w:proofErr w:type="gramEnd"/>
      <w:r>
        <w:rPr>
          <w:b/>
          <w:bCs/>
        </w:rPr>
        <w:t xml:space="preserve"> </w:t>
      </w:r>
      <w:r>
        <w:t>Baseline Models for Option Pricing Evaluation — Directional Accuracy by Regime</w:t>
      </w:r>
    </w:p>
    <w:tbl>
      <w:tblPr>
        <w:tblW w:w="97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800"/>
        <w:gridCol w:w="2100"/>
        <w:gridCol w:w="1600"/>
        <w:gridCol w:w="2000"/>
      </w:tblGrid>
      <w:tr w:rsidR="00361045" w:rsidRPr="0068732D" w:rsidTr="005C1753">
        <w:trPr>
          <w:trHeight w:val="706"/>
          <w:tblHeader/>
        </w:trPr>
        <w:tc>
          <w:tcPr>
            <w:tcW w:w="22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Regime Type</w:t>
            </w:r>
          </w:p>
        </w:tc>
        <w:tc>
          <w:tcPr>
            <w:tcW w:w="18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RMS Acc. (%)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LSTM-DDPG Acc. (%)</w:t>
            </w:r>
          </w:p>
        </w:tc>
        <w:tc>
          <w:tcPr>
            <w:tcW w:w="1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GA Acc. (%)</w:t>
            </w:r>
          </w:p>
        </w:tc>
        <w:tc>
          <w:tcPr>
            <w:tcW w:w="20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Proposed Acc. (%)</w:t>
            </w:r>
          </w:p>
        </w:tc>
      </w:tr>
      <w:tr w:rsidR="00361045" w:rsidRPr="0068732D" w:rsidTr="005C1753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Calm Regime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68.4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71.9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66.7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78.6</w:t>
            </w:r>
          </w:p>
        </w:tc>
      </w:tr>
      <w:tr w:rsidR="00361045" w:rsidRPr="0068732D" w:rsidTr="005C1753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Transitional Regime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62.1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65.8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60.4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73.9</w:t>
            </w:r>
          </w:p>
        </w:tc>
      </w:tr>
      <w:tr w:rsidR="00361045" w:rsidRPr="0068732D" w:rsidTr="005C1753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Stressed Regime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55.7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59.3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54.1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69.2</w:t>
            </w:r>
          </w:p>
        </w:tc>
      </w:tr>
    </w:tbl>
    <w:p w:rsidR="00EC6C22" w:rsidRDefault="00EC6C22"/>
    <w:p w:rsidR="00361045" w:rsidRDefault="00361045"/>
    <w:p w:rsidR="00361045" w:rsidRDefault="00361045"/>
    <w:p w:rsidR="00361045" w:rsidRDefault="00361045"/>
    <w:p w:rsidR="00361045" w:rsidRPr="0068732D" w:rsidRDefault="00361045" w:rsidP="00361045">
      <w:pPr>
        <w:spacing w:before="200" w:after="100"/>
      </w:pPr>
      <w:proofErr w:type="gramStart"/>
      <w:r>
        <w:rPr>
          <w:b/>
          <w:bCs/>
        </w:rPr>
        <w:t>Table 3.</w:t>
      </w:r>
      <w:proofErr w:type="gramEnd"/>
      <w:r>
        <w:rPr>
          <w:b/>
          <w:bCs/>
        </w:rPr>
        <w:t xml:space="preserve"> </w:t>
      </w:r>
      <w:r>
        <w:t>European Option Pricing — Portfolio-Level Return, Sharpe Ratio and Drawdown</w:t>
      </w:r>
    </w:p>
    <w:tbl>
      <w:tblPr>
        <w:tblW w:w="96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2000"/>
        <w:gridCol w:w="2400"/>
      </w:tblGrid>
      <w:tr w:rsidR="00361045" w:rsidRPr="0068732D" w:rsidTr="005C1753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Method</w:t>
            </w:r>
          </w:p>
        </w:tc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Annualized Return (%)</w:t>
            </w:r>
          </w:p>
        </w:tc>
        <w:tc>
          <w:tcPr>
            <w:tcW w:w="20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Sharpe Ratio</w:t>
            </w:r>
          </w:p>
        </w:tc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Max Drawdown (%)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RMS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14.8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1.21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23.4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LSTM-DDPG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16.2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1.34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21.1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GA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13.6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1.09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25.7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Proposed Model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19.7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1.62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16.3</w:t>
            </w:r>
          </w:p>
        </w:tc>
      </w:tr>
    </w:tbl>
    <w:p w:rsidR="00361045" w:rsidRDefault="00361045"/>
    <w:p w:rsidR="00361045" w:rsidRDefault="00361045"/>
    <w:p w:rsidR="00361045" w:rsidRPr="0068732D" w:rsidRDefault="00361045" w:rsidP="00361045">
      <w:pPr>
        <w:spacing w:before="200" w:after="100"/>
      </w:pPr>
      <w:proofErr w:type="gramStart"/>
      <w:r>
        <w:rPr>
          <w:b/>
          <w:bCs/>
        </w:rPr>
        <w:t>Table 4.</w:t>
      </w:r>
      <w:proofErr w:type="gramEnd"/>
      <w:r>
        <w:rPr>
          <w:b/>
          <w:bCs/>
        </w:rPr>
        <w:t xml:space="preserve"> </w:t>
      </w:r>
      <w:r>
        <w:t>Implied Volatility Surface — Daily Return, Win Rate, Turnover and Net Profit</w:t>
      </w:r>
    </w:p>
    <w:tbl>
      <w:tblPr>
        <w:tblW w:w="96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  <w:gridCol w:w="1600"/>
        <w:gridCol w:w="1700"/>
        <w:gridCol w:w="2300"/>
      </w:tblGrid>
      <w:tr w:rsidR="00361045" w:rsidRPr="0068732D" w:rsidTr="005C1753">
        <w:trPr>
          <w:tblHeader/>
        </w:trPr>
        <w:tc>
          <w:tcPr>
            <w:tcW w:w="20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Method</w:t>
            </w:r>
          </w:p>
        </w:tc>
        <w:tc>
          <w:tcPr>
            <w:tcW w:w="20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Avg. Daily Return (%)</w:t>
            </w:r>
          </w:p>
        </w:tc>
        <w:tc>
          <w:tcPr>
            <w:tcW w:w="1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Win Rate (%)</w:t>
            </w:r>
          </w:p>
        </w:tc>
        <w:tc>
          <w:tcPr>
            <w:tcW w:w="1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Turnover Ratio</w:t>
            </w:r>
          </w:p>
        </w:tc>
        <w:tc>
          <w:tcPr>
            <w:tcW w:w="23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Net Profit After Costs (%)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RMS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56.1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1.94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0.31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LSTM-DDPG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0.47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58.4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2.31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0.29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GA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0.38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54.7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1.62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0.28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Proposed Model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0.61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63.5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1.48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0.49</w:t>
            </w:r>
          </w:p>
        </w:tc>
      </w:tr>
    </w:tbl>
    <w:p w:rsidR="00361045" w:rsidRDefault="00361045" w:rsidP="00361045">
      <w:pPr>
        <w:spacing w:after="160"/>
        <w:jc w:val="both"/>
      </w:pPr>
    </w:p>
    <w:p w:rsidR="00361045" w:rsidRDefault="00361045"/>
    <w:p w:rsidR="00361045" w:rsidRDefault="00361045"/>
    <w:p w:rsidR="00361045" w:rsidRPr="0068732D" w:rsidRDefault="00361045" w:rsidP="00361045">
      <w:pPr>
        <w:spacing w:before="200" w:after="100"/>
      </w:pPr>
      <w:proofErr w:type="gramStart"/>
      <w:r>
        <w:rPr>
          <w:b/>
          <w:bCs/>
        </w:rPr>
        <w:t>Table 5.</w:t>
      </w:r>
      <w:proofErr w:type="gramEnd"/>
      <w:r>
        <w:rPr>
          <w:b/>
          <w:bCs/>
        </w:rPr>
        <w:t xml:space="preserve"> </w:t>
      </w:r>
      <w:r>
        <w:t>Exotic Option Pricing — Precision@10, Recall@10, Information Ratio and Cross-Market Stability</w:t>
      </w:r>
    </w:p>
    <w:tbl>
      <w:tblPr>
        <w:tblW w:w="96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900"/>
        <w:gridCol w:w="1700"/>
        <w:gridCol w:w="1900"/>
        <w:gridCol w:w="2100"/>
      </w:tblGrid>
      <w:tr w:rsidR="00361045" w:rsidRPr="0068732D" w:rsidTr="005C1753">
        <w:trPr>
          <w:tblHeader/>
        </w:trPr>
        <w:tc>
          <w:tcPr>
            <w:tcW w:w="20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Method</w:t>
            </w:r>
          </w:p>
        </w:tc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Precision@10 (%)</w:t>
            </w:r>
          </w:p>
        </w:tc>
        <w:tc>
          <w:tcPr>
            <w:tcW w:w="1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Recall@10 (%)</w:t>
            </w:r>
          </w:p>
        </w:tc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Information Ratio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Cross-Market Stability (%)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RMS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61.3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57.8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72.1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LSTM-DDPG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64.7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60.9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0.93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74.5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GA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59.8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55.2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0.79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70.3</w:t>
            </w:r>
          </w:p>
        </w:tc>
      </w:tr>
      <w:tr w:rsidR="00361045" w:rsidRPr="0068732D" w:rsidTr="005C1753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Proposed Model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72.6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69.1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1.18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82.7</w:t>
            </w:r>
          </w:p>
        </w:tc>
      </w:tr>
    </w:tbl>
    <w:p w:rsidR="00361045" w:rsidRDefault="00361045"/>
    <w:p w:rsidR="00361045" w:rsidRDefault="00361045"/>
    <w:p w:rsidR="00361045" w:rsidRDefault="00361045"/>
    <w:p w:rsidR="00361045" w:rsidRPr="0068732D" w:rsidRDefault="00361045" w:rsidP="00361045">
      <w:pPr>
        <w:spacing w:before="200" w:after="100"/>
      </w:pPr>
      <w:proofErr w:type="gramStart"/>
      <w:r>
        <w:rPr>
          <w:b/>
          <w:bCs/>
        </w:rPr>
        <w:t>Table 6.</w:t>
      </w:r>
      <w:proofErr w:type="gramEnd"/>
      <w:r>
        <w:rPr>
          <w:b/>
          <w:bCs/>
        </w:rPr>
        <w:t xml:space="preserve"> </w:t>
      </w:r>
      <w:r>
        <w:t xml:space="preserve">Static Arbitrage Violation Rates — Delta-Hedging Error, </w:t>
      </w:r>
      <w:proofErr w:type="spellStart"/>
      <w:r>
        <w:t>VaR</w:t>
      </w:r>
      <w:proofErr w:type="spellEnd"/>
      <w:r>
        <w:t xml:space="preserve"> Violation Rate and Volatility Forecast RMSE</w:t>
      </w:r>
    </w:p>
    <w:tbl>
      <w:tblPr>
        <w:tblW w:w="100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2900"/>
        <w:gridCol w:w="2100"/>
      </w:tblGrid>
      <w:tr w:rsidR="00361045" w:rsidRPr="0068732D" w:rsidTr="005C1753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Method</w:t>
            </w:r>
          </w:p>
        </w:tc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Delta Hedging Error</w:t>
            </w:r>
          </w:p>
        </w:tc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One-Day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VaR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Violation Rate (%)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Volatility Forecast RMSE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RMS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0.087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7.4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0.021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LSTM-DDPG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0.081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6.9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0.019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GA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0.093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8.1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0.024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Proposed Model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0.014</w:t>
            </w:r>
          </w:p>
        </w:tc>
      </w:tr>
    </w:tbl>
    <w:p w:rsidR="00361045" w:rsidRDefault="00361045"/>
    <w:p w:rsidR="00361045" w:rsidRDefault="00361045"/>
    <w:p w:rsidR="00361045" w:rsidRDefault="00361045"/>
    <w:p w:rsidR="00361045" w:rsidRDefault="00361045"/>
    <w:p w:rsidR="00361045" w:rsidRDefault="00361045" w:rsidP="00361045">
      <w:pPr>
        <w:spacing w:after="160"/>
        <w:jc w:val="both"/>
      </w:pPr>
      <w:proofErr w:type="gramStart"/>
      <w:r>
        <w:rPr>
          <w:b/>
          <w:bCs/>
        </w:rPr>
        <w:t>Table 7.</w:t>
      </w:r>
      <w:proofErr w:type="gramEnd"/>
      <w:r>
        <w:rPr>
          <w:b/>
          <w:bCs/>
        </w:rPr>
        <w:t xml:space="preserve"> </w:t>
      </w:r>
      <w:r>
        <w:t>Comparative analysis of accuracy degradation, return degradation, and regime recovery across different methods</w:t>
      </w:r>
    </w:p>
    <w:p w:rsidR="00361045" w:rsidRDefault="00361045" w:rsidP="00361045">
      <w:pPr>
        <w:spacing w:after="160"/>
        <w:jc w:val="both"/>
      </w:pPr>
    </w:p>
    <w:tbl>
      <w:tblPr>
        <w:tblW w:w="100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2900"/>
        <w:gridCol w:w="2100"/>
      </w:tblGrid>
      <w:tr w:rsidR="00361045" w:rsidRPr="0068732D" w:rsidTr="005C1753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Method</w:t>
            </w:r>
          </w:p>
        </w:tc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Accuracy Drop (%)</w:t>
            </w:r>
          </w:p>
        </w:tc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Return Degradation (%)</w:t>
            </w:r>
          </w:p>
        </w:tc>
        <w:tc>
          <w:tcPr>
            <w:tcW w:w="21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Regime Recovery Time (Days)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RMS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14.6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21.3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LSTM-DDPG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12.9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18.7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GA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16.2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24.5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</w:tr>
      <w:tr w:rsidR="00361045" w:rsidRPr="0068732D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r>
              <w:rPr>
                <w:sz w:val="18"/>
                <w:szCs w:val="18"/>
              </w:rPr>
              <w:t>Proposed Model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11.4</w:t>
            </w:r>
          </w:p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Pr="0068732D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</w:tr>
    </w:tbl>
    <w:p w:rsidR="00361045" w:rsidRDefault="00361045" w:rsidP="00361045">
      <w:pPr>
        <w:spacing w:after="160"/>
        <w:jc w:val="both"/>
      </w:pPr>
    </w:p>
    <w:p w:rsidR="00361045" w:rsidRDefault="00361045"/>
    <w:p w:rsidR="00361045" w:rsidRDefault="00361045"/>
    <w:p w:rsidR="00361045" w:rsidRDefault="00361045" w:rsidP="00361045">
      <w:pPr>
        <w:spacing w:before="200" w:after="100"/>
      </w:pPr>
      <w:proofErr w:type="gramStart"/>
      <w:r>
        <w:rPr>
          <w:b/>
          <w:bCs/>
        </w:rPr>
        <w:t>Table 8.</w:t>
      </w:r>
      <w:proofErr w:type="gramEnd"/>
      <w:r>
        <w:rPr>
          <w:b/>
          <w:bCs/>
        </w:rPr>
        <w:t xml:space="preserve"> </w:t>
      </w:r>
      <w:r>
        <w:t>Ablation Study — Module-Wise Contribution Analysis</w:t>
      </w:r>
    </w:p>
    <w:tbl>
      <w:tblPr>
        <w:tblW w:w="9500" w:type="dxa"/>
        <w:tblInd w:w="90" w:type="dxa"/>
        <w:tblBorders>
          <w:top w:val="single" w:sz="4" w:space="0" w:color="888888"/>
          <w:bottom w:val="single" w:sz="4" w:space="0" w:color="888888"/>
          <w:insideH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39"/>
        <w:gridCol w:w="1419"/>
        <w:gridCol w:w="1439"/>
        <w:gridCol w:w="1424"/>
        <w:gridCol w:w="1359"/>
      </w:tblGrid>
      <w:tr w:rsidR="00361045" w:rsidTr="005C1753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Model Variant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European RMSE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IV Surface RMSE (bps)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Arbitrage Rate (%)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Delta-Hedge Error</w:t>
            </w:r>
          </w:p>
        </w:tc>
        <w:tc>
          <w:tcPr>
            <w:tcW w:w="1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Conformal Coverage (%)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Proposed (Full)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0.0231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1.28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95.8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w/o M³V-FuseNet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0.0389 (↑68%)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2.31 (↑80%)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0.062ᵃ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95.8ᵃ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 xml:space="preserve">w/o </w:t>
            </w:r>
            <w:proofErr w:type="spellStart"/>
            <w:r>
              <w:rPr>
                <w:sz w:val="18"/>
                <w:szCs w:val="18"/>
              </w:rPr>
              <w:t>Arb</w:t>
            </w:r>
            <w:proofErr w:type="spellEnd"/>
            <w:r>
              <w:rPr>
                <w:sz w:val="18"/>
                <w:szCs w:val="18"/>
              </w:rPr>
              <w:t>-Guard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0.0231ᵃ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1.28ᵃ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3.94 (↑66×)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0.062ᵃ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95.8ᵃ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 xml:space="preserve">w/o </w:t>
            </w:r>
            <w:proofErr w:type="spellStart"/>
            <w:r>
              <w:rPr>
                <w:sz w:val="18"/>
                <w:szCs w:val="18"/>
              </w:rPr>
              <w:t>ExoX</w:t>
            </w:r>
            <w:proofErr w:type="spellEnd"/>
            <w:r>
              <w:rPr>
                <w:sz w:val="18"/>
                <w:szCs w:val="18"/>
              </w:rPr>
              <w:t>-SDE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0.0231ᵃ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1.28ᵃ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0.233 (↑276%)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95.8ᵃ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 xml:space="preserve">w/o A-XAI </w:t>
            </w:r>
            <w:proofErr w:type="spellStart"/>
            <w:r>
              <w:rPr>
                <w:sz w:val="18"/>
                <w:szCs w:val="18"/>
              </w:rPr>
              <w:t>TraceStack</w:t>
            </w:r>
            <w:proofErr w:type="spellEnd"/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0.0231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1.28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95.8</w:t>
            </w:r>
          </w:p>
        </w:tc>
      </w:tr>
      <w:tr w:rsidR="00361045" w:rsidTr="005C1753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 xml:space="preserve">w/o </w:t>
            </w:r>
            <w:proofErr w:type="spellStart"/>
            <w:r>
              <w:rPr>
                <w:sz w:val="18"/>
                <w:szCs w:val="18"/>
              </w:rPr>
              <w:t>TheoMix</w:t>
            </w:r>
            <w:proofErr w:type="spellEnd"/>
            <w:r>
              <w:rPr>
                <w:sz w:val="18"/>
                <w:szCs w:val="18"/>
              </w:rPr>
              <w:t>-CP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0.0231ᵃ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1.28ᵃ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0.06ᵃ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>0.062ᵃ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1045" w:rsidRDefault="00361045" w:rsidP="005C1753">
            <w:pPr>
              <w:jc w:val="center"/>
            </w:pPr>
            <w:r>
              <w:rPr>
                <w:sz w:val="18"/>
                <w:szCs w:val="18"/>
              </w:rPr>
              <w:t xml:space="preserve">61.3 (↑34.5 </w:t>
            </w:r>
            <w:proofErr w:type="spellStart"/>
            <w:r>
              <w:rPr>
                <w:sz w:val="18"/>
                <w:szCs w:val="18"/>
              </w:rPr>
              <w:t>pp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</w:tbl>
    <w:p w:rsidR="00361045" w:rsidRDefault="00361045" w:rsidP="00361045">
      <w:pPr>
        <w:spacing w:after="200"/>
        <w:rPr>
          <w:sz w:val="18"/>
          <w:szCs w:val="18"/>
        </w:rPr>
      </w:pPr>
      <w:r>
        <w:rPr>
          <w:sz w:val="18"/>
          <w:szCs w:val="18"/>
        </w:rPr>
        <w:t>ᵃ Unaffected by this module’s removal on the tested metrics; each module governs a functionally disjoint objective within the pipeline.</w:t>
      </w:r>
    </w:p>
    <w:p w:rsidR="00361045" w:rsidRDefault="00361045">
      <w:bookmarkStart w:id="0" w:name="_GoBack"/>
      <w:bookmarkEnd w:id="0"/>
    </w:p>
    <w:sectPr w:rsidR="00361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045"/>
    <w:rsid w:val="00361045"/>
    <w:rsid w:val="00EC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45"/>
    <w:pPr>
      <w:spacing w:after="0" w:line="240" w:lineRule="auto"/>
    </w:pPr>
    <w:rPr>
      <w:rFonts w:ascii="Times New Roman" w:eastAsia="Times New Roman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45"/>
    <w:pPr>
      <w:spacing w:after="0" w:line="240" w:lineRule="auto"/>
    </w:pPr>
    <w:rPr>
      <w:rFonts w:ascii="Times New Roman" w:eastAsia="Times New Roman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2026-09-24T05:37:00Z</dcterms:created>
  <dcterms:modified xsi:type="dcterms:W3CDTF">2026-09-24T05:39:00Z</dcterms:modified>
</cp:coreProperties>
</file>