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Times New Roman" w:hAnsi="Times New Roman"/>
          <w:b/>
          <w:i w:val="0"/>
          <w:color w:val="000000"/>
          <w:sz w:val="30"/>
        </w:rPr>
        <w:t>Supplementary Tables</w:t>
      </w:r>
    </w:p>
    <w:p>
      <w:pPr>
        <w:pStyle w:val="Heading1"/>
        <w:keepNext/>
        <w:spacing w:before="40" w:after="140"/>
      </w:pPr>
      <w:r>
        <w:rPr>
          <w:rFonts w:ascii="Times New Roman" w:hAnsi="Times New Roman"/>
          <w:b/>
          <w:i w:val="0"/>
          <w:color w:val="000000"/>
          <w:sz w:val="22"/>
        </w:rPr>
        <w:t>Supplementary Table S1  Cohort sources and analysis populations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8"/>
        <w:gridCol w:w="2328"/>
        <w:gridCol w:w="2328"/>
        <w:gridCol w:w="2328"/>
        <w:gridCol w:w="2328"/>
        <w:gridCol w:w="2328"/>
      </w:tblGrid>
      <w:tr>
        <w:trPr>
          <w:tblHeader w:val="true"/>
        </w:trPr>
        <w:tc>
          <w:tcPr>
            <w:tcW w:type="dxa" w:w="129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Cohort</w:t>
            </w:r>
          </w:p>
        </w:tc>
        <w:tc>
          <w:tcPr>
            <w:tcW w:type="dxa" w:w="3888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Expression and annotation source</w:t>
            </w:r>
          </w:p>
        </w:tc>
        <w:tc>
          <w:tcPr>
            <w:tcW w:type="dxa" w:w="1440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Base cohort</w:t>
            </w:r>
          </w:p>
        </w:tc>
        <w:tc>
          <w:tcPr>
            <w:tcW w:type="dxa" w:w="1800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OS analysis n (deaths)</w:t>
            </w:r>
          </w:p>
        </w:tc>
        <w:tc>
          <w:tcPr>
            <w:tcW w:type="dxa" w:w="2520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Immune or myeloid analysis</w:t>
            </w:r>
          </w:p>
        </w:tc>
        <w:tc>
          <w:tcPr>
            <w:tcW w:type="dxa" w:w="1728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8"/>
              </w:rPr>
              <w:t>Purity adjustment</w:t>
            </w:r>
          </w:p>
        </w:tc>
      </w:tr>
      <w:tr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TCGA</w:t>
            </w:r>
          </w:p>
        </w:tc>
        <w:tc>
          <w:tcPr>
            <w:tcW w:type="dxa" w:w="38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UCSC Xena HiSeqV2 and Cell 2016 annotations</w:t>
            </w:r>
          </w:p>
        </w:tc>
        <w:tc>
          <w:tcPr>
            <w:tcW w:type="dxa" w:w="14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509</w:t>
            </w:r>
          </w:p>
        </w:tc>
        <w:tc>
          <w:tcPr>
            <w:tcW w:type="dxa" w:w="180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505 (124)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ESTIMATE 409; myeloid 411</w:t>
            </w:r>
          </w:p>
        </w:tc>
        <w:tc>
          <w:tcPr>
            <w:tcW w:type="dxa" w:w="17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ABSOLUTE</w:t>
            </w:r>
          </w:p>
        </w:tc>
      </w:tr>
      <w:tr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CGGA693</w:t>
            </w:r>
          </w:p>
        </w:tc>
        <w:tc>
          <w:tcPr>
            <w:tcW w:type="dxa" w:w="38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CGGA mRNAseq 693</w:t>
            </w:r>
          </w:p>
        </w:tc>
        <w:tc>
          <w:tcPr>
            <w:tcW w:type="dxa" w:w="144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208</w:t>
            </w:r>
          </w:p>
        </w:tc>
        <w:tc>
          <w:tcPr>
            <w:tcW w:type="dxa" w:w="180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201 (77)</w:t>
            </w:r>
          </w:p>
        </w:tc>
        <w:tc>
          <w:tcPr>
            <w:tcW w:type="dxa" w:w="252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MCP-counter 208</w:t>
            </w:r>
          </w:p>
        </w:tc>
        <w:tc>
          <w:tcPr>
            <w:tcW w:type="dxa" w:w="17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available</w:t>
            </w:r>
          </w:p>
        </w:tc>
      </w:tr>
      <w:tr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CGGA325</w:t>
            </w:r>
          </w:p>
        </w:tc>
        <w:tc>
          <w:tcPr>
            <w:tcW w:type="dxa" w:w="38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CGGA mRNAseq 325</w:t>
            </w:r>
          </w:p>
        </w:tc>
        <w:tc>
          <w:tcPr>
            <w:tcW w:type="dxa" w:w="14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139</w:t>
            </w:r>
          </w:p>
        </w:tc>
        <w:tc>
          <w:tcPr>
            <w:tcW w:type="dxa" w:w="180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132 (64)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MCP-counter 139</w:t>
            </w:r>
          </w:p>
        </w:tc>
        <w:tc>
          <w:tcPr>
            <w:tcW w:type="dxa" w:w="17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available</w:t>
            </w:r>
          </w:p>
        </w:tc>
      </w:tr>
    </w:tbl>
    <w:p>
      <w:pPr>
        <w:spacing w:before="100" w:after="0" w:line="240" w:lineRule="auto"/>
      </w:pPr>
      <w:r>
        <w:rPr>
          <w:rFonts w:ascii="Times New Roman" w:hAnsi="Times New Roman"/>
          <w:b w:val="0"/>
          <w:i/>
          <w:color w:val="000000"/>
          <w:sz w:val="17"/>
        </w:rPr>
        <w:t xml:space="preserve">Note. </w:t>
      </w:r>
      <w:r>
        <w:rPr>
          <w:rFonts w:ascii="Times New Roman" w:hAnsi="Times New Roman"/>
          <w:b w:val="0"/>
          <w:i w:val="0"/>
          <w:color w:val="000000"/>
          <w:sz w:val="17"/>
        </w:rPr>
        <w:t>Base cohorts included adults with primary historical grade II or III tumors and complete age, sex, grade, molecular subtype, and HTR2C expression. OS analyses additionally required a valid survival time and event indicator. TCGA expression was analyzed as log2(RSEM + 1), and CGGA expression as log2(FPKM + 1). Analysis populations overlap and should not be added.</w:t>
      </w:r>
    </w:p>
    <w:p>
      <w:pPr/>
      <w:r>
        <w:br w:type="page"/>
      </w:r>
    </w:p>
    <w:p>
      <w:pPr>
        <w:pStyle w:val="Heading1"/>
        <w:keepNext/>
        <w:spacing w:before="40" w:after="140"/>
      </w:pPr>
      <w:r>
        <w:rPr>
          <w:rFonts w:ascii="Times New Roman" w:hAnsi="Times New Roman"/>
          <w:b/>
          <w:i w:val="0"/>
          <w:color w:val="000000"/>
          <w:sz w:val="22"/>
        </w:rPr>
        <w:t>Supplementary Table S2  HTR2C survival estimates and sensitivity analyses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46"/>
        <w:gridCol w:w="1746"/>
        <w:gridCol w:w="1746"/>
        <w:gridCol w:w="1746"/>
        <w:gridCol w:w="1746"/>
        <w:gridCol w:w="1746"/>
        <w:gridCol w:w="1746"/>
        <w:gridCol w:w="1746"/>
      </w:tblGrid>
      <w:tr>
        <w:trPr>
          <w:tblHeader w:val="true"/>
        </w:trPr>
        <w:tc>
          <w:tcPr>
            <w:tcW w:type="dxa" w:w="115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Cohort</w:t>
            </w:r>
          </w:p>
        </w:tc>
        <w:tc>
          <w:tcPr>
            <w:tcW w:type="dxa" w:w="223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Analysis</w:t>
            </w:r>
          </w:p>
        </w:tc>
        <w:tc>
          <w:tcPr>
            <w:tcW w:type="dxa" w:w="309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Adjustment</w:t>
            </w:r>
          </w:p>
        </w:tc>
        <w:tc>
          <w:tcPr>
            <w:tcW w:type="dxa" w:w="115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n (deaths)</w:t>
            </w:r>
          </w:p>
        </w:tc>
        <w:tc>
          <w:tcPr>
            <w:tcW w:type="dxa" w:w="115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HR per SD</w:t>
            </w:r>
          </w:p>
        </w:tc>
        <w:tc>
          <w:tcPr>
            <w:tcW w:type="dxa" w:w="1584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95% CI</w:t>
            </w:r>
          </w:p>
        </w:tc>
        <w:tc>
          <w:tcPr>
            <w:tcW w:type="dxa" w:w="1080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P</w:t>
            </w:r>
          </w:p>
        </w:tc>
        <w:tc>
          <w:tcPr>
            <w:tcW w:type="dxa" w:w="93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PH P</w:t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TCGA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M0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None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505 (124)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0.65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0.54 to 0.77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1.7e-06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TCGA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M1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505 (124)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0.71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0.59 to 0.86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2.9e-04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TCGA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M2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M1 plus molecular subtype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505 (124)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0.87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0.72 to 1.05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0.145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0.967</w:t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M0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None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201 (77)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0.68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0.51 to 0.89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0.005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M1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201 (77)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0.74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0.56 to 0.98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0.036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M2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M1 plus molecular subtype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201 (77)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0.67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0.52 to 0.87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0.002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0.180</w:t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M0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None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132 (64)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0.64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0.47 to 0.88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0.006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M1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132 (64)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0.71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0.52 to 0.96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0.025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Primary M2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M1 plus molecular subtype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132 (64)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0.67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0.49 to 0.91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0.009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0.908</w:t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TCGA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Discordant case excluded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M2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504 (124)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0.87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0.72 to 1.05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0.145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TCGA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modeled with spline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M2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505 (124)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0.85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0.70 to 1.03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0.090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Stratified model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sex; strata grade subtype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201 (77)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0.73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0.56 to 0.95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0.017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IDH mutant subgroup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 1p/19q subtype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154 (48)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0.80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0.56 to 1.13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0.197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CGGA693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Available case M1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265 (98)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0.80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0.63 to 1.01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0.062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Stratified model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sex; strata grade subtype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132 (64)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0.77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0.57 to 1.04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0.090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IDH mutant subgroup</w:t>
            </w:r>
          </w:p>
        </w:tc>
        <w:tc>
          <w:tcPr>
            <w:tcW w:type="dxa" w:w="30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 1p/19q subtype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99 (39)</w:t>
            </w:r>
          </w:p>
        </w:tc>
        <w:tc>
          <w:tcPr>
            <w:tcW w:type="dxa" w:w="115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0.68</w:t>
            </w:r>
          </w:p>
        </w:tc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0.45 to 1.02</w:t>
            </w:r>
          </w:p>
        </w:tc>
        <w:tc>
          <w:tcPr>
            <w:tcW w:type="dxa" w:w="108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0.063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CGGA325</w:t>
            </w:r>
          </w:p>
        </w:tc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Available case M1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Age sex grade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135 (64)</w:t>
            </w:r>
          </w:p>
        </w:tc>
        <w:tc>
          <w:tcPr>
            <w:tcW w:type="dxa" w:w="115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0.66</w:t>
            </w:r>
          </w:p>
        </w:tc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0.49 to 0.90</w:t>
            </w:r>
          </w:p>
        </w:tc>
        <w:tc>
          <w:tcPr>
            <w:tcW w:type="dxa" w:w="10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0.009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before="100" w:after="0" w:line="240" w:lineRule="auto"/>
      </w:pPr>
      <w:r>
        <w:rPr>
          <w:rFonts w:ascii="Times New Roman" w:hAnsi="Times New Roman"/>
          <w:b w:val="0"/>
          <w:i/>
          <w:color w:val="000000"/>
          <w:sz w:val="17"/>
        </w:rPr>
        <w:t xml:space="preserve">Note. </w:t>
      </w:r>
      <w:r>
        <w:rPr>
          <w:rFonts w:ascii="Times New Roman" w:hAnsi="Times New Roman"/>
          <w:b w:val="0"/>
          <w:i w:val="0"/>
          <w:color w:val="000000"/>
          <w:sz w:val="17"/>
        </w:rPr>
        <w:t>HTR2C was standardized within each analysis population. HRs and P values are from Cox proportional hazards models with two-sided Wald inference. Female sex, historical grade II, and IDH-mutant 1p/19q-codeleted tumors were reference categories. PH P is the rank-time Schoenfeld residual test for HTR2C in the primary M2 model. Likelihood-ratio tests for adding HTR2C to the corresponding clinical and molecular model were: TCGA, chi-square = 2.152, P = 0.1424; CGGA693, chi-square = 11.566, P = 0.0007; and CGGA325, chi-square = 7.855, P = 0.0051. In TCGA, likelihood-ratio tests did not support nonlinearity for HTR2C (spline versus linear P = 0.6898) or age (P = 0.2340).</w:t>
      </w:r>
    </w:p>
    <w:p>
      <w:pPr/>
      <w:r>
        <w:br w:type="page"/>
      </w:r>
    </w:p>
    <w:p>
      <w:pPr>
        <w:pStyle w:val="Heading1"/>
        <w:keepNext/>
        <w:spacing w:before="40" w:after="140"/>
      </w:pPr>
      <w:r>
        <w:rPr>
          <w:rFonts w:ascii="Times New Roman" w:hAnsi="Times New Roman"/>
          <w:b/>
          <w:i w:val="0"/>
          <w:color w:val="000000"/>
          <w:sz w:val="22"/>
        </w:rPr>
        <w:t>Supplementary Table S3  Fully adjusted TCGA immune and myeloid associations and sensitivity analyses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  <w:gridCol w:w="1995"/>
        <w:gridCol w:w="1995"/>
      </w:tblGrid>
      <w:tr>
        <w:trPr>
          <w:tblHeader w:val="true"/>
        </w:trPr>
        <w:tc>
          <w:tcPr>
            <w:tcW w:type="dxa" w:w="1584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Analysis family</w:t>
            </w:r>
          </w:p>
        </w:tc>
        <w:tc>
          <w:tcPr>
            <w:tcW w:type="dxa" w:w="3528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Score</w:t>
            </w:r>
          </w:p>
        </w:tc>
        <w:tc>
          <w:tcPr>
            <w:tcW w:type="dxa" w:w="79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n</w:t>
            </w:r>
          </w:p>
        </w:tc>
        <w:tc>
          <w:tcPr>
            <w:tcW w:type="dxa" w:w="129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Partial rho</w:t>
            </w:r>
          </w:p>
        </w:tc>
        <w:tc>
          <w:tcPr>
            <w:tcW w:type="dxa" w:w="2088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95% CI</w:t>
            </w:r>
          </w:p>
        </w:tc>
        <w:tc>
          <w:tcPr>
            <w:tcW w:type="dxa" w:w="151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P</w:t>
            </w:r>
          </w:p>
        </w:tc>
        <w:tc>
          <w:tcPr>
            <w:tcW w:type="dxa" w:w="165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6"/>
              </w:rPr>
              <w:t>BH-adjusted P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Immune score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409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-0.405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-0.486 to -0.318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2.33e-17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4.66e-17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Stromal score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409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-0.275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-0.365 to -0.178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1.89e-08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1.89e-08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discordant case excluded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Immune score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408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-0.408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-0.487 to -0.324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1.36e-17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2.73e-17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discordant case excluded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Stromal score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408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-0.278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-0.365 to -0.185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1.51e-08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1.51e-08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OS intersection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Immune score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405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-0.406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-0.485 to -0.321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2.65e-17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5.29e-17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OS intersection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Stromal score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405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-0.274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-0.362 to -0.181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2.51e-08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2.51e-08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purity spline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Immune score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409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-0.392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-0.471 to -0.305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3.81e-16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7.61e-16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ESTIMATE: purity spline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Stromal score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409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-0.267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-0.356 to -0.174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5.64e-08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5.64e-08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Macrophage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-0.363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-0.445 to -0.276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4.70e-14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1.44e-13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Monocyte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-0.289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-0.379 to -0.195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3.13e-09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5.47e-09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Myeloid dendritic cell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-0.014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-0.117 to 0.083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0.785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0.916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Activated myeloid dendritic cell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-0.361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-0.447 to -0.264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6.15e-14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1.44e-13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M1 macrophage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-0.447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-0.524 to -0.362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2.63e-21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1.84e-20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M2 macrophage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-0.002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-0.106 to 0.100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0.962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0.962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xCell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Plasmacytoid dendritic cell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-0.112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-0.204 to -0.015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0.0247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0.0346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TIMER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Macrophage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0.007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-0.097 to 0.104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0.891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0.891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TIMER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Myeloid dendritic cell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-0.313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-0.401 to -0.222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1.18e-10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4.72e-10</w:t>
            </w:r>
          </w:p>
        </w:tc>
      </w:tr>
      <w:tr>
        <w:tc>
          <w:tcPr>
            <w:tcW w:type="dxa" w:w="158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MCP-counter</w:t>
            </w:r>
          </w:p>
        </w:tc>
        <w:tc>
          <w:tcPr>
            <w:tcW w:type="dxa" w:w="352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Monocytic lineage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-0.188</w:t>
            </w:r>
          </w:p>
        </w:tc>
        <w:tc>
          <w:tcPr>
            <w:tcW w:type="dxa" w:w="208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-0.281 to -0.090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0.0001</w:t>
            </w:r>
          </w:p>
        </w:tc>
        <w:tc>
          <w:tcPr>
            <w:tcW w:type="dxa" w:w="165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0.0003</w:t>
            </w:r>
          </w:p>
        </w:tc>
      </w:tr>
      <w:tr>
        <w:tc>
          <w:tcPr>
            <w:tcW w:type="dxa" w:w="158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MCP-counter</w:t>
            </w:r>
          </w:p>
        </w:tc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Myeloid dendritic cell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411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-0.182</w:t>
            </w:r>
          </w:p>
        </w:tc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-0.275 to -0.087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0.0002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0.0003</w:t>
            </w:r>
          </w:p>
        </w:tc>
      </w:tr>
    </w:tbl>
    <w:p>
      <w:pPr>
        <w:spacing w:before="100" w:after="0" w:line="240" w:lineRule="auto"/>
      </w:pPr>
      <w:r>
        <w:rPr>
          <w:rFonts w:ascii="Times New Roman" w:hAnsi="Times New Roman"/>
          <w:b w:val="0"/>
          <w:i/>
          <w:color w:val="000000"/>
          <w:sz w:val="17"/>
        </w:rPr>
        <w:t xml:space="preserve">Note. </w:t>
      </w:r>
      <w:r>
        <w:rPr>
          <w:rFonts w:ascii="Times New Roman" w:hAnsi="Times New Roman"/>
          <w:b w:val="0"/>
          <w:i w:val="0"/>
          <w:color w:val="000000"/>
          <w:sz w:val="17"/>
        </w:rPr>
        <w:t>Partial rank correlations were adjusted for age, sex, historical grade, molecular subtype, and ABSOLUTE purity. Confidence intervals were obtained from 2,000 patient-level bootstrap samples for ESTIMATE and the primary myeloid analyses. Benjamini-Hochberg correction was applied within the two-score ESTIMATE family, the seven-score xCell family, and the four-score TIMER or MCP-counter family.</w:t>
      </w:r>
    </w:p>
    <w:p>
      <w:pPr/>
      <w:r>
        <w:br w:type="page"/>
      </w:r>
    </w:p>
    <w:p>
      <w:pPr>
        <w:pStyle w:val="Heading1"/>
        <w:keepNext/>
        <w:spacing w:before="40" w:after="140"/>
      </w:pPr>
      <w:r>
        <w:rPr>
          <w:rFonts w:ascii="Times New Roman" w:hAnsi="Times New Roman"/>
          <w:b/>
          <w:i w:val="0"/>
          <w:color w:val="000000"/>
          <w:sz w:val="22"/>
        </w:rPr>
        <w:t>Supplementary Table S4  CGGA validation of the monocytic lineage association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46"/>
        <w:gridCol w:w="1746"/>
        <w:gridCol w:w="1746"/>
        <w:gridCol w:w="1746"/>
        <w:gridCol w:w="1746"/>
        <w:gridCol w:w="1746"/>
        <w:gridCol w:w="1746"/>
        <w:gridCol w:w="1746"/>
      </w:tblGrid>
      <w:tr>
        <w:trPr>
          <w:tblHeader w:val="true"/>
        </w:trPr>
        <w:tc>
          <w:tcPr>
            <w:tcW w:type="dxa" w:w="1224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Cohort</w:t>
            </w:r>
          </w:p>
        </w:tc>
        <w:tc>
          <w:tcPr>
            <w:tcW w:type="dxa" w:w="2520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Score</w:t>
            </w:r>
          </w:p>
        </w:tc>
        <w:tc>
          <w:tcPr>
            <w:tcW w:type="dxa" w:w="93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Markers</w:t>
            </w:r>
          </w:p>
        </w:tc>
        <w:tc>
          <w:tcPr>
            <w:tcW w:type="dxa" w:w="79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n</w:t>
            </w:r>
          </w:p>
        </w:tc>
        <w:tc>
          <w:tcPr>
            <w:tcW w:type="dxa" w:w="1368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Partial rho</w:t>
            </w:r>
          </w:p>
        </w:tc>
        <w:tc>
          <w:tcPr>
            <w:tcW w:type="dxa" w:w="201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95% CI</w:t>
            </w:r>
          </w:p>
        </w:tc>
        <w:tc>
          <w:tcPr>
            <w:tcW w:type="dxa" w:w="1296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P</w:t>
            </w:r>
          </w:p>
        </w:tc>
        <w:tc>
          <w:tcPr>
            <w:tcW w:type="dxa" w:w="1512"/>
            <w:shd w:fill="D9EA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000000"/>
                <w:sz w:val="17"/>
              </w:rPr>
              <w:t>BH-adjusted P</w:t>
            </w:r>
          </w:p>
        </w:tc>
      </w:tr>
      <w:tr>
        <w:tc>
          <w:tcPr>
            <w:tcW w:type="dxa" w:w="122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CGGA693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Monocytic lineage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7/7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208</w:t>
            </w:r>
          </w:p>
        </w:tc>
        <w:tc>
          <w:tcPr>
            <w:tcW w:type="dxa" w:w="13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-0.210</w:t>
            </w:r>
          </w:p>
        </w:tc>
        <w:tc>
          <w:tcPr>
            <w:tcW w:type="dxa" w:w="201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-0.342 to -0.071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0.0026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0.0053</w:t>
            </w:r>
          </w:p>
        </w:tc>
      </w:tr>
      <w:tr>
        <w:tc>
          <w:tcPr>
            <w:tcW w:type="dxa" w:w="122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CGGA693</w:t>
            </w:r>
          </w:p>
        </w:tc>
        <w:tc>
          <w:tcPr>
            <w:tcW w:type="dxa" w:w="252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Myeloid dendritic cell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3/6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208</w:t>
            </w:r>
          </w:p>
        </w:tc>
        <w:tc>
          <w:tcPr>
            <w:tcW w:type="dxa" w:w="136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-0.177</w:t>
            </w:r>
          </w:p>
        </w:tc>
        <w:tc>
          <w:tcPr>
            <w:tcW w:type="dxa" w:w="201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-0.309 to -0.038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0.0115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0.0115</w:t>
            </w:r>
          </w:p>
        </w:tc>
      </w:tr>
      <w:tr>
        <w:tc>
          <w:tcPr>
            <w:tcW w:type="dxa" w:w="122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CGGA325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Monocytic lineage</w:t>
            </w:r>
          </w:p>
        </w:tc>
        <w:tc>
          <w:tcPr>
            <w:tcW w:type="dxa" w:w="93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7/7</w:t>
            </w:r>
          </w:p>
        </w:tc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139</w:t>
            </w:r>
          </w:p>
        </w:tc>
        <w:tc>
          <w:tcPr>
            <w:tcW w:type="dxa" w:w="13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-0.394</w:t>
            </w:r>
          </w:p>
        </w:tc>
        <w:tc>
          <w:tcPr>
            <w:tcW w:type="dxa" w:w="201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-0.534 to -0.235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2.41e-06</w:t>
            </w:r>
          </w:p>
        </w:tc>
        <w:tc>
          <w:tcPr>
            <w:tcW w:type="dxa" w:w="151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4.83e-06</w:t>
            </w:r>
          </w:p>
        </w:tc>
      </w:tr>
      <w:tr>
        <w:tc>
          <w:tcPr>
            <w:tcW w:type="dxa" w:w="1224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CGGA325</w:t>
            </w:r>
          </w:p>
        </w:tc>
        <w:tc>
          <w:tcPr>
            <w:tcW w:type="dxa" w:w="2520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Myeloid dendritic cell</w:t>
            </w:r>
          </w:p>
        </w:tc>
        <w:tc>
          <w:tcPr>
            <w:tcW w:type="dxa" w:w="93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3/6</w:t>
            </w:r>
          </w:p>
        </w:tc>
        <w:tc>
          <w:tcPr>
            <w:tcW w:type="dxa" w:w="79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139</w:t>
            </w:r>
          </w:p>
        </w:tc>
        <w:tc>
          <w:tcPr>
            <w:tcW w:type="dxa" w:w="1368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-0.068</w:t>
            </w:r>
          </w:p>
        </w:tc>
        <w:tc>
          <w:tcPr>
            <w:tcW w:type="dxa" w:w="201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-0.244 to 0.111</w:t>
            </w:r>
          </w:p>
        </w:tc>
        <w:tc>
          <w:tcPr>
            <w:tcW w:type="dxa" w:w="1296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0.4323</w:t>
            </w:r>
          </w:p>
        </w:tc>
        <w:tc>
          <w:tcPr>
            <w:tcW w:type="dxa" w:w="1512"/>
            <w:shd w:fill="F7FAFC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7"/>
              </w:rPr>
              <w:t>0.4323</w:t>
            </w:r>
          </w:p>
        </w:tc>
      </w:tr>
    </w:tbl>
    <w:p>
      <w:pPr>
        <w:spacing w:before="100" w:after="0" w:line="240" w:lineRule="auto"/>
      </w:pPr>
      <w:r>
        <w:rPr>
          <w:rFonts w:ascii="Times New Roman" w:hAnsi="Times New Roman"/>
          <w:b w:val="0"/>
          <w:i/>
          <w:color w:val="000000"/>
          <w:sz w:val="17"/>
        </w:rPr>
        <w:t xml:space="preserve">Note. </w:t>
      </w:r>
      <w:r>
        <w:rPr>
          <w:rFonts w:ascii="Times New Roman" w:hAnsi="Times New Roman"/>
          <w:b w:val="0"/>
          <w:i w:val="0"/>
          <w:color w:val="000000"/>
          <w:sz w:val="17"/>
        </w:rPr>
        <w:t>Partial rank correlations were adjusted for age, sex, historical grade, and molecular subtype. Comparable ABSOLUTE purity estimates were unavailable in CGGA. The monocytic-lineage score used all seven official markers in both cohorts: ADAP2, CSF1R, FPR3, KYNU, PLA2G7, RASSF4, and TFEC. The myeloid dendritic-cell score used the three available markers CD1E, CLEC10A, and CLIC2; CD1A, CD1B, and WFDC21P were unavailable. Scores were calculated as the arithmetic mean of log2(FPKM + 1) expression across available markers. Confidence intervals were obtained from 2,000 patient-level bootstrap samples. Benjamini-Hochberg correction included the two prespecified MCP-counter scores evaluated within each cohort.</w:t>
      </w:r>
    </w:p>
    <w:sectPr w:rsidR="00FC693F" w:rsidRPr="0006063C" w:rsidSect="00034616">
      <w:pgSz w:w="15840" w:h="12240" w:orient="landscape"/>
      <w:pgMar w:top="893" w:right="936" w:bottom="835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HTR2C Supplementary Tables</dc:title>
  <dc:subject>Condensed supplementary results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