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D89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rPr>
      </w:pPr>
      <w:r w:rsidRPr="000F2BC3">
        <w:rPr>
          <w:rFonts w:asciiTheme="majorHAnsi" w:eastAsia="Arial" w:hAnsiTheme="majorHAnsi" w:cstheme="majorHAnsi"/>
          <w:b/>
          <w:color w:val="000000" w:themeColor="text1"/>
        </w:rPr>
        <w:t>Supplementary material — Contents</w:t>
      </w:r>
    </w:p>
    <w:p w14:paraId="7350FB7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xml:space="preserve">• S1. Variables recorded in the </w:t>
      </w:r>
      <w:proofErr w:type="spellStart"/>
      <w:r w:rsidRPr="000F2BC3">
        <w:rPr>
          <w:rFonts w:asciiTheme="majorHAnsi" w:eastAsia="Arial" w:hAnsiTheme="majorHAnsi" w:cstheme="majorHAnsi"/>
          <w:color w:val="000000" w:themeColor="text1"/>
          <w:sz w:val="22"/>
          <w:szCs w:val="22"/>
        </w:rPr>
        <w:t>centralised</w:t>
      </w:r>
      <w:proofErr w:type="spellEnd"/>
      <w:r w:rsidRPr="000F2BC3">
        <w:rPr>
          <w:rFonts w:asciiTheme="majorHAnsi" w:eastAsia="Arial" w:hAnsiTheme="majorHAnsi" w:cstheme="majorHAnsi"/>
          <w:color w:val="000000" w:themeColor="text1"/>
          <w:sz w:val="22"/>
          <w:szCs w:val="22"/>
        </w:rPr>
        <w:t xml:space="preserve"> electronic case-report form (eCRF)</w:t>
      </w:r>
    </w:p>
    <w:p w14:paraId="04CCDF4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S2. Degree of control. Definition and construct</w:t>
      </w:r>
    </w:p>
    <w:p w14:paraId="429F4E3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S3. Operational variables and missing data</w:t>
      </w:r>
    </w:p>
    <w:p w14:paraId="748935A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S4. General characteristics of the sample (n=1,307)</w:t>
      </w:r>
    </w:p>
    <w:p w14:paraId="4EDC2A0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S5. Documented diagnosis by phenotype</w:t>
      </w:r>
    </w:p>
    <w:p w14:paraId="6F45FB3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S6. Inhaled treatments prescribed by phenotype</w:t>
      </w:r>
    </w:p>
    <w:p w14:paraId="6AC3DD5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S7. Vaccination coverage, overall and by phenotype</w:t>
      </w:r>
    </w:p>
    <w:p w14:paraId="770F942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S8. Unsupervised phenotyping (data-driven clustering). Exploratory analysis</w:t>
      </w:r>
    </w:p>
    <w:p w14:paraId="117882F1"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6F22E06"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71233060"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14754B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74BFB7BC"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2C030F0"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69001F0"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4EAAE31"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3CFB55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C218BF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7AD715D"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7EE09A59"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10052D9"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7DF1D00"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A94699C"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BB3301A" w14:textId="65683A60"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 xml:space="preserve">S1. Variables recorded in the </w:t>
      </w:r>
      <w:proofErr w:type="spellStart"/>
      <w:r w:rsidRPr="000F2BC3">
        <w:rPr>
          <w:rFonts w:asciiTheme="majorHAnsi" w:eastAsia="Arial" w:hAnsiTheme="majorHAnsi" w:cstheme="majorHAnsi"/>
          <w:b/>
          <w:color w:val="000000" w:themeColor="text1"/>
          <w:sz w:val="22"/>
          <w:szCs w:val="22"/>
        </w:rPr>
        <w:t>centralised</w:t>
      </w:r>
      <w:proofErr w:type="spellEnd"/>
      <w:r w:rsidRPr="000F2BC3">
        <w:rPr>
          <w:rFonts w:asciiTheme="majorHAnsi" w:eastAsia="Arial" w:hAnsiTheme="majorHAnsi" w:cstheme="majorHAnsi"/>
          <w:b/>
          <w:color w:val="000000" w:themeColor="text1"/>
          <w:sz w:val="22"/>
          <w:szCs w:val="22"/>
        </w:rPr>
        <w:t xml:space="preserve"> electronic case-report form (eCRF)</w:t>
      </w:r>
    </w:p>
    <w:p w14:paraId="1449151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22"/>
          <w:szCs w:val="22"/>
        </w:rPr>
      </w:pPr>
      <w:proofErr w:type="spellStart"/>
      <w:r w:rsidRPr="000F2BC3">
        <w:rPr>
          <w:rFonts w:asciiTheme="majorHAnsi" w:eastAsia="Arial" w:hAnsiTheme="majorHAnsi" w:cstheme="majorHAnsi"/>
          <w:color w:val="000000" w:themeColor="text1"/>
          <w:sz w:val="22"/>
          <w:szCs w:val="22"/>
        </w:rPr>
        <w:t>Digitised</w:t>
      </w:r>
      <w:proofErr w:type="spellEnd"/>
      <w:r w:rsidRPr="000F2BC3">
        <w:rPr>
          <w:rFonts w:asciiTheme="majorHAnsi" w:eastAsia="Arial" w:hAnsiTheme="majorHAnsi" w:cstheme="majorHAnsi"/>
          <w:color w:val="000000" w:themeColor="text1"/>
          <w:sz w:val="22"/>
          <w:szCs w:val="22"/>
        </w:rPr>
        <w:t xml:space="preserve"> version of the eCRF hosted on the Research Electronic Data Capture (REDCap) platform of the Institute of Health Sciences of Castilla y León (ICSCYL).</w:t>
      </w:r>
    </w:p>
    <w:p w14:paraId="6C6923F8" w14:textId="495BAE13" w:rsidR="000F2BC3" w:rsidRDefault="00E7172C"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r>
        <w:rPr>
          <w:rFonts w:asciiTheme="majorHAnsi" w:eastAsia="Arial" w:hAnsiTheme="majorHAnsi" w:cstheme="majorHAnsi"/>
          <w:b/>
          <w:noProof/>
          <w:color w:val="000000" w:themeColor="text1"/>
          <w:sz w:val="22"/>
          <w:szCs w:val="22"/>
        </w:rPr>
        <w:drawing>
          <wp:inline distT="0" distB="0" distL="0" distR="0" wp14:anchorId="5D31F986" wp14:editId="613E75B9">
            <wp:extent cx="5525544" cy="7809875"/>
            <wp:effectExtent l="0" t="0" r="0" b="635"/>
            <wp:docPr id="722364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64889" name="Imagen 722364889"/>
                    <pic:cNvPicPr/>
                  </pic:nvPicPr>
                  <pic:blipFill>
                    <a:blip r:embed="rId5"/>
                    <a:stretch>
                      <a:fillRect/>
                    </a:stretch>
                  </pic:blipFill>
                  <pic:spPr>
                    <a:xfrm>
                      <a:off x="0" y="0"/>
                      <a:ext cx="5529582" cy="7815583"/>
                    </a:xfrm>
                    <a:prstGeom prst="rect">
                      <a:avLst/>
                    </a:prstGeom>
                  </pic:spPr>
                </pic:pic>
              </a:graphicData>
            </a:graphic>
          </wp:inline>
        </w:drawing>
      </w:r>
    </w:p>
    <w:p w14:paraId="52B9C274" w14:textId="71F00D5A"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S2. Degree of control by the RADAR scale. Definition and construct</w:t>
      </w:r>
    </w:p>
    <w:p w14:paraId="3B65CC7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Definition of clinical control</w:t>
      </w:r>
    </w:p>
    <w:p w14:paraId="4B61890F" w14:textId="77777777" w:rsidR="00613364" w:rsidRPr="000F2BC3" w:rsidRDefault="00C27EE7" w:rsidP="002577A8">
      <w:pPr>
        <w:pBdr>
          <w:top w:val="single" w:sz="4" w:space="0" w:color="auto"/>
          <w:left w:val="single" w:sz="4" w:space="0" w:color="auto"/>
          <w:bottom w:val="single" w:sz="4" w:space="0" w:color="auto"/>
          <w:right w:val="single" w:sz="4" w:space="0" w:color="auto"/>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The degree of clinical control is assessed quantitatively according to the GesEPOC control criteria. A predefined score is assigned to each of the following four domains:</w:t>
      </w:r>
    </w:p>
    <w:p w14:paraId="77D3D525" w14:textId="77777777" w:rsidR="00613364" w:rsidRPr="000F2BC3" w:rsidRDefault="00C27EE7" w:rsidP="002577A8">
      <w:pPr>
        <w:pBdr>
          <w:top w:val="single" w:sz="4" w:space="0" w:color="auto"/>
          <w:left w:val="single" w:sz="4" w:space="0" w:color="auto"/>
          <w:bottom w:val="single" w:sz="4" w:space="0" w:color="auto"/>
          <w:right w:val="single" w:sz="4" w:space="0" w:color="auto"/>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use of rescue medication ≥3 times/week (3 points)</w:t>
      </w:r>
    </w:p>
    <w:p w14:paraId="14A4DE56" w14:textId="77777777" w:rsidR="00613364" w:rsidRPr="000F2BC3" w:rsidRDefault="00C27EE7" w:rsidP="002577A8">
      <w:pPr>
        <w:pBdr>
          <w:top w:val="single" w:sz="4" w:space="0" w:color="auto"/>
          <w:left w:val="single" w:sz="4" w:space="0" w:color="auto"/>
          <w:bottom w:val="single" w:sz="4" w:space="0" w:color="auto"/>
          <w:right w:val="single" w:sz="4" w:space="0" w:color="auto"/>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≥1 moderate or severe exacerbation (2 points)</w:t>
      </w:r>
    </w:p>
    <w:p w14:paraId="13F24051" w14:textId="77777777" w:rsidR="00613364" w:rsidRPr="000F2BC3" w:rsidRDefault="00C27EE7" w:rsidP="002577A8">
      <w:pPr>
        <w:pBdr>
          <w:top w:val="single" w:sz="4" w:space="0" w:color="auto"/>
          <w:left w:val="single" w:sz="4" w:space="0" w:color="auto"/>
          <w:bottom w:val="single" w:sz="4" w:space="0" w:color="auto"/>
          <w:right w:val="single" w:sz="4" w:space="0" w:color="auto"/>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xml:space="preserve">• </w:t>
      </w:r>
      <w:proofErr w:type="spellStart"/>
      <w:r w:rsidRPr="000F2BC3">
        <w:rPr>
          <w:rFonts w:asciiTheme="majorHAnsi" w:eastAsia="Arial" w:hAnsiTheme="majorHAnsi" w:cstheme="majorHAnsi"/>
          <w:color w:val="000000" w:themeColor="text1"/>
          <w:sz w:val="22"/>
          <w:szCs w:val="22"/>
        </w:rPr>
        <w:t>dyspnoea</w:t>
      </w:r>
      <w:proofErr w:type="spellEnd"/>
      <w:r w:rsidRPr="000F2BC3">
        <w:rPr>
          <w:rFonts w:asciiTheme="majorHAnsi" w:eastAsia="Arial" w:hAnsiTheme="majorHAnsi" w:cstheme="majorHAnsi"/>
          <w:color w:val="000000" w:themeColor="text1"/>
          <w:sz w:val="22"/>
          <w:szCs w:val="22"/>
        </w:rPr>
        <w:t xml:space="preserve"> </w:t>
      </w:r>
      <w:proofErr w:type="spellStart"/>
      <w:r w:rsidRPr="000F2BC3">
        <w:rPr>
          <w:rFonts w:asciiTheme="majorHAnsi" w:eastAsia="Arial" w:hAnsiTheme="majorHAnsi" w:cstheme="majorHAnsi"/>
          <w:color w:val="000000" w:themeColor="text1"/>
          <w:sz w:val="22"/>
          <w:szCs w:val="22"/>
        </w:rPr>
        <w:t>mMRC</w:t>
      </w:r>
      <w:proofErr w:type="spellEnd"/>
      <w:r w:rsidRPr="000F2BC3">
        <w:rPr>
          <w:rFonts w:asciiTheme="majorHAnsi" w:eastAsia="Arial" w:hAnsiTheme="majorHAnsi" w:cstheme="majorHAnsi"/>
          <w:color w:val="000000" w:themeColor="text1"/>
          <w:sz w:val="22"/>
          <w:szCs w:val="22"/>
        </w:rPr>
        <w:t xml:space="preserve"> ≥2 (2 points)</w:t>
      </w:r>
    </w:p>
    <w:p w14:paraId="4F9A2A4F" w14:textId="77777777" w:rsidR="00613364" w:rsidRPr="000F2BC3" w:rsidRDefault="00C27EE7" w:rsidP="002577A8">
      <w:pPr>
        <w:pBdr>
          <w:top w:val="single" w:sz="4" w:space="0" w:color="auto"/>
          <w:left w:val="single" w:sz="4" w:space="0" w:color="auto"/>
          <w:bottom w:val="single" w:sz="4" w:space="0" w:color="auto"/>
          <w:right w:val="single" w:sz="4" w:space="0" w:color="auto"/>
        </w:pBdr>
        <w:spacing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self-reported physical activity &lt;30 minutes/day (1 point).</w:t>
      </w:r>
    </w:p>
    <w:p w14:paraId="6855EC18" w14:textId="77777777" w:rsidR="00613364" w:rsidRPr="000F2BC3" w:rsidRDefault="00C27EE7" w:rsidP="002577A8">
      <w:pPr>
        <w:pBdr>
          <w:top w:val="single" w:sz="4" w:space="0" w:color="auto"/>
          <w:left w:val="single" w:sz="4" w:space="0" w:color="auto"/>
          <w:bottom w:val="single" w:sz="4" w:space="0" w:color="auto"/>
          <w:right w:val="single" w:sz="4" w:space="0" w:color="auto"/>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The four domains are summed arithmetically (range 0–8). A score of 0–1 is considered good control, 2–3 moderate control, and ≥4 poor control—a threshold validated against adverse events (1). The clinical-control construct has been validated as a predictor of exacerbations in cohorts (2–3).</w:t>
      </w:r>
    </w:p>
    <w:p w14:paraId="434F34E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60" w:line="360" w:lineRule="auto"/>
        <w:jc w:val="both"/>
        <w:rPr>
          <w:rFonts w:asciiTheme="majorHAnsi" w:hAnsiTheme="majorHAnsi" w:cstheme="majorHAnsi"/>
          <w:i/>
          <w:iCs/>
          <w:color w:val="000000" w:themeColor="text1"/>
          <w:sz w:val="16"/>
          <w:szCs w:val="16"/>
        </w:rPr>
      </w:pPr>
      <w:r w:rsidRPr="000F2BC3">
        <w:rPr>
          <w:rFonts w:asciiTheme="majorHAnsi" w:eastAsia="Arial" w:hAnsiTheme="majorHAnsi" w:cstheme="majorHAnsi"/>
          <w:i/>
          <w:iCs/>
          <w:color w:val="000000" w:themeColor="text1"/>
          <w:sz w:val="16"/>
          <w:szCs w:val="16"/>
        </w:rPr>
        <w:t>1. Soler-Cataluña JJ, Villagrasa M, Catalán P, et al. Risk validation of a new quantitative score for clinical control of COPD: The RADAR score. Arch Bronconeumol. 2026;62(1):28-34. PMID: 40592678.</w:t>
      </w:r>
    </w:p>
    <w:p w14:paraId="50AE4AA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60" w:line="360" w:lineRule="auto"/>
        <w:jc w:val="both"/>
        <w:rPr>
          <w:rFonts w:asciiTheme="majorHAnsi" w:hAnsiTheme="majorHAnsi" w:cstheme="majorHAnsi"/>
          <w:i/>
          <w:iCs/>
          <w:color w:val="000000" w:themeColor="text1"/>
          <w:sz w:val="16"/>
          <w:szCs w:val="16"/>
        </w:rPr>
      </w:pPr>
      <w:r w:rsidRPr="000F2BC3">
        <w:rPr>
          <w:rFonts w:asciiTheme="majorHAnsi" w:eastAsia="Arial" w:hAnsiTheme="majorHAnsi" w:cstheme="majorHAnsi"/>
          <w:i/>
          <w:iCs/>
          <w:color w:val="000000" w:themeColor="text1"/>
          <w:sz w:val="16"/>
          <w:szCs w:val="16"/>
        </w:rPr>
        <w:t xml:space="preserve">2. </w:t>
      </w:r>
      <w:proofErr w:type="spellStart"/>
      <w:r w:rsidRPr="000F2BC3">
        <w:rPr>
          <w:rFonts w:asciiTheme="majorHAnsi" w:eastAsia="Arial" w:hAnsiTheme="majorHAnsi" w:cstheme="majorHAnsi"/>
          <w:i/>
          <w:iCs/>
          <w:color w:val="000000" w:themeColor="text1"/>
          <w:sz w:val="16"/>
          <w:szCs w:val="16"/>
        </w:rPr>
        <w:t>Barrecheguren</w:t>
      </w:r>
      <w:proofErr w:type="spellEnd"/>
      <w:r w:rsidRPr="000F2BC3">
        <w:rPr>
          <w:rFonts w:asciiTheme="majorHAnsi" w:eastAsia="Arial" w:hAnsiTheme="majorHAnsi" w:cstheme="majorHAnsi"/>
          <w:i/>
          <w:iCs/>
          <w:color w:val="000000" w:themeColor="text1"/>
          <w:sz w:val="16"/>
          <w:szCs w:val="16"/>
        </w:rPr>
        <w:t xml:space="preserve"> M, </w:t>
      </w:r>
      <w:proofErr w:type="spellStart"/>
      <w:r w:rsidRPr="000F2BC3">
        <w:rPr>
          <w:rFonts w:asciiTheme="majorHAnsi" w:eastAsia="Arial" w:hAnsiTheme="majorHAnsi" w:cstheme="majorHAnsi"/>
          <w:i/>
          <w:iCs/>
          <w:color w:val="000000" w:themeColor="text1"/>
          <w:sz w:val="16"/>
          <w:szCs w:val="16"/>
        </w:rPr>
        <w:t>Kostikas</w:t>
      </w:r>
      <w:proofErr w:type="spellEnd"/>
      <w:r w:rsidRPr="000F2BC3">
        <w:rPr>
          <w:rFonts w:asciiTheme="majorHAnsi" w:eastAsia="Arial" w:hAnsiTheme="majorHAnsi" w:cstheme="majorHAnsi"/>
          <w:i/>
          <w:iCs/>
          <w:color w:val="000000" w:themeColor="text1"/>
          <w:sz w:val="16"/>
          <w:szCs w:val="16"/>
        </w:rPr>
        <w:t xml:space="preserve"> K, </w:t>
      </w:r>
      <w:proofErr w:type="spellStart"/>
      <w:r w:rsidRPr="000F2BC3">
        <w:rPr>
          <w:rFonts w:asciiTheme="majorHAnsi" w:eastAsia="Arial" w:hAnsiTheme="majorHAnsi" w:cstheme="majorHAnsi"/>
          <w:i/>
          <w:iCs/>
          <w:color w:val="000000" w:themeColor="text1"/>
          <w:sz w:val="16"/>
          <w:szCs w:val="16"/>
        </w:rPr>
        <w:t>Mezzi</w:t>
      </w:r>
      <w:proofErr w:type="spellEnd"/>
      <w:r w:rsidRPr="000F2BC3">
        <w:rPr>
          <w:rFonts w:asciiTheme="majorHAnsi" w:eastAsia="Arial" w:hAnsiTheme="majorHAnsi" w:cstheme="majorHAnsi"/>
          <w:i/>
          <w:iCs/>
          <w:color w:val="000000" w:themeColor="text1"/>
          <w:sz w:val="16"/>
          <w:szCs w:val="16"/>
        </w:rPr>
        <w:t xml:space="preserve"> K, Shen S, Alcazar B, Soler-Cataluña JJ, et al. COPD clinical control as a predictor of future exacerbations: concept validation in the SPARK study population. Thorax. 2020;75(4):351-353. PMID: 32041741.</w:t>
      </w:r>
    </w:p>
    <w:p w14:paraId="4971D6D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60" w:line="360" w:lineRule="auto"/>
        <w:jc w:val="both"/>
        <w:rPr>
          <w:rFonts w:asciiTheme="majorHAnsi" w:hAnsiTheme="majorHAnsi" w:cstheme="majorHAnsi"/>
          <w:i/>
          <w:iCs/>
          <w:color w:val="000000" w:themeColor="text1"/>
          <w:sz w:val="16"/>
          <w:szCs w:val="16"/>
        </w:rPr>
      </w:pPr>
      <w:r w:rsidRPr="000F2BC3">
        <w:rPr>
          <w:rFonts w:asciiTheme="majorHAnsi" w:eastAsia="Arial" w:hAnsiTheme="majorHAnsi" w:cstheme="majorHAnsi"/>
          <w:i/>
          <w:iCs/>
          <w:color w:val="000000" w:themeColor="text1"/>
          <w:sz w:val="16"/>
          <w:szCs w:val="16"/>
        </w:rPr>
        <w:t>3. Miravitlles M, Sliwinski P, Rhee CK, Costello RW, Carter V, Tan JHY, et al. Predictive value of control of COPD for risk of exacerbations: An international, prospective study. Respirology. 2020;25(11):1136-1143. PMID: 32249487.</w:t>
      </w:r>
    </w:p>
    <w:p w14:paraId="6C1C13B1"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E638BC5"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E2C1DF3"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2AD3776"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77F8992"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52D78AE"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9C8D41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B3B1EE2"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1404B1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83DDBB4"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A5300C8"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F4C7DA1" w14:textId="38226394"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S3. Operational variables and missing data</w:t>
      </w:r>
    </w:p>
    <w:p w14:paraId="247C5CD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S3-1. Distribution of eosinophils in the sample (n=1,257 with valid data)</w:t>
      </w:r>
    </w:p>
    <w:tbl>
      <w:tblPr>
        <w:tblStyle w:val="Tabladelista2"/>
        <w:tblW w:w="5000" w:type="pct"/>
        <w:tblLook w:val="0420" w:firstRow="1" w:lastRow="0" w:firstColumn="0" w:lastColumn="0" w:noHBand="0" w:noVBand="1"/>
      </w:tblPr>
      <w:tblGrid>
        <w:gridCol w:w="1287"/>
        <w:gridCol w:w="889"/>
        <w:gridCol w:w="1336"/>
        <w:gridCol w:w="1336"/>
        <w:gridCol w:w="1336"/>
        <w:gridCol w:w="1336"/>
        <w:gridCol w:w="1546"/>
      </w:tblGrid>
      <w:tr w:rsidR="00613364" w:rsidRPr="000F2BC3" w14:paraId="40B603D8"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52014A7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Group</w:t>
            </w:r>
          </w:p>
        </w:tc>
        <w:tc>
          <w:tcPr>
            <w:tcW w:w="0" w:type="auto"/>
          </w:tcPr>
          <w:p w14:paraId="1691915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proofErr w:type="spellStart"/>
            <w:r w:rsidRPr="000F2BC3">
              <w:rPr>
                <w:rFonts w:asciiTheme="majorHAnsi" w:eastAsia="Calibri" w:hAnsiTheme="majorHAnsi" w:cstheme="majorHAnsi"/>
                <w:color w:val="000000" w:themeColor="text1"/>
                <w:sz w:val="16"/>
                <w:szCs w:val="16"/>
              </w:rPr>
              <w:t>N_eos</w:t>
            </w:r>
            <w:proofErr w:type="spellEnd"/>
          </w:p>
        </w:tc>
        <w:tc>
          <w:tcPr>
            <w:tcW w:w="0" w:type="auto"/>
          </w:tcPr>
          <w:p w14:paraId="69818A9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&lt;100</w:t>
            </w:r>
          </w:p>
        </w:tc>
        <w:tc>
          <w:tcPr>
            <w:tcW w:w="0" w:type="auto"/>
          </w:tcPr>
          <w:p w14:paraId="29AF012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100-199</w:t>
            </w:r>
          </w:p>
        </w:tc>
        <w:tc>
          <w:tcPr>
            <w:tcW w:w="0" w:type="auto"/>
          </w:tcPr>
          <w:p w14:paraId="39CCDCE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200-299</w:t>
            </w:r>
          </w:p>
        </w:tc>
        <w:tc>
          <w:tcPr>
            <w:tcW w:w="0" w:type="auto"/>
          </w:tcPr>
          <w:p w14:paraId="0343AE0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≥300</w:t>
            </w:r>
          </w:p>
        </w:tc>
        <w:tc>
          <w:tcPr>
            <w:tcW w:w="0" w:type="auto"/>
          </w:tcPr>
          <w:p w14:paraId="56777AF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Median (IQR)</w:t>
            </w:r>
          </w:p>
        </w:tc>
      </w:tr>
      <w:tr w:rsidR="00613364" w:rsidRPr="000F2BC3" w14:paraId="5B069816"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1BE4E5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Full sample</w:t>
            </w:r>
          </w:p>
        </w:tc>
        <w:tc>
          <w:tcPr>
            <w:tcW w:w="0" w:type="auto"/>
          </w:tcPr>
          <w:p w14:paraId="1CCFFD0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1,257</w:t>
            </w:r>
          </w:p>
        </w:tc>
        <w:tc>
          <w:tcPr>
            <w:tcW w:w="0" w:type="auto"/>
          </w:tcPr>
          <w:p w14:paraId="722BC45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255 (20.3%)</w:t>
            </w:r>
          </w:p>
        </w:tc>
        <w:tc>
          <w:tcPr>
            <w:tcW w:w="0" w:type="auto"/>
          </w:tcPr>
          <w:p w14:paraId="14176D8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397 (31.6%)</w:t>
            </w:r>
          </w:p>
        </w:tc>
        <w:tc>
          <w:tcPr>
            <w:tcW w:w="0" w:type="auto"/>
          </w:tcPr>
          <w:p w14:paraId="61D0E77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291 (23.1%)</w:t>
            </w:r>
          </w:p>
        </w:tc>
        <w:tc>
          <w:tcPr>
            <w:tcW w:w="0" w:type="auto"/>
          </w:tcPr>
          <w:p w14:paraId="264CDF3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314 (25.0%)</w:t>
            </w:r>
          </w:p>
        </w:tc>
        <w:tc>
          <w:tcPr>
            <w:tcW w:w="0" w:type="auto"/>
          </w:tcPr>
          <w:p w14:paraId="6E1C9ED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180 (100–298)</w:t>
            </w:r>
          </w:p>
        </w:tc>
      </w:tr>
    </w:tbl>
    <w:p w14:paraId="2705791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S3-2. Distribution of eosinophils in exacerbators with vs without established cardiovascular disease</w:t>
      </w:r>
    </w:p>
    <w:tbl>
      <w:tblPr>
        <w:tblStyle w:val="Tabladelista2"/>
        <w:tblW w:w="5000" w:type="pct"/>
        <w:tblLook w:val="0420" w:firstRow="1" w:lastRow="0" w:firstColumn="0" w:lastColumn="0" w:noHBand="0" w:noVBand="1"/>
      </w:tblPr>
      <w:tblGrid>
        <w:gridCol w:w="2354"/>
        <w:gridCol w:w="809"/>
        <w:gridCol w:w="1124"/>
        <w:gridCol w:w="1124"/>
        <w:gridCol w:w="1124"/>
        <w:gridCol w:w="1124"/>
        <w:gridCol w:w="1407"/>
      </w:tblGrid>
      <w:tr w:rsidR="00613364" w:rsidRPr="000F2BC3" w14:paraId="0DBA3DCB"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1803D6F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Group</w:t>
            </w:r>
          </w:p>
        </w:tc>
        <w:tc>
          <w:tcPr>
            <w:tcW w:w="0" w:type="auto"/>
          </w:tcPr>
          <w:p w14:paraId="665B0A5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proofErr w:type="spellStart"/>
            <w:r w:rsidRPr="000F2BC3">
              <w:rPr>
                <w:rFonts w:asciiTheme="majorHAnsi" w:eastAsia="Calibri" w:hAnsiTheme="majorHAnsi" w:cstheme="majorHAnsi"/>
                <w:color w:val="000000" w:themeColor="text1"/>
                <w:sz w:val="16"/>
                <w:szCs w:val="16"/>
              </w:rPr>
              <w:t>N_eos</w:t>
            </w:r>
            <w:proofErr w:type="spellEnd"/>
          </w:p>
        </w:tc>
        <w:tc>
          <w:tcPr>
            <w:tcW w:w="0" w:type="auto"/>
          </w:tcPr>
          <w:p w14:paraId="4DA7829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&lt;100</w:t>
            </w:r>
          </w:p>
        </w:tc>
        <w:tc>
          <w:tcPr>
            <w:tcW w:w="0" w:type="auto"/>
          </w:tcPr>
          <w:p w14:paraId="2E48D6E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100-199</w:t>
            </w:r>
          </w:p>
        </w:tc>
        <w:tc>
          <w:tcPr>
            <w:tcW w:w="0" w:type="auto"/>
          </w:tcPr>
          <w:p w14:paraId="3B69612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200-299</w:t>
            </w:r>
          </w:p>
        </w:tc>
        <w:tc>
          <w:tcPr>
            <w:tcW w:w="0" w:type="auto"/>
          </w:tcPr>
          <w:p w14:paraId="54C07A4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≥300</w:t>
            </w:r>
          </w:p>
        </w:tc>
        <w:tc>
          <w:tcPr>
            <w:tcW w:w="0" w:type="auto"/>
          </w:tcPr>
          <w:p w14:paraId="771F7AE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Median (IQR)</w:t>
            </w:r>
          </w:p>
        </w:tc>
      </w:tr>
      <w:tr w:rsidR="00613364" w:rsidRPr="000F2BC3" w14:paraId="40AA9FE7"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3CE15AC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WITHOUT CVD</w:t>
            </w:r>
          </w:p>
        </w:tc>
        <w:tc>
          <w:tcPr>
            <w:tcW w:w="0" w:type="auto"/>
          </w:tcPr>
          <w:p w14:paraId="2C65644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207</w:t>
            </w:r>
          </w:p>
        </w:tc>
        <w:tc>
          <w:tcPr>
            <w:tcW w:w="0" w:type="auto"/>
          </w:tcPr>
          <w:p w14:paraId="48C5EB8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47 (22.7%)</w:t>
            </w:r>
          </w:p>
        </w:tc>
        <w:tc>
          <w:tcPr>
            <w:tcW w:w="0" w:type="auto"/>
          </w:tcPr>
          <w:p w14:paraId="6BE8DEF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73 (35.3%)</w:t>
            </w:r>
          </w:p>
        </w:tc>
        <w:tc>
          <w:tcPr>
            <w:tcW w:w="0" w:type="auto"/>
          </w:tcPr>
          <w:p w14:paraId="5FBFD7B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42 (20.3%)</w:t>
            </w:r>
          </w:p>
        </w:tc>
        <w:tc>
          <w:tcPr>
            <w:tcW w:w="0" w:type="auto"/>
          </w:tcPr>
          <w:p w14:paraId="5DC47EA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45 (21.7%)</w:t>
            </w:r>
          </w:p>
        </w:tc>
        <w:tc>
          <w:tcPr>
            <w:tcW w:w="0" w:type="auto"/>
          </w:tcPr>
          <w:p w14:paraId="563B6BF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158 (100–280)</w:t>
            </w:r>
          </w:p>
        </w:tc>
      </w:tr>
      <w:tr w:rsidR="00613364" w:rsidRPr="000F2BC3" w14:paraId="120945D7" w14:textId="77777777" w:rsidTr="000F2BC3">
        <w:tc>
          <w:tcPr>
            <w:tcW w:w="0" w:type="auto"/>
          </w:tcPr>
          <w:p w14:paraId="6CC5365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WITH CVD</w:t>
            </w:r>
          </w:p>
        </w:tc>
        <w:tc>
          <w:tcPr>
            <w:tcW w:w="0" w:type="auto"/>
          </w:tcPr>
          <w:p w14:paraId="64C25DC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183</w:t>
            </w:r>
          </w:p>
        </w:tc>
        <w:tc>
          <w:tcPr>
            <w:tcW w:w="0" w:type="auto"/>
          </w:tcPr>
          <w:p w14:paraId="0F9481B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42 (23.0%)</w:t>
            </w:r>
          </w:p>
        </w:tc>
        <w:tc>
          <w:tcPr>
            <w:tcW w:w="0" w:type="auto"/>
          </w:tcPr>
          <w:p w14:paraId="4F41554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56 (30.6%)</w:t>
            </w:r>
          </w:p>
        </w:tc>
        <w:tc>
          <w:tcPr>
            <w:tcW w:w="0" w:type="auto"/>
          </w:tcPr>
          <w:p w14:paraId="18721C3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45 (24.6%)</w:t>
            </w:r>
          </w:p>
        </w:tc>
        <w:tc>
          <w:tcPr>
            <w:tcW w:w="0" w:type="auto"/>
          </w:tcPr>
          <w:p w14:paraId="6CB0B7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40 (21.9%)</w:t>
            </w:r>
          </w:p>
        </w:tc>
        <w:tc>
          <w:tcPr>
            <w:tcW w:w="0" w:type="auto"/>
          </w:tcPr>
          <w:p w14:paraId="5275F37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170 (100–270)</w:t>
            </w:r>
          </w:p>
        </w:tc>
      </w:tr>
    </w:tbl>
    <w:p w14:paraId="08C9126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16"/>
          <w:szCs w:val="16"/>
        </w:rPr>
      </w:pPr>
      <w:r w:rsidRPr="000F2BC3">
        <w:rPr>
          <w:rFonts w:asciiTheme="majorHAnsi" w:eastAsia="Arial" w:hAnsiTheme="majorHAnsi" w:cstheme="majorHAnsi"/>
          <w:i/>
          <w:color w:val="000000" w:themeColor="text1"/>
          <w:sz w:val="16"/>
          <w:szCs w:val="16"/>
        </w:rPr>
        <w:t>No differences: distribution across ranges χ² p=0.694; median (Mann–Whitney) p=0.888.</w:t>
      </w:r>
    </w:p>
    <w:p w14:paraId="24D32C2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S3-3. Missing values imputed as zero</w:t>
      </w:r>
    </w:p>
    <w:p w14:paraId="54523D0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Missing data for cardiovascular entities, risk factors and exacerbations, imputed as zero before deriving the exacerbator profile and risk stratification; prevalences are conservative floors.</w:t>
      </w:r>
    </w:p>
    <w:tbl>
      <w:tblPr>
        <w:tblStyle w:val="Tabladelista2"/>
        <w:tblW w:w="4000" w:type="pct"/>
        <w:tblLook w:val="0420" w:firstRow="1" w:lastRow="0" w:firstColumn="0" w:lastColumn="0" w:noHBand="0" w:noVBand="1"/>
      </w:tblPr>
      <w:tblGrid>
        <w:gridCol w:w="3724"/>
        <w:gridCol w:w="2231"/>
        <w:gridCol w:w="1298"/>
      </w:tblGrid>
      <w:tr w:rsidR="00613364" w:rsidRPr="000F2BC3" w14:paraId="32AC2FBF"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71FCBD8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Variable</w:t>
            </w:r>
          </w:p>
        </w:tc>
        <w:tc>
          <w:tcPr>
            <w:tcW w:w="0" w:type="auto"/>
          </w:tcPr>
          <w:p w14:paraId="07FF47B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Missing imputed as 0</w:t>
            </w:r>
          </w:p>
        </w:tc>
        <w:tc>
          <w:tcPr>
            <w:tcW w:w="0" w:type="auto"/>
          </w:tcPr>
          <w:p w14:paraId="676F44B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 of 1.307</w:t>
            </w:r>
          </w:p>
        </w:tc>
      </w:tr>
      <w:tr w:rsidR="00613364" w:rsidRPr="000F2BC3" w14:paraId="49AA7FBD"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2B0714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proofErr w:type="spellStart"/>
            <w:r w:rsidRPr="000F2BC3">
              <w:rPr>
                <w:rFonts w:asciiTheme="majorHAnsi" w:eastAsia="Calibri" w:hAnsiTheme="majorHAnsi" w:cstheme="majorHAnsi"/>
                <w:color w:val="000000" w:themeColor="text1"/>
                <w:sz w:val="16"/>
                <w:szCs w:val="16"/>
              </w:rPr>
              <w:t>Ischaemic</w:t>
            </w:r>
            <w:proofErr w:type="spellEnd"/>
            <w:r w:rsidRPr="000F2BC3">
              <w:rPr>
                <w:rFonts w:asciiTheme="majorHAnsi" w:eastAsia="Calibri" w:hAnsiTheme="majorHAnsi" w:cstheme="majorHAnsi"/>
                <w:color w:val="000000" w:themeColor="text1"/>
                <w:sz w:val="16"/>
                <w:szCs w:val="16"/>
              </w:rPr>
              <w:t xml:space="preserve"> heart disease</w:t>
            </w:r>
          </w:p>
        </w:tc>
        <w:tc>
          <w:tcPr>
            <w:tcW w:w="0" w:type="auto"/>
          </w:tcPr>
          <w:p w14:paraId="15F58D4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w:t>
            </w:r>
          </w:p>
        </w:tc>
        <w:tc>
          <w:tcPr>
            <w:tcW w:w="0" w:type="auto"/>
          </w:tcPr>
          <w:p w14:paraId="083A8FC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36A667D9" w14:textId="77777777" w:rsidTr="000F2BC3">
        <w:tc>
          <w:tcPr>
            <w:tcW w:w="0" w:type="auto"/>
          </w:tcPr>
          <w:p w14:paraId="2CF3433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Heart failure</w:t>
            </w:r>
          </w:p>
        </w:tc>
        <w:tc>
          <w:tcPr>
            <w:tcW w:w="0" w:type="auto"/>
          </w:tcPr>
          <w:p w14:paraId="0B66486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w:t>
            </w:r>
          </w:p>
        </w:tc>
        <w:tc>
          <w:tcPr>
            <w:tcW w:w="0" w:type="auto"/>
          </w:tcPr>
          <w:p w14:paraId="6DF3A24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49636B84"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8EABDA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Atrial fibrillation</w:t>
            </w:r>
          </w:p>
        </w:tc>
        <w:tc>
          <w:tcPr>
            <w:tcW w:w="0" w:type="auto"/>
          </w:tcPr>
          <w:p w14:paraId="507BB1D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w:t>
            </w:r>
          </w:p>
        </w:tc>
        <w:tc>
          <w:tcPr>
            <w:tcW w:w="0" w:type="auto"/>
          </w:tcPr>
          <w:p w14:paraId="3462B26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21A2B8D2" w14:textId="77777777" w:rsidTr="000F2BC3">
        <w:tc>
          <w:tcPr>
            <w:tcW w:w="0" w:type="auto"/>
          </w:tcPr>
          <w:p w14:paraId="06208D1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Stroke/TIA</w:t>
            </w:r>
          </w:p>
        </w:tc>
        <w:tc>
          <w:tcPr>
            <w:tcW w:w="0" w:type="auto"/>
          </w:tcPr>
          <w:p w14:paraId="29D1283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w:t>
            </w:r>
          </w:p>
        </w:tc>
        <w:tc>
          <w:tcPr>
            <w:tcW w:w="0" w:type="auto"/>
          </w:tcPr>
          <w:p w14:paraId="580061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60E42A72"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7A9919F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Peripheral arterial disease</w:t>
            </w:r>
          </w:p>
        </w:tc>
        <w:tc>
          <w:tcPr>
            <w:tcW w:w="0" w:type="auto"/>
          </w:tcPr>
          <w:p w14:paraId="5E85219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w:t>
            </w:r>
          </w:p>
        </w:tc>
        <w:tc>
          <w:tcPr>
            <w:tcW w:w="0" w:type="auto"/>
          </w:tcPr>
          <w:p w14:paraId="3466A56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30C6E9B9" w14:textId="77777777" w:rsidTr="000F2BC3">
        <w:tc>
          <w:tcPr>
            <w:tcW w:w="0" w:type="auto"/>
          </w:tcPr>
          <w:p w14:paraId="2C3D42F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Hypertension</w:t>
            </w:r>
          </w:p>
        </w:tc>
        <w:tc>
          <w:tcPr>
            <w:tcW w:w="0" w:type="auto"/>
          </w:tcPr>
          <w:p w14:paraId="453DBDC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w:t>
            </w:r>
          </w:p>
        </w:tc>
        <w:tc>
          <w:tcPr>
            <w:tcW w:w="0" w:type="auto"/>
          </w:tcPr>
          <w:p w14:paraId="6CA5D41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191BB0AB"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5A0136D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proofErr w:type="spellStart"/>
            <w:r w:rsidRPr="000F2BC3">
              <w:rPr>
                <w:rFonts w:asciiTheme="majorHAnsi" w:eastAsia="Calibri" w:hAnsiTheme="majorHAnsi" w:cstheme="majorHAnsi"/>
                <w:color w:val="000000" w:themeColor="text1"/>
                <w:sz w:val="16"/>
                <w:szCs w:val="16"/>
              </w:rPr>
              <w:t>Dyslipidaemia</w:t>
            </w:r>
            <w:proofErr w:type="spellEnd"/>
            <w:r w:rsidRPr="000F2BC3">
              <w:rPr>
                <w:rFonts w:asciiTheme="majorHAnsi" w:eastAsia="Calibri" w:hAnsiTheme="majorHAnsi" w:cstheme="majorHAnsi"/>
                <w:color w:val="000000" w:themeColor="text1"/>
                <w:sz w:val="16"/>
                <w:szCs w:val="16"/>
              </w:rPr>
              <w:t xml:space="preserve"> (</w:t>
            </w:r>
            <w:proofErr w:type="spellStart"/>
            <w:r w:rsidRPr="000F2BC3">
              <w:rPr>
                <w:rFonts w:asciiTheme="majorHAnsi" w:eastAsia="Calibri" w:hAnsiTheme="majorHAnsi" w:cstheme="majorHAnsi"/>
                <w:color w:val="000000" w:themeColor="text1"/>
                <w:sz w:val="16"/>
                <w:szCs w:val="16"/>
              </w:rPr>
              <w:t>hypercholesterolaemia</w:t>
            </w:r>
            <w:proofErr w:type="spellEnd"/>
            <w:r w:rsidRPr="000F2BC3">
              <w:rPr>
                <w:rFonts w:asciiTheme="majorHAnsi" w:eastAsia="Calibri" w:hAnsiTheme="majorHAnsi" w:cstheme="majorHAnsi"/>
                <w:color w:val="000000" w:themeColor="text1"/>
                <w:sz w:val="16"/>
                <w:szCs w:val="16"/>
              </w:rPr>
              <w:t>)</w:t>
            </w:r>
          </w:p>
        </w:tc>
        <w:tc>
          <w:tcPr>
            <w:tcW w:w="0" w:type="auto"/>
          </w:tcPr>
          <w:p w14:paraId="7BA1F81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w:t>
            </w:r>
          </w:p>
        </w:tc>
        <w:tc>
          <w:tcPr>
            <w:tcW w:w="0" w:type="auto"/>
          </w:tcPr>
          <w:p w14:paraId="0FB7CC0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w:t>
            </w:r>
          </w:p>
        </w:tc>
      </w:tr>
      <w:tr w:rsidR="00613364" w:rsidRPr="000F2BC3" w14:paraId="63FB82FD" w14:textId="77777777" w:rsidTr="000F2BC3">
        <w:tc>
          <w:tcPr>
            <w:tcW w:w="0" w:type="auto"/>
          </w:tcPr>
          <w:p w14:paraId="56554E7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Diabetes</w:t>
            </w:r>
          </w:p>
        </w:tc>
        <w:tc>
          <w:tcPr>
            <w:tcW w:w="0" w:type="auto"/>
          </w:tcPr>
          <w:p w14:paraId="21AFE38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w:t>
            </w:r>
          </w:p>
        </w:tc>
        <w:tc>
          <w:tcPr>
            <w:tcW w:w="0" w:type="auto"/>
          </w:tcPr>
          <w:p w14:paraId="73B78F2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w:t>
            </w:r>
          </w:p>
        </w:tc>
      </w:tr>
      <w:tr w:rsidR="00613364" w:rsidRPr="000F2BC3" w14:paraId="1378320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2DD0A3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Smoking</w:t>
            </w:r>
          </w:p>
        </w:tc>
        <w:tc>
          <w:tcPr>
            <w:tcW w:w="0" w:type="auto"/>
          </w:tcPr>
          <w:p w14:paraId="34DCAAF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w:t>
            </w:r>
          </w:p>
        </w:tc>
        <w:tc>
          <w:tcPr>
            <w:tcW w:w="0" w:type="auto"/>
          </w:tcPr>
          <w:p w14:paraId="1097327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0.3</w:t>
            </w:r>
          </w:p>
        </w:tc>
      </w:tr>
      <w:tr w:rsidR="00613364" w:rsidRPr="000F2BC3" w14:paraId="54895F64" w14:textId="77777777" w:rsidTr="000F2BC3">
        <w:tc>
          <w:tcPr>
            <w:tcW w:w="0" w:type="auto"/>
          </w:tcPr>
          <w:p w14:paraId="05235FB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Chronic kidney disease</w:t>
            </w:r>
          </w:p>
        </w:tc>
        <w:tc>
          <w:tcPr>
            <w:tcW w:w="0" w:type="auto"/>
          </w:tcPr>
          <w:p w14:paraId="391B423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14</w:t>
            </w:r>
          </w:p>
        </w:tc>
        <w:tc>
          <w:tcPr>
            <w:tcW w:w="0" w:type="auto"/>
          </w:tcPr>
          <w:p w14:paraId="65C869A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w:t>
            </w:r>
          </w:p>
        </w:tc>
      </w:tr>
      <w:tr w:rsidR="00613364" w:rsidRPr="000F2BC3" w14:paraId="6790FAC4"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351D5C9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Moderate exacerbations</w:t>
            </w:r>
          </w:p>
        </w:tc>
        <w:tc>
          <w:tcPr>
            <w:tcW w:w="0" w:type="auto"/>
          </w:tcPr>
          <w:p w14:paraId="4276D25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w:t>
            </w:r>
          </w:p>
        </w:tc>
        <w:tc>
          <w:tcPr>
            <w:tcW w:w="0" w:type="auto"/>
          </w:tcPr>
          <w:p w14:paraId="6370559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w:t>
            </w:r>
          </w:p>
        </w:tc>
      </w:tr>
      <w:tr w:rsidR="00613364" w:rsidRPr="000F2BC3" w14:paraId="392DD566" w14:textId="77777777" w:rsidTr="000F2BC3">
        <w:tc>
          <w:tcPr>
            <w:tcW w:w="0" w:type="auto"/>
          </w:tcPr>
          <w:p w14:paraId="3FF11AC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Severe exacerbations</w:t>
            </w:r>
          </w:p>
        </w:tc>
        <w:tc>
          <w:tcPr>
            <w:tcW w:w="0" w:type="auto"/>
          </w:tcPr>
          <w:p w14:paraId="1F9D1B8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w:t>
            </w:r>
          </w:p>
        </w:tc>
        <w:tc>
          <w:tcPr>
            <w:tcW w:w="0" w:type="auto"/>
          </w:tcPr>
          <w:p w14:paraId="6935348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w:t>
            </w:r>
          </w:p>
        </w:tc>
      </w:tr>
    </w:tbl>
    <w:p w14:paraId="2E606B2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16"/>
          <w:szCs w:val="16"/>
        </w:rPr>
      </w:pPr>
      <w:r w:rsidRPr="000F2BC3">
        <w:rPr>
          <w:rFonts w:asciiTheme="majorHAnsi" w:eastAsia="Arial" w:hAnsiTheme="majorHAnsi" w:cstheme="majorHAnsi"/>
          <w:i/>
          <w:color w:val="000000" w:themeColor="text1"/>
          <w:sz w:val="16"/>
          <w:szCs w:val="16"/>
        </w:rPr>
        <w:t>Missing values imputed as zero, by variable (N=1,307).</w:t>
      </w:r>
    </w:p>
    <w:p w14:paraId="0568B609"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AE3271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957B9E8"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6BB4955"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3FC248A" w14:textId="5583A770"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S4. General characteristics of the sample (n=1,307)</w:t>
      </w:r>
    </w:p>
    <w:p w14:paraId="3B12ACC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i/>
          <w:color w:val="000000" w:themeColor="text1"/>
          <w:sz w:val="22"/>
          <w:szCs w:val="22"/>
        </w:rPr>
        <w:t>Table S4. General characteristics of the sample (N=1,307). Continuous variables: median (Q1–Q3); categorical: n (%) with 95% CI (Wilson) over valid cases.</w:t>
      </w:r>
    </w:p>
    <w:tbl>
      <w:tblPr>
        <w:tblStyle w:val="Tabladelista2"/>
        <w:tblW w:w="4500" w:type="pct"/>
        <w:tblLook w:val="0420" w:firstRow="1" w:lastRow="0" w:firstColumn="0" w:lastColumn="0" w:noHBand="0" w:noVBand="1"/>
      </w:tblPr>
      <w:tblGrid>
        <w:gridCol w:w="4133"/>
        <w:gridCol w:w="3052"/>
        <w:gridCol w:w="974"/>
      </w:tblGrid>
      <w:tr w:rsidR="00613364" w:rsidRPr="000F2BC3" w14:paraId="77A346A3"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567A542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Variable</w:t>
            </w:r>
          </w:p>
        </w:tc>
        <w:tc>
          <w:tcPr>
            <w:tcW w:w="0" w:type="auto"/>
          </w:tcPr>
          <w:p w14:paraId="2DFB7FE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Value</w:t>
            </w:r>
          </w:p>
        </w:tc>
        <w:tc>
          <w:tcPr>
            <w:tcW w:w="0" w:type="auto"/>
          </w:tcPr>
          <w:p w14:paraId="2465FCE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Valid n</w:t>
            </w:r>
          </w:p>
        </w:tc>
      </w:tr>
      <w:tr w:rsidR="00613364" w:rsidRPr="000F2BC3" w14:paraId="7A3306BB"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DD9C19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Demographics</w:t>
            </w:r>
          </w:p>
        </w:tc>
        <w:tc>
          <w:tcPr>
            <w:tcW w:w="0" w:type="auto"/>
          </w:tcPr>
          <w:p w14:paraId="35E3B629"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7BD01E9A"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1977E1CF" w14:textId="77777777" w:rsidTr="000F2BC3">
        <w:tc>
          <w:tcPr>
            <w:tcW w:w="0" w:type="auto"/>
          </w:tcPr>
          <w:p w14:paraId="12963FD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Age, years — median (IQR)</w:t>
            </w:r>
          </w:p>
        </w:tc>
        <w:tc>
          <w:tcPr>
            <w:tcW w:w="0" w:type="auto"/>
          </w:tcPr>
          <w:p w14:paraId="291B604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72.6 (66.0–79.4)</w:t>
            </w:r>
          </w:p>
        </w:tc>
        <w:tc>
          <w:tcPr>
            <w:tcW w:w="0" w:type="auto"/>
          </w:tcPr>
          <w:p w14:paraId="1A49BA2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1289</w:t>
            </w:r>
          </w:p>
        </w:tc>
      </w:tr>
      <w:tr w:rsidR="00613364" w:rsidRPr="000F2BC3" w14:paraId="1F7B6170"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71E820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Male sex</w:t>
            </w:r>
          </w:p>
        </w:tc>
        <w:tc>
          <w:tcPr>
            <w:tcW w:w="0" w:type="auto"/>
          </w:tcPr>
          <w:p w14:paraId="586F8A2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857 (65.7%) [IC95% 63.1–68.3]</w:t>
            </w:r>
          </w:p>
        </w:tc>
        <w:tc>
          <w:tcPr>
            <w:tcW w:w="0" w:type="auto"/>
          </w:tcPr>
          <w:p w14:paraId="4A14EAA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1304</w:t>
            </w:r>
          </w:p>
        </w:tc>
      </w:tr>
      <w:tr w:rsidR="00613364" w:rsidRPr="000F2BC3" w14:paraId="625AABE8" w14:textId="77777777" w:rsidTr="000F2BC3">
        <w:tc>
          <w:tcPr>
            <w:tcW w:w="0" w:type="auto"/>
          </w:tcPr>
          <w:p w14:paraId="5B55CBD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Smoking status</w:t>
            </w:r>
          </w:p>
        </w:tc>
        <w:tc>
          <w:tcPr>
            <w:tcW w:w="0" w:type="auto"/>
          </w:tcPr>
          <w:p w14:paraId="057911BB"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10A9EFA1"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1D5B85B5"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B81DAD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Current smoker</w:t>
            </w:r>
          </w:p>
        </w:tc>
        <w:tc>
          <w:tcPr>
            <w:tcW w:w="0" w:type="auto"/>
          </w:tcPr>
          <w:p w14:paraId="4FB64C9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390 (30.7%) [IC95% 28.2–33.3]</w:t>
            </w:r>
          </w:p>
        </w:tc>
        <w:tc>
          <w:tcPr>
            <w:tcW w:w="0" w:type="auto"/>
          </w:tcPr>
          <w:p w14:paraId="1FA523C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1270</w:t>
            </w:r>
          </w:p>
        </w:tc>
      </w:tr>
      <w:tr w:rsidR="00613364" w:rsidRPr="000F2BC3" w14:paraId="02C06C6D" w14:textId="77777777" w:rsidTr="000F2BC3">
        <w:tc>
          <w:tcPr>
            <w:tcW w:w="0" w:type="auto"/>
          </w:tcPr>
          <w:p w14:paraId="5B252B7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Ex-smoker</w:t>
            </w:r>
          </w:p>
        </w:tc>
        <w:tc>
          <w:tcPr>
            <w:tcW w:w="0" w:type="auto"/>
          </w:tcPr>
          <w:p w14:paraId="3C02909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772 (60.8%) [IC95% 58.1–63.4]</w:t>
            </w:r>
          </w:p>
        </w:tc>
        <w:tc>
          <w:tcPr>
            <w:tcW w:w="0" w:type="auto"/>
          </w:tcPr>
          <w:p w14:paraId="4970AD9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1270</w:t>
            </w:r>
          </w:p>
        </w:tc>
      </w:tr>
      <w:tr w:rsidR="00613364" w:rsidRPr="000F2BC3" w14:paraId="4F0D5915"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B0C3AA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Never smoker</w:t>
            </w:r>
          </w:p>
        </w:tc>
        <w:tc>
          <w:tcPr>
            <w:tcW w:w="0" w:type="auto"/>
          </w:tcPr>
          <w:p w14:paraId="0F332D8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108 (8.5%) [IC95% 7.1–10.2]</w:t>
            </w:r>
          </w:p>
        </w:tc>
        <w:tc>
          <w:tcPr>
            <w:tcW w:w="0" w:type="auto"/>
          </w:tcPr>
          <w:p w14:paraId="396767F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1270</w:t>
            </w:r>
          </w:p>
        </w:tc>
      </w:tr>
      <w:tr w:rsidR="00613364" w:rsidRPr="000F2BC3" w14:paraId="50E20CEE" w14:textId="77777777" w:rsidTr="000F2BC3">
        <w:tc>
          <w:tcPr>
            <w:tcW w:w="0" w:type="auto"/>
          </w:tcPr>
          <w:p w14:paraId="4E1F645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Functional variables</w:t>
            </w:r>
          </w:p>
        </w:tc>
        <w:tc>
          <w:tcPr>
            <w:tcW w:w="0" w:type="auto"/>
          </w:tcPr>
          <w:p w14:paraId="2559B5DA"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7DA227E9"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0A8E56F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B16E6E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mMRC — median (IQR)</w:t>
            </w:r>
          </w:p>
        </w:tc>
        <w:tc>
          <w:tcPr>
            <w:tcW w:w="0" w:type="auto"/>
          </w:tcPr>
          <w:p w14:paraId="08A4B04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 (1.0–2.0)</w:t>
            </w:r>
          </w:p>
        </w:tc>
        <w:tc>
          <w:tcPr>
            <w:tcW w:w="0" w:type="auto"/>
          </w:tcPr>
          <w:p w14:paraId="310AE8B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1299</w:t>
            </w:r>
          </w:p>
        </w:tc>
      </w:tr>
      <w:tr w:rsidR="00613364" w:rsidRPr="000F2BC3" w14:paraId="1AEBC7F5" w14:textId="77777777" w:rsidTr="000F2BC3">
        <w:tc>
          <w:tcPr>
            <w:tcW w:w="0" w:type="auto"/>
          </w:tcPr>
          <w:p w14:paraId="11AA710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mMRC ≥2</w:t>
            </w:r>
          </w:p>
        </w:tc>
        <w:tc>
          <w:tcPr>
            <w:tcW w:w="0" w:type="auto"/>
          </w:tcPr>
          <w:p w14:paraId="52BF280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593 (45.7%) [IC95% 43.0–48.4]</w:t>
            </w:r>
          </w:p>
        </w:tc>
        <w:tc>
          <w:tcPr>
            <w:tcW w:w="0" w:type="auto"/>
          </w:tcPr>
          <w:p w14:paraId="0A708D5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1299</w:t>
            </w:r>
          </w:p>
        </w:tc>
      </w:tr>
      <w:tr w:rsidR="00613364" w:rsidRPr="000F2BC3" w14:paraId="6E1E1966"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262CB0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RADAR — median (IQR)</w:t>
            </w:r>
          </w:p>
        </w:tc>
        <w:tc>
          <w:tcPr>
            <w:tcW w:w="0" w:type="auto"/>
          </w:tcPr>
          <w:p w14:paraId="0314DC1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2.0 (0.0–3.0)</w:t>
            </w:r>
          </w:p>
        </w:tc>
        <w:tc>
          <w:tcPr>
            <w:tcW w:w="0" w:type="auto"/>
          </w:tcPr>
          <w:p w14:paraId="524CF9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38B0BD99" w14:textId="77777777" w:rsidTr="000F2BC3">
        <w:tc>
          <w:tcPr>
            <w:tcW w:w="0" w:type="auto"/>
          </w:tcPr>
          <w:p w14:paraId="13C1566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RADAR &lt;2 (good control)</w:t>
            </w:r>
          </w:p>
        </w:tc>
        <w:tc>
          <w:tcPr>
            <w:tcW w:w="0" w:type="auto"/>
          </w:tcPr>
          <w:p w14:paraId="7B1C093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610 (47.1%) [IC95% 44.3–49.8]</w:t>
            </w:r>
          </w:p>
        </w:tc>
        <w:tc>
          <w:tcPr>
            <w:tcW w:w="0" w:type="auto"/>
          </w:tcPr>
          <w:p w14:paraId="7D9ADA2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11C1AA1A"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F667AE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RADAR ≥4 (poor control)</w:t>
            </w:r>
          </w:p>
        </w:tc>
        <w:tc>
          <w:tcPr>
            <w:tcW w:w="0" w:type="auto"/>
          </w:tcPr>
          <w:p w14:paraId="49861EC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309 (23.8%) [IC95% 21.6–26.2]</w:t>
            </w:r>
          </w:p>
        </w:tc>
        <w:tc>
          <w:tcPr>
            <w:tcW w:w="0" w:type="auto"/>
          </w:tcPr>
          <w:p w14:paraId="3958765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289B4B80" w14:textId="77777777" w:rsidTr="000F2BC3">
        <w:tc>
          <w:tcPr>
            <w:tcW w:w="0" w:type="auto"/>
          </w:tcPr>
          <w:p w14:paraId="4DA7528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Functional severity (FEV1)</w:t>
            </w:r>
          </w:p>
        </w:tc>
        <w:tc>
          <w:tcPr>
            <w:tcW w:w="0" w:type="auto"/>
          </w:tcPr>
          <w:p w14:paraId="2715EFE4"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0FA0D86B"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48DDCF61"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8AC440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Mild (GOLD 1)</w:t>
            </w:r>
          </w:p>
        </w:tc>
        <w:tc>
          <w:tcPr>
            <w:tcW w:w="0" w:type="auto"/>
          </w:tcPr>
          <w:p w14:paraId="33BB2BF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245 (20.5%) [IC95% 18.3–22.8]</w:t>
            </w:r>
          </w:p>
        </w:tc>
        <w:tc>
          <w:tcPr>
            <w:tcW w:w="0" w:type="auto"/>
          </w:tcPr>
          <w:p w14:paraId="2E9297F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1197</w:t>
            </w:r>
          </w:p>
        </w:tc>
      </w:tr>
      <w:tr w:rsidR="00613364" w:rsidRPr="000F2BC3" w14:paraId="4DE4363D" w14:textId="77777777" w:rsidTr="000F2BC3">
        <w:tc>
          <w:tcPr>
            <w:tcW w:w="0" w:type="auto"/>
          </w:tcPr>
          <w:p w14:paraId="0069897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Moderate (GOLD 2)</w:t>
            </w:r>
          </w:p>
        </w:tc>
        <w:tc>
          <w:tcPr>
            <w:tcW w:w="0" w:type="auto"/>
          </w:tcPr>
          <w:p w14:paraId="6BCC64A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703 (58.7%) [IC95% 56.0–61.5]</w:t>
            </w:r>
          </w:p>
        </w:tc>
        <w:tc>
          <w:tcPr>
            <w:tcW w:w="0" w:type="auto"/>
          </w:tcPr>
          <w:p w14:paraId="1B3EA8F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1197</w:t>
            </w:r>
          </w:p>
        </w:tc>
      </w:tr>
      <w:tr w:rsidR="00613364" w:rsidRPr="000F2BC3" w14:paraId="65A0DD71"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701925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Severe (GOLD 3)</w:t>
            </w:r>
          </w:p>
        </w:tc>
        <w:tc>
          <w:tcPr>
            <w:tcW w:w="0" w:type="auto"/>
          </w:tcPr>
          <w:p w14:paraId="2257AE5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204 (17.0%) [IC95% 15.0–19.3]</w:t>
            </w:r>
          </w:p>
        </w:tc>
        <w:tc>
          <w:tcPr>
            <w:tcW w:w="0" w:type="auto"/>
          </w:tcPr>
          <w:p w14:paraId="18C8ACF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1197</w:t>
            </w:r>
          </w:p>
        </w:tc>
      </w:tr>
      <w:tr w:rsidR="00613364" w:rsidRPr="000F2BC3" w14:paraId="594FD653" w14:textId="77777777" w:rsidTr="000F2BC3">
        <w:tc>
          <w:tcPr>
            <w:tcW w:w="0" w:type="auto"/>
          </w:tcPr>
          <w:p w14:paraId="675C241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Very severe (GOLD 4)</w:t>
            </w:r>
          </w:p>
        </w:tc>
        <w:tc>
          <w:tcPr>
            <w:tcW w:w="0" w:type="auto"/>
          </w:tcPr>
          <w:p w14:paraId="54E1AA1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45 (3.8%) [IC95% 2.8–5.0]</w:t>
            </w:r>
          </w:p>
        </w:tc>
        <w:tc>
          <w:tcPr>
            <w:tcW w:w="0" w:type="auto"/>
          </w:tcPr>
          <w:p w14:paraId="7046705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1197</w:t>
            </w:r>
          </w:p>
        </w:tc>
      </w:tr>
      <w:tr w:rsidR="00613364" w:rsidRPr="000F2BC3" w14:paraId="773075B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6DE149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Severe/very severe (GOLD 3–4)</w:t>
            </w:r>
          </w:p>
        </w:tc>
        <w:tc>
          <w:tcPr>
            <w:tcW w:w="0" w:type="auto"/>
          </w:tcPr>
          <w:p w14:paraId="70C8573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249 (20.8%) [IC95% 18.6–23.2]</w:t>
            </w:r>
          </w:p>
        </w:tc>
        <w:tc>
          <w:tcPr>
            <w:tcW w:w="0" w:type="auto"/>
          </w:tcPr>
          <w:p w14:paraId="50C6D6E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1,197</w:t>
            </w:r>
          </w:p>
        </w:tc>
      </w:tr>
      <w:tr w:rsidR="00613364" w:rsidRPr="000F2BC3" w14:paraId="448889B1" w14:textId="77777777" w:rsidTr="000F2BC3">
        <w:tc>
          <w:tcPr>
            <w:tcW w:w="0" w:type="auto"/>
          </w:tcPr>
          <w:p w14:paraId="19203CE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GOLD 2023 stratification (A/B/E)</w:t>
            </w:r>
          </w:p>
        </w:tc>
        <w:tc>
          <w:tcPr>
            <w:tcW w:w="0" w:type="auto"/>
          </w:tcPr>
          <w:p w14:paraId="04CE3554"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75E09A33"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4756885D"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5172C2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GOLD A (low symptom, low risk)</w:t>
            </w:r>
          </w:p>
        </w:tc>
        <w:tc>
          <w:tcPr>
            <w:tcW w:w="0" w:type="auto"/>
          </w:tcPr>
          <w:p w14:paraId="2506DB9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573 (44.5%) [IC95% 41.8–47.2]</w:t>
            </w:r>
          </w:p>
        </w:tc>
        <w:tc>
          <w:tcPr>
            <w:tcW w:w="0" w:type="auto"/>
          </w:tcPr>
          <w:p w14:paraId="13232BD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1288</w:t>
            </w:r>
          </w:p>
        </w:tc>
      </w:tr>
      <w:tr w:rsidR="00613364" w:rsidRPr="000F2BC3" w14:paraId="0F0DD422" w14:textId="77777777" w:rsidTr="000F2BC3">
        <w:tc>
          <w:tcPr>
            <w:tcW w:w="0" w:type="auto"/>
          </w:tcPr>
          <w:p w14:paraId="5DBA31C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GOLD B (more symptom, low risk)</w:t>
            </w:r>
          </w:p>
        </w:tc>
        <w:tc>
          <w:tcPr>
            <w:tcW w:w="0" w:type="auto"/>
          </w:tcPr>
          <w:p w14:paraId="4B14588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309 (24.0%) [IC95% 21.7–26.4]</w:t>
            </w:r>
          </w:p>
        </w:tc>
        <w:tc>
          <w:tcPr>
            <w:tcW w:w="0" w:type="auto"/>
          </w:tcPr>
          <w:p w14:paraId="6695774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1288</w:t>
            </w:r>
          </w:p>
        </w:tc>
      </w:tr>
      <w:tr w:rsidR="00613364" w:rsidRPr="000F2BC3" w14:paraId="05A5F962"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08FE11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GOLD E (exacerbator)</w:t>
            </w:r>
          </w:p>
        </w:tc>
        <w:tc>
          <w:tcPr>
            <w:tcW w:w="0" w:type="auto"/>
          </w:tcPr>
          <w:p w14:paraId="4AB9EBF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406 (31.5%) [IC95% 29.0–34.1]</w:t>
            </w:r>
          </w:p>
        </w:tc>
        <w:tc>
          <w:tcPr>
            <w:tcW w:w="0" w:type="auto"/>
          </w:tcPr>
          <w:p w14:paraId="599D612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1288</w:t>
            </w:r>
          </w:p>
        </w:tc>
      </w:tr>
      <w:tr w:rsidR="00613364" w:rsidRPr="000F2BC3" w14:paraId="34F4021C" w14:textId="77777777" w:rsidTr="000F2BC3">
        <w:tc>
          <w:tcPr>
            <w:tcW w:w="0" w:type="auto"/>
          </w:tcPr>
          <w:p w14:paraId="4B5CC5A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Eosinophils (cells/µL)</w:t>
            </w:r>
          </w:p>
        </w:tc>
        <w:tc>
          <w:tcPr>
            <w:tcW w:w="0" w:type="auto"/>
          </w:tcPr>
          <w:p w14:paraId="411728C0"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3083377A"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4C2BE7F6"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001CE4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Eosinophils — median (IQR)</w:t>
            </w:r>
          </w:p>
        </w:tc>
        <w:tc>
          <w:tcPr>
            <w:tcW w:w="0" w:type="auto"/>
          </w:tcPr>
          <w:p w14:paraId="3052648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180 (100–298)</w:t>
            </w:r>
          </w:p>
        </w:tc>
        <w:tc>
          <w:tcPr>
            <w:tcW w:w="0" w:type="auto"/>
          </w:tcPr>
          <w:p w14:paraId="63E7BC3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1,257</w:t>
            </w:r>
          </w:p>
        </w:tc>
      </w:tr>
      <w:tr w:rsidR="00613364" w:rsidRPr="000F2BC3" w14:paraId="736CA644" w14:textId="77777777" w:rsidTr="000F2BC3">
        <w:tc>
          <w:tcPr>
            <w:tcW w:w="0" w:type="auto"/>
          </w:tcPr>
          <w:p w14:paraId="4B6EB6B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Eos &lt;100</w:t>
            </w:r>
          </w:p>
        </w:tc>
        <w:tc>
          <w:tcPr>
            <w:tcW w:w="0" w:type="auto"/>
          </w:tcPr>
          <w:p w14:paraId="7165397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255 (20.3%) [IC95% 18.1–22.6]</w:t>
            </w:r>
          </w:p>
        </w:tc>
        <w:tc>
          <w:tcPr>
            <w:tcW w:w="0" w:type="auto"/>
          </w:tcPr>
          <w:p w14:paraId="535B5F8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1,257</w:t>
            </w:r>
          </w:p>
        </w:tc>
      </w:tr>
      <w:tr w:rsidR="00613364" w:rsidRPr="000F2BC3" w14:paraId="22F9C30E"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A3371F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Eos 100-199</w:t>
            </w:r>
          </w:p>
        </w:tc>
        <w:tc>
          <w:tcPr>
            <w:tcW w:w="0" w:type="auto"/>
          </w:tcPr>
          <w:p w14:paraId="12A712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397 (31.6%) [IC95% 29.0–34.2]</w:t>
            </w:r>
          </w:p>
        </w:tc>
        <w:tc>
          <w:tcPr>
            <w:tcW w:w="0" w:type="auto"/>
          </w:tcPr>
          <w:p w14:paraId="2E76E9F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1,257</w:t>
            </w:r>
          </w:p>
        </w:tc>
      </w:tr>
      <w:tr w:rsidR="00613364" w:rsidRPr="000F2BC3" w14:paraId="16BB52BE" w14:textId="77777777" w:rsidTr="000F2BC3">
        <w:tc>
          <w:tcPr>
            <w:tcW w:w="0" w:type="auto"/>
          </w:tcPr>
          <w:p w14:paraId="62BCB74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Eos 200-299</w:t>
            </w:r>
          </w:p>
        </w:tc>
        <w:tc>
          <w:tcPr>
            <w:tcW w:w="0" w:type="auto"/>
          </w:tcPr>
          <w:p w14:paraId="7CCF9AF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291 (23.1%) [IC95% 20.9–25.5]</w:t>
            </w:r>
          </w:p>
        </w:tc>
        <w:tc>
          <w:tcPr>
            <w:tcW w:w="0" w:type="auto"/>
          </w:tcPr>
          <w:p w14:paraId="4379122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1,257</w:t>
            </w:r>
          </w:p>
        </w:tc>
      </w:tr>
      <w:tr w:rsidR="00613364" w:rsidRPr="000F2BC3" w14:paraId="1EFDAEFF"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B62094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Eos ≥300</w:t>
            </w:r>
          </w:p>
        </w:tc>
        <w:tc>
          <w:tcPr>
            <w:tcW w:w="0" w:type="auto"/>
          </w:tcPr>
          <w:p w14:paraId="6B0BDDB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314 (25.0%) [IC95% 22.7–27.5]</w:t>
            </w:r>
          </w:p>
        </w:tc>
        <w:tc>
          <w:tcPr>
            <w:tcW w:w="0" w:type="auto"/>
          </w:tcPr>
          <w:p w14:paraId="414569E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1,257</w:t>
            </w:r>
          </w:p>
        </w:tc>
      </w:tr>
      <w:tr w:rsidR="00613364" w:rsidRPr="000F2BC3" w14:paraId="7C69719A" w14:textId="77777777" w:rsidTr="000F2BC3">
        <w:tc>
          <w:tcPr>
            <w:tcW w:w="0" w:type="auto"/>
          </w:tcPr>
          <w:p w14:paraId="052F36D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Cardiovascular comorbidities and risk factors</w:t>
            </w:r>
          </w:p>
        </w:tc>
        <w:tc>
          <w:tcPr>
            <w:tcW w:w="0" w:type="auto"/>
          </w:tcPr>
          <w:p w14:paraId="7F56C305"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3E848184"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5CC74E5B"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74381A2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proofErr w:type="spellStart"/>
            <w:r w:rsidRPr="000F2BC3">
              <w:rPr>
                <w:rFonts w:asciiTheme="majorHAnsi" w:eastAsia="Calibri" w:hAnsiTheme="majorHAnsi" w:cstheme="majorHAnsi"/>
                <w:color w:val="000000" w:themeColor="text1"/>
                <w:sz w:val="16"/>
                <w:szCs w:val="16"/>
              </w:rPr>
              <w:t>Ischaemic</w:t>
            </w:r>
            <w:proofErr w:type="spellEnd"/>
            <w:r w:rsidRPr="000F2BC3">
              <w:rPr>
                <w:rFonts w:asciiTheme="majorHAnsi" w:eastAsia="Calibri" w:hAnsiTheme="majorHAnsi" w:cstheme="majorHAnsi"/>
                <w:color w:val="000000" w:themeColor="text1"/>
                <w:sz w:val="16"/>
                <w:szCs w:val="16"/>
              </w:rPr>
              <w:t xml:space="preserve"> heart disease</w:t>
            </w:r>
          </w:p>
        </w:tc>
        <w:tc>
          <w:tcPr>
            <w:tcW w:w="0" w:type="auto"/>
          </w:tcPr>
          <w:p w14:paraId="27512C8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162 (12.5%) [IC95% 10.8–14.4]</w:t>
            </w:r>
          </w:p>
        </w:tc>
        <w:tc>
          <w:tcPr>
            <w:tcW w:w="0" w:type="auto"/>
          </w:tcPr>
          <w:p w14:paraId="702529F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1297</w:t>
            </w:r>
          </w:p>
        </w:tc>
      </w:tr>
      <w:tr w:rsidR="00613364" w:rsidRPr="000F2BC3" w14:paraId="617A1094" w14:textId="77777777" w:rsidTr="000F2BC3">
        <w:tc>
          <w:tcPr>
            <w:tcW w:w="0" w:type="auto"/>
          </w:tcPr>
          <w:p w14:paraId="6515D54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lastRenderedPageBreak/>
              <w:t>Heart failure</w:t>
            </w:r>
          </w:p>
        </w:tc>
        <w:tc>
          <w:tcPr>
            <w:tcW w:w="0" w:type="auto"/>
          </w:tcPr>
          <w:p w14:paraId="11A48F1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213 (16.4%) [IC95% 14.5–18.5]</w:t>
            </w:r>
          </w:p>
        </w:tc>
        <w:tc>
          <w:tcPr>
            <w:tcW w:w="0" w:type="auto"/>
          </w:tcPr>
          <w:p w14:paraId="71122D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r>
      <w:tr w:rsidR="00613364" w:rsidRPr="000F2BC3" w14:paraId="0BC511D1"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22DAF24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Atrial fibrillation</w:t>
            </w:r>
          </w:p>
        </w:tc>
        <w:tc>
          <w:tcPr>
            <w:tcW w:w="0" w:type="auto"/>
          </w:tcPr>
          <w:p w14:paraId="448D78F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168 (12.9%) [IC95% 11.2–14.9]</w:t>
            </w:r>
          </w:p>
        </w:tc>
        <w:tc>
          <w:tcPr>
            <w:tcW w:w="0" w:type="auto"/>
          </w:tcPr>
          <w:p w14:paraId="026585A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r>
      <w:tr w:rsidR="00613364" w:rsidRPr="000F2BC3" w14:paraId="7161B5E3" w14:textId="77777777" w:rsidTr="000F2BC3">
        <w:tc>
          <w:tcPr>
            <w:tcW w:w="0" w:type="auto"/>
          </w:tcPr>
          <w:p w14:paraId="2249309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Stroke/TIA</w:t>
            </w:r>
          </w:p>
        </w:tc>
        <w:tc>
          <w:tcPr>
            <w:tcW w:w="0" w:type="auto"/>
          </w:tcPr>
          <w:p w14:paraId="6CDA852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90 (6.9%) [IC95% 5.7–8.5]</w:t>
            </w:r>
          </w:p>
        </w:tc>
        <w:tc>
          <w:tcPr>
            <w:tcW w:w="0" w:type="auto"/>
          </w:tcPr>
          <w:p w14:paraId="163459B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1297</w:t>
            </w:r>
          </w:p>
        </w:tc>
      </w:tr>
      <w:tr w:rsidR="00613364" w:rsidRPr="000F2BC3" w14:paraId="59C316C7"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C8BB67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Peripheral arterial disease</w:t>
            </w:r>
          </w:p>
        </w:tc>
        <w:tc>
          <w:tcPr>
            <w:tcW w:w="0" w:type="auto"/>
          </w:tcPr>
          <w:p w14:paraId="26E37D0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99 (7.6%) [IC95% 6.3–9.2]</w:t>
            </w:r>
          </w:p>
        </w:tc>
        <w:tc>
          <w:tcPr>
            <w:tcW w:w="0" w:type="auto"/>
          </w:tcPr>
          <w:p w14:paraId="0041075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r>
      <w:tr w:rsidR="00613364" w:rsidRPr="000F2BC3" w14:paraId="2B48750D" w14:textId="77777777" w:rsidTr="000F2BC3">
        <w:tc>
          <w:tcPr>
            <w:tcW w:w="0" w:type="auto"/>
          </w:tcPr>
          <w:p w14:paraId="2C4DB46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Hypertension</w:t>
            </w:r>
          </w:p>
        </w:tc>
        <w:tc>
          <w:tcPr>
            <w:tcW w:w="0" w:type="auto"/>
          </w:tcPr>
          <w:p w14:paraId="3C0E88B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843 (64.9%) [IC95% 62.3–67.5]</w:t>
            </w:r>
          </w:p>
        </w:tc>
        <w:tc>
          <w:tcPr>
            <w:tcW w:w="0" w:type="auto"/>
          </w:tcPr>
          <w:p w14:paraId="149ECDC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r>
      <w:tr w:rsidR="00613364" w:rsidRPr="000F2BC3" w14:paraId="71C34850"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5BF4AF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proofErr w:type="spellStart"/>
            <w:r w:rsidRPr="000F2BC3">
              <w:rPr>
                <w:rFonts w:asciiTheme="majorHAnsi" w:eastAsia="Calibri" w:hAnsiTheme="majorHAnsi" w:cstheme="majorHAnsi"/>
                <w:color w:val="000000" w:themeColor="text1"/>
                <w:sz w:val="16"/>
                <w:szCs w:val="16"/>
              </w:rPr>
              <w:t>Dyslipidaemia</w:t>
            </w:r>
            <w:proofErr w:type="spellEnd"/>
          </w:p>
        </w:tc>
        <w:tc>
          <w:tcPr>
            <w:tcW w:w="0" w:type="auto"/>
          </w:tcPr>
          <w:p w14:paraId="66AAC38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860 (66.4%) [IC95% 63.7–68.9]</w:t>
            </w:r>
          </w:p>
        </w:tc>
        <w:tc>
          <w:tcPr>
            <w:tcW w:w="0" w:type="auto"/>
          </w:tcPr>
          <w:p w14:paraId="401B48C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406F35C8" w14:textId="77777777" w:rsidTr="000F2BC3">
        <w:tc>
          <w:tcPr>
            <w:tcW w:w="0" w:type="auto"/>
          </w:tcPr>
          <w:p w14:paraId="6BBA1F5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Diabetes</w:t>
            </w:r>
          </w:p>
        </w:tc>
        <w:tc>
          <w:tcPr>
            <w:tcW w:w="0" w:type="auto"/>
          </w:tcPr>
          <w:p w14:paraId="5E515D9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431 (33.2%) [IC95% 30.7–35.8]</w:t>
            </w:r>
          </w:p>
        </w:tc>
        <w:tc>
          <w:tcPr>
            <w:tcW w:w="0" w:type="auto"/>
          </w:tcPr>
          <w:p w14:paraId="728055F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r>
      <w:tr w:rsidR="00613364" w:rsidRPr="000F2BC3" w14:paraId="46451DF7"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56F0A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Chronic kidney disease</w:t>
            </w:r>
          </w:p>
        </w:tc>
        <w:tc>
          <w:tcPr>
            <w:tcW w:w="0" w:type="auto"/>
          </w:tcPr>
          <w:p w14:paraId="10040F8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184 (14.2%) [IC95% 12.4–16.2]</w:t>
            </w:r>
          </w:p>
        </w:tc>
        <w:tc>
          <w:tcPr>
            <w:tcW w:w="0" w:type="auto"/>
          </w:tcPr>
          <w:p w14:paraId="06D5770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1294</w:t>
            </w:r>
          </w:p>
        </w:tc>
      </w:tr>
      <w:tr w:rsidR="00613364" w:rsidRPr="000F2BC3" w14:paraId="3C95F697" w14:textId="77777777" w:rsidTr="000F2BC3">
        <w:tc>
          <w:tcPr>
            <w:tcW w:w="0" w:type="auto"/>
          </w:tcPr>
          <w:p w14:paraId="649B6A5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Established CVD (≥1 of 5)</w:t>
            </w:r>
          </w:p>
        </w:tc>
        <w:tc>
          <w:tcPr>
            <w:tcW w:w="0" w:type="auto"/>
          </w:tcPr>
          <w:p w14:paraId="394A7A3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481 (36.8%) [IC95% 34.2–39.4]</w:t>
            </w:r>
          </w:p>
        </w:tc>
        <w:tc>
          <w:tcPr>
            <w:tcW w:w="0" w:type="auto"/>
          </w:tcPr>
          <w:p w14:paraId="79408E0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1,307</w:t>
            </w:r>
          </w:p>
        </w:tc>
      </w:tr>
      <w:tr w:rsidR="00613364" w:rsidRPr="000F2BC3" w14:paraId="63666B89"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021DA5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Hospitalisations (12 months)</w:t>
            </w:r>
          </w:p>
        </w:tc>
        <w:tc>
          <w:tcPr>
            <w:tcW w:w="0" w:type="auto"/>
          </w:tcPr>
          <w:p w14:paraId="0DC2337E"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6E3E3439"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7CEEBE63" w14:textId="77777777" w:rsidTr="000F2BC3">
        <w:tc>
          <w:tcPr>
            <w:tcW w:w="0" w:type="auto"/>
          </w:tcPr>
          <w:p w14:paraId="6B38582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Total hospitalisations — median (IQR)</w:t>
            </w:r>
          </w:p>
        </w:tc>
        <w:tc>
          <w:tcPr>
            <w:tcW w:w="0" w:type="auto"/>
          </w:tcPr>
          <w:p w14:paraId="6B9A09B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 xml:space="preserve">0 (0–1), </w:t>
            </w:r>
            <w:proofErr w:type="spellStart"/>
            <w:r w:rsidRPr="000F2BC3">
              <w:rPr>
                <w:rFonts w:asciiTheme="majorHAnsi" w:eastAsia="Calibri" w:hAnsiTheme="majorHAnsi" w:cstheme="majorHAnsi"/>
                <w:color w:val="000000" w:themeColor="text1"/>
                <w:sz w:val="16"/>
                <w:szCs w:val="16"/>
              </w:rPr>
              <w:t>rango</w:t>
            </w:r>
            <w:proofErr w:type="spellEnd"/>
            <w:r w:rsidRPr="000F2BC3">
              <w:rPr>
                <w:rFonts w:asciiTheme="majorHAnsi" w:eastAsia="Calibri" w:hAnsiTheme="majorHAnsi" w:cstheme="majorHAnsi"/>
                <w:color w:val="000000" w:themeColor="text1"/>
                <w:sz w:val="16"/>
                <w:szCs w:val="16"/>
              </w:rPr>
              <w:t xml:space="preserve"> 0–6</w:t>
            </w:r>
          </w:p>
        </w:tc>
        <w:tc>
          <w:tcPr>
            <w:tcW w:w="0" w:type="auto"/>
          </w:tcPr>
          <w:p w14:paraId="0F74550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1288</w:t>
            </w:r>
          </w:p>
        </w:tc>
      </w:tr>
      <w:tr w:rsidR="00613364" w:rsidRPr="000F2BC3" w14:paraId="635B6F4C"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E0ADBC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hospitalisation (any cause)</w:t>
            </w:r>
          </w:p>
        </w:tc>
        <w:tc>
          <w:tcPr>
            <w:tcW w:w="0" w:type="auto"/>
          </w:tcPr>
          <w:p w14:paraId="319ECFF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344 (26.7%) [IC95% 24.4–29.2]</w:t>
            </w:r>
          </w:p>
        </w:tc>
        <w:tc>
          <w:tcPr>
            <w:tcW w:w="0" w:type="auto"/>
          </w:tcPr>
          <w:p w14:paraId="349C184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1288</w:t>
            </w:r>
          </w:p>
        </w:tc>
      </w:tr>
      <w:tr w:rsidR="00613364" w:rsidRPr="000F2BC3" w14:paraId="045D643A" w14:textId="77777777" w:rsidTr="000F2BC3">
        <w:tc>
          <w:tcPr>
            <w:tcW w:w="0" w:type="auto"/>
          </w:tcPr>
          <w:p w14:paraId="45C98FD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respiratory hospitalisation</w:t>
            </w:r>
          </w:p>
        </w:tc>
        <w:tc>
          <w:tcPr>
            <w:tcW w:w="0" w:type="auto"/>
          </w:tcPr>
          <w:p w14:paraId="60A05E7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220 (17.0%) [IC95% 15.1–19.2]</w:t>
            </w:r>
          </w:p>
        </w:tc>
        <w:tc>
          <w:tcPr>
            <w:tcW w:w="0" w:type="auto"/>
          </w:tcPr>
          <w:p w14:paraId="03558F0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1292</w:t>
            </w:r>
          </w:p>
        </w:tc>
      </w:tr>
      <w:tr w:rsidR="00613364" w:rsidRPr="000F2BC3" w14:paraId="130F1C75"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DDAC6A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cardiovascular hospitalisation</w:t>
            </w:r>
          </w:p>
        </w:tc>
        <w:tc>
          <w:tcPr>
            <w:tcW w:w="0" w:type="auto"/>
          </w:tcPr>
          <w:p w14:paraId="1D030C3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63 (4.9%) [IC95% 3.8–6.2]</w:t>
            </w:r>
          </w:p>
        </w:tc>
        <w:tc>
          <w:tcPr>
            <w:tcW w:w="0" w:type="auto"/>
          </w:tcPr>
          <w:p w14:paraId="18F8923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1293</w:t>
            </w:r>
          </w:p>
        </w:tc>
      </w:tr>
      <w:tr w:rsidR="00613364" w:rsidRPr="000F2BC3" w14:paraId="4D578282" w14:textId="77777777" w:rsidTr="000F2BC3">
        <w:tc>
          <w:tcPr>
            <w:tcW w:w="0" w:type="auto"/>
          </w:tcPr>
          <w:p w14:paraId="45C3765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other-cause hospitalisation</w:t>
            </w:r>
          </w:p>
        </w:tc>
        <w:tc>
          <w:tcPr>
            <w:tcW w:w="0" w:type="auto"/>
          </w:tcPr>
          <w:p w14:paraId="76A0C10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125 (9.7%) [IC95% 8.2–11.4]</w:t>
            </w:r>
          </w:p>
        </w:tc>
        <w:tc>
          <w:tcPr>
            <w:tcW w:w="0" w:type="auto"/>
          </w:tcPr>
          <w:p w14:paraId="1019EA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1288</w:t>
            </w:r>
          </w:p>
        </w:tc>
      </w:tr>
      <w:tr w:rsidR="00613364" w:rsidRPr="000F2BC3" w14:paraId="62F0B299"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3136965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Inhaled bronchodilator treatment</w:t>
            </w:r>
          </w:p>
        </w:tc>
        <w:tc>
          <w:tcPr>
            <w:tcW w:w="0" w:type="auto"/>
          </w:tcPr>
          <w:p w14:paraId="1632244E"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1CA78D9E"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6C00AE57" w14:textId="77777777" w:rsidTr="000F2BC3">
        <w:tc>
          <w:tcPr>
            <w:tcW w:w="0" w:type="auto"/>
          </w:tcPr>
          <w:p w14:paraId="47008D5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 treatment</w:t>
            </w:r>
          </w:p>
        </w:tc>
        <w:tc>
          <w:tcPr>
            <w:tcW w:w="0" w:type="auto"/>
          </w:tcPr>
          <w:p w14:paraId="7B3C3DA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 (0.0%) [IC95% -0.0–0.3]</w:t>
            </w:r>
          </w:p>
        </w:tc>
        <w:tc>
          <w:tcPr>
            <w:tcW w:w="0" w:type="auto"/>
          </w:tcPr>
          <w:p w14:paraId="51169FE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2FD3A388"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712D288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LAMA</w:t>
            </w:r>
          </w:p>
        </w:tc>
        <w:tc>
          <w:tcPr>
            <w:tcW w:w="0" w:type="auto"/>
          </w:tcPr>
          <w:p w14:paraId="6C77C21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118 (9.1%) [IC95% 7.7–10.8]</w:t>
            </w:r>
          </w:p>
        </w:tc>
        <w:tc>
          <w:tcPr>
            <w:tcW w:w="0" w:type="auto"/>
          </w:tcPr>
          <w:p w14:paraId="495DD57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46D35194" w14:textId="77777777" w:rsidTr="000F2BC3">
        <w:tc>
          <w:tcPr>
            <w:tcW w:w="0" w:type="auto"/>
          </w:tcPr>
          <w:p w14:paraId="653555B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LABA</w:t>
            </w:r>
          </w:p>
        </w:tc>
        <w:tc>
          <w:tcPr>
            <w:tcW w:w="0" w:type="auto"/>
          </w:tcPr>
          <w:p w14:paraId="4A257DD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 (2.2%) [IC95% 1.6–3.2]</w:t>
            </w:r>
          </w:p>
        </w:tc>
        <w:tc>
          <w:tcPr>
            <w:tcW w:w="0" w:type="auto"/>
          </w:tcPr>
          <w:p w14:paraId="1B592B0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25BFA1E0"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33ED658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LABA+LAMA</w:t>
            </w:r>
          </w:p>
        </w:tc>
        <w:tc>
          <w:tcPr>
            <w:tcW w:w="0" w:type="auto"/>
          </w:tcPr>
          <w:p w14:paraId="355D69F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345 (26.6%) [IC95% 24.3–29.1]</w:t>
            </w:r>
          </w:p>
        </w:tc>
        <w:tc>
          <w:tcPr>
            <w:tcW w:w="0" w:type="auto"/>
          </w:tcPr>
          <w:p w14:paraId="5BB7658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1497CD94" w14:textId="77777777" w:rsidTr="000F2BC3">
        <w:tc>
          <w:tcPr>
            <w:tcW w:w="0" w:type="auto"/>
          </w:tcPr>
          <w:p w14:paraId="43B1C51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LABA+ICS</w:t>
            </w:r>
          </w:p>
        </w:tc>
        <w:tc>
          <w:tcPr>
            <w:tcW w:w="0" w:type="auto"/>
          </w:tcPr>
          <w:p w14:paraId="15E2344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135 (10.4%) [IC95% 8.9–12.2]</w:t>
            </w:r>
          </w:p>
        </w:tc>
        <w:tc>
          <w:tcPr>
            <w:tcW w:w="0" w:type="auto"/>
          </w:tcPr>
          <w:p w14:paraId="21FD7C5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34F965FC"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EB6748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Triple</w:t>
            </w:r>
          </w:p>
        </w:tc>
        <w:tc>
          <w:tcPr>
            <w:tcW w:w="0" w:type="auto"/>
          </w:tcPr>
          <w:p w14:paraId="58A1C0C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573 (44.2%) [IC95% 41.5–46.9]</w:t>
            </w:r>
          </w:p>
        </w:tc>
        <w:tc>
          <w:tcPr>
            <w:tcW w:w="0" w:type="auto"/>
          </w:tcPr>
          <w:p w14:paraId="506E5D2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1296</w:t>
            </w:r>
          </w:p>
        </w:tc>
      </w:tr>
      <w:tr w:rsidR="00613364" w:rsidRPr="000F2BC3" w14:paraId="1C3CCE81" w14:textId="77777777" w:rsidTr="000F2BC3">
        <w:tc>
          <w:tcPr>
            <w:tcW w:w="0" w:type="auto"/>
          </w:tcPr>
          <w:p w14:paraId="5ECA37D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Concomitant cardiovascular treatment</w:t>
            </w:r>
          </w:p>
        </w:tc>
        <w:tc>
          <w:tcPr>
            <w:tcW w:w="0" w:type="auto"/>
          </w:tcPr>
          <w:p w14:paraId="0ECCC491"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609DAE83"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59CAD6AC"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3CAE87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IECA/ARA-II</w:t>
            </w:r>
          </w:p>
        </w:tc>
        <w:tc>
          <w:tcPr>
            <w:tcW w:w="0" w:type="auto"/>
          </w:tcPr>
          <w:p w14:paraId="7A448FD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673 (52.0%) [IC95% 49.3–54.8]</w:t>
            </w:r>
          </w:p>
        </w:tc>
        <w:tc>
          <w:tcPr>
            <w:tcW w:w="0" w:type="auto"/>
          </w:tcPr>
          <w:p w14:paraId="334E316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1293</w:t>
            </w:r>
          </w:p>
        </w:tc>
      </w:tr>
      <w:tr w:rsidR="00613364" w:rsidRPr="000F2BC3" w14:paraId="53F57429" w14:textId="77777777" w:rsidTr="000F2BC3">
        <w:tc>
          <w:tcPr>
            <w:tcW w:w="0" w:type="auto"/>
          </w:tcPr>
          <w:p w14:paraId="559A678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Beta-blockers</w:t>
            </w:r>
          </w:p>
        </w:tc>
        <w:tc>
          <w:tcPr>
            <w:tcW w:w="0" w:type="auto"/>
          </w:tcPr>
          <w:p w14:paraId="1F82F7E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268 (20.7%) [IC95% 18.6–23.0]</w:t>
            </w:r>
          </w:p>
        </w:tc>
        <w:tc>
          <w:tcPr>
            <w:tcW w:w="0" w:type="auto"/>
          </w:tcPr>
          <w:p w14:paraId="7E6DC39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1293</w:t>
            </w:r>
          </w:p>
        </w:tc>
      </w:tr>
      <w:tr w:rsidR="00613364" w:rsidRPr="000F2BC3" w14:paraId="0B09ED0A"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A762FE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Acetylsalicylic acid</w:t>
            </w:r>
          </w:p>
        </w:tc>
        <w:tc>
          <w:tcPr>
            <w:tcW w:w="0" w:type="auto"/>
          </w:tcPr>
          <w:p w14:paraId="7319413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257 (19.9%) [IC95% 17.8–22.2]</w:t>
            </w:r>
          </w:p>
        </w:tc>
        <w:tc>
          <w:tcPr>
            <w:tcW w:w="0" w:type="auto"/>
          </w:tcPr>
          <w:p w14:paraId="2AE76B3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1292</w:t>
            </w:r>
          </w:p>
        </w:tc>
      </w:tr>
      <w:tr w:rsidR="00613364" w:rsidRPr="000F2BC3" w14:paraId="45C0C4AA" w14:textId="77777777" w:rsidTr="000F2BC3">
        <w:tc>
          <w:tcPr>
            <w:tcW w:w="0" w:type="auto"/>
          </w:tcPr>
          <w:p w14:paraId="16D73F0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Anticoagulants</w:t>
            </w:r>
          </w:p>
        </w:tc>
        <w:tc>
          <w:tcPr>
            <w:tcW w:w="0" w:type="auto"/>
          </w:tcPr>
          <w:p w14:paraId="5A98967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207 (16.0%) [IC95% 14.1–18.1]</w:t>
            </w:r>
          </w:p>
        </w:tc>
        <w:tc>
          <w:tcPr>
            <w:tcW w:w="0" w:type="auto"/>
          </w:tcPr>
          <w:p w14:paraId="2AD197F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1293</w:t>
            </w:r>
          </w:p>
        </w:tc>
      </w:tr>
      <w:tr w:rsidR="00613364" w:rsidRPr="000F2BC3" w14:paraId="645EDA28"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F457BF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iSGLT2</w:t>
            </w:r>
          </w:p>
        </w:tc>
        <w:tc>
          <w:tcPr>
            <w:tcW w:w="0" w:type="auto"/>
          </w:tcPr>
          <w:p w14:paraId="77B23E4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297 (23.0%) [IC95% 20.8–25.4]</w:t>
            </w:r>
          </w:p>
        </w:tc>
        <w:tc>
          <w:tcPr>
            <w:tcW w:w="0" w:type="auto"/>
          </w:tcPr>
          <w:p w14:paraId="0C0CDBF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1292</w:t>
            </w:r>
          </w:p>
        </w:tc>
      </w:tr>
      <w:tr w:rsidR="00613364" w:rsidRPr="000F2BC3" w14:paraId="6A7ED0E0" w14:textId="77777777" w:rsidTr="000F2BC3">
        <w:tc>
          <w:tcPr>
            <w:tcW w:w="0" w:type="auto"/>
          </w:tcPr>
          <w:p w14:paraId="25E42B6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proofErr w:type="spellStart"/>
            <w:r w:rsidRPr="000F2BC3">
              <w:rPr>
                <w:rFonts w:asciiTheme="majorHAnsi" w:eastAsia="Calibri" w:hAnsiTheme="majorHAnsi" w:cstheme="majorHAnsi"/>
                <w:color w:val="000000" w:themeColor="text1"/>
                <w:sz w:val="16"/>
                <w:szCs w:val="16"/>
              </w:rPr>
              <w:t>Sacubitrilo</w:t>
            </w:r>
            <w:proofErr w:type="spellEnd"/>
            <w:r w:rsidRPr="000F2BC3">
              <w:rPr>
                <w:rFonts w:asciiTheme="majorHAnsi" w:eastAsia="Calibri" w:hAnsiTheme="majorHAnsi" w:cstheme="majorHAnsi"/>
                <w:color w:val="000000" w:themeColor="text1"/>
                <w:sz w:val="16"/>
                <w:szCs w:val="16"/>
              </w:rPr>
              <w:t>/</w:t>
            </w:r>
            <w:proofErr w:type="spellStart"/>
            <w:r w:rsidRPr="000F2BC3">
              <w:rPr>
                <w:rFonts w:asciiTheme="majorHAnsi" w:eastAsia="Calibri" w:hAnsiTheme="majorHAnsi" w:cstheme="majorHAnsi"/>
                <w:color w:val="000000" w:themeColor="text1"/>
                <w:sz w:val="16"/>
                <w:szCs w:val="16"/>
              </w:rPr>
              <w:t>valsartán</w:t>
            </w:r>
            <w:proofErr w:type="spellEnd"/>
          </w:p>
        </w:tc>
        <w:tc>
          <w:tcPr>
            <w:tcW w:w="0" w:type="auto"/>
          </w:tcPr>
          <w:p w14:paraId="3D62572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75 (5.8%) [IC95% 4.7–7.2]</w:t>
            </w:r>
          </w:p>
        </w:tc>
        <w:tc>
          <w:tcPr>
            <w:tcW w:w="0" w:type="auto"/>
          </w:tcPr>
          <w:p w14:paraId="00B63E4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1292</w:t>
            </w:r>
          </w:p>
        </w:tc>
      </w:tr>
      <w:tr w:rsidR="00613364" w:rsidRPr="000F2BC3" w14:paraId="716E848E"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E2000F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Vaccinations</w:t>
            </w:r>
          </w:p>
        </w:tc>
        <w:tc>
          <w:tcPr>
            <w:tcW w:w="0" w:type="auto"/>
          </w:tcPr>
          <w:p w14:paraId="4CD2A028"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c>
          <w:tcPr>
            <w:tcW w:w="0" w:type="auto"/>
          </w:tcPr>
          <w:p w14:paraId="47570BDA" w14:textId="77777777" w:rsidR="00613364" w:rsidRPr="000F2BC3" w:rsidRDefault="00613364"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p>
        </w:tc>
      </w:tr>
      <w:tr w:rsidR="00613364" w:rsidRPr="000F2BC3" w14:paraId="2CFA0685" w14:textId="77777777" w:rsidTr="000F2BC3">
        <w:tc>
          <w:tcPr>
            <w:tcW w:w="0" w:type="auto"/>
          </w:tcPr>
          <w:p w14:paraId="37E03E0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Influenza</w:t>
            </w:r>
          </w:p>
        </w:tc>
        <w:tc>
          <w:tcPr>
            <w:tcW w:w="0" w:type="auto"/>
          </w:tcPr>
          <w:p w14:paraId="30B8C24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1081 (83.7%) [IC95% 81.6–85.6]</w:t>
            </w:r>
          </w:p>
        </w:tc>
        <w:tc>
          <w:tcPr>
            <w:tcW w:w="0" w:type="auto"/>
          </w:tcPr>
          <w:p w14:paraId="3B00E91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1291</w:t>
            </w:r>
          </w:p>
        </w:tc>
      </w:tr>
      <w:tr w:rsidR="00613364" w:rsidRPr="000F2BC3" w14:paraId="27B36ED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ED8F1E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Pneumococcal</w:t>
            </w:r>
          </w:p>
        </w:tc>
        <w:tc>
          <w:tcPr>
            <w:tcW w:w="0" w:type="auto"/>
          </w:tcPr>
          <w:p w14:paraId="33C4559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970 (75.0%) [IC95% 72.5–77.2]</w:t>
            </w:r>
          </w:p>
        </w:tc>
        <w:tc>
          <w:tcPr>
            <w:tcW w:w="0" w:type="auto"/>
          </w:tcPr>
          <w:p w14:paraId="0E13C68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1294</w:t>
            </w:r>
          </w:p>
        </w:tc>
      </w:tr>
      <w:tr w:rsidR="00613364" w:rsidRPr="000F2BC3" w14:paraId="4B353612" w14:textId="77777777" w:rsidTr="000F2BC3">
        <w:tc>
          <w:tcPr>
            <w:tcW w:w="0" w:type="auto"/>
          </w:tcPr>
          <w:p w14:paraId="29AF695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COVID-19</w:t>
            </w:r>
          </w:p>
        </w:tc>
        <w:tc>
          <w:tcPr>
            <w:tcW w:w="0" w:type="auto"/>
          </w:tcPr>
          <w:p w14:paraId="4968525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1110 (85.8%) [IC95% 83.8–87.6]</w:t>
            </w:r>
          </w:p>
        </w:tc>
        <w:tc>
          <w:tcPr>
            <w:tcW w:w="0" w:type="auto"/>
          </w:tcPr>
          <w:p w14:paraId="422CC95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1293</w:t>
            </w:r>
          </w:p>
        </w:tc>
      </w:tr>
      <w:tr w:rsidR="00613364" w:rsidRPr="000F2BC3" w14:paraId="1A33840D"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5368291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Herpes zoster</w:t>
            </w:r>
          </w:p>
        </w:tc>
        <w:tc>
          <w:tcPr>
            <w:tcW w:w="0" w:type="auto"/>
          </w:tcPr>
          <w:p w14:paraId="5DFDBF1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417 (32.3%) [IC95% 29.8–34.8]</w:t>
            </w:r>
          </w:p>
        </w:tc>
        <w:tc>
          <w:tcPr>
            <w:tcW w:w="0" w:type="auto"/>
          </w:tcPr>
          <w:p w14:paraId="6A9967E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1293</w:t>
            </w:r>
          </w:p>
        </w:tc>
      </w:tr>
    </w:tbl>
    <w:p w14:paraId="55690DB5"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55DA19E" w14:textId="5054846C"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S5. Documented diagnosis by phenotype</w:t>
      </w:r>
    </w:p>
    <w:p w14:paraId="340DFB6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Overall documented diagnosis was 88.4%, with no differences between phenotypes (χ², p=0.32). Overall percentages are the weighted mean of the phenotype rows. Spirometric confirmation at the centre itself (32.9% overall) did differ by phenotype (χ², p&lt;0.001), being lower in exacerbators (23.8%) than in non-exacerbators (37.0%).</w:t>
      </w:r>
    </w:p>
    <w:p w14:paraId="1772391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S5-1. Documented diagnosis by phenotype. p=0.32 (χ²)</w:t>
      </w:r>
    </w:p>
    <w:tbl>
      <w:tblPr>
        <w:tblStyle w:val="Tabladelista2"/>
        <w:tblW w:w="4250" w:type="pct"/>
        <w:tblLook w:val="0420" w:firstRow="1" w:lastRow="0" w:firstColumn="0" w:lastColumn="0" w:noHBand="0" w:noVBand="1"/>
      </w:tblPr>
      <w:tblGrid>
        <w:gridCol w:w="4631"/>
        <w:gridCol w:w="1097"/>
        <w:gridCol w:w="1978"/>
      </w:tblGrid>
      <w:tr w:rsidR="00613364" w:rsidRPr="000F2BC3" w14:paraId="58C5D684"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14051AA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22DD00D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w:t>
            </w:r>
          </w:p>
        </w:tc>
        <w:tc>
          <w:tcPr>
            <w:tcW w:w="0" w:type="auto"/>
          </w:tcPr>
          <w:p w14:paraId="137709F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Correct</w:t>
            </w:r>
            <w:r w:rsidRPr="000F2BC3">
              <w:rPr>
                <w:rFonts w:asciiTheme="majorHAnsi" w:eastAsia="Calibri" w:hAnsiTheme="majorHAnsi" w:cstheme="majorHAnsi"/>
                <w:color w:val="000000" w:themeColor="text1"/>
                <w:sz w:val="16"/>
                <w:szCs w:val="16"/>
              </w:rPr>
              <w:br/>
              <w:t>diagnosis</w:t>
            </w:r>
          </w:p>
        </w:tc>
      </w:tr>
      <w:tr w:rsidR="00613364" w:rsidRPr="000F2BC3" w14:paraId="55895E5D"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38C36FF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3CABA47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189</w:t>
            </w:r>
          </w:p>
        </w:tc>
        <w:tc>
          <w:tcPr>
            <w:tcW w:w="0" w:type="auto"/>
          </w:tcPr>
          <w:p w14:paraId="1FD1FAA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164 (87%)</w:t>
            </w:r>
          </w:p>
        </w:tc>
      </w:tr>
      <w:tr w:rsidR="00613364" w:rsidRPr="000F2BC3" w14:paraId="0A409574" w14:textId="77777777" w:rsidTr="000F2BC3">
        <w:tc>
          <w:tcPr>
            <w:tcW w:w="0" w:type="auto"/>
          </w:tcPr>
          <w:p w14:paraId="11F5E82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21D72BB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194</w:t>
            </w:r>
          </w:p>
        </w:tc>
        <w:tc>
          <w:tcPr>
            <w:tcW w:w="0" w:type="auto"/>
          </w:tcPr>
          <w:p w14:paraId="56B5746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179 (92%)</w:t>
            </w:r>
          </w:p>
        </w:tc>
      </w:tr>
      <w:tr w:rsidR="00613364" w:rsidRPr="000F2BC3" w14:paraId="55EFA938"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AB22F6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50D2297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24</w:t>
            </w:r>
          </w:p>
        </w:tc>
        <w:tc>
          <w:tcPr>
            <w:tcW w:w="0" w:type="auto"/>
          </w:tcPr>
          <w:p w14:paraId="298E5F6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 (79%)</w:t>
            </w:r>
          </w:p>
        </w:tc>
      </w:tr>
      <w:tr w:rsidR="00613364" w:rsidRPr="000F2BC3" w14:paraId="108891C1" w14:textId="77777777" w:rsidTr="000F2BC3">
        <w:tc>
          <w:tcPr>
            <w:tcW w:w="0" w:type="auto"/>
          </w:tcPr>
          <w:p w14:paraId="663BB44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1B7F764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291</w:t>
            </w:r>
          </w:p>
        </w:tc>
        <w:tc>
          <w:tcPr>
            <w:tcW w:w="0" w:type="auto"/>
          </w:tcPr>
          <w:p w14:paraId="03E8AED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259 (89%)</w:t>
            </w:r>
          </w:p>
        </w:tc>
      </w:tr>
      <w:tr w:rsidR="00613364" w:rsidRPr="000F2BC3" w14:paraId="1CA613BB"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24C413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226E223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528</w:t>
            </w:r>
          </w:p>
        </w:tc>
        <w:tc>
          <w:tcPr>
            <w:tcW w:w="0" w:type="auto"/>
          </w:tcPr>
          <w:p w14:paraId="76224B0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462 (88%)</w:t>
            </w:r>
          </w:p>
        </w:tc>
      </w:tr>
      <w:tr w:rsidR="00613364" w:rsidRPr="000F2BC3" w14:paraId="5F06627B" w14:textId="77777777" w:rsidTr="000F2BC3">
        <w:tc>
          <w:tcPr>
            <w:tcW w:w="0" w:type="auto"/>
          </w:tcPr>
          <w:p w14:paraId="2A4FB6E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4F28070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72</w:t>
            </w:r>
          </w:p>
        </w:tc>
        <w:tc>
          <w:tcPr>
            <w:tcW w:w="0" w:type="auto"/>
          </w:tcPr>
          <w:p w14:paraId="4DA21B8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64 (89%)</w:t>
            </w:r>
          </w:p>
        </w:tc>
      </w:tr>
      <w:tr w:rsidR="00613364" w:rsidRPr="000F2BC3" w14:paraId="60D761F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2FCE61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OVERALL</w:t>
            </w:r>
          </w:p>
        </w:tc>
        <w:tc>
          <w:tcPr>
            <w:tcW w:w="0" w:type="auto"/>
          </w:tcPr>
          <w:p w14:paraId="0B14FA2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c>
          <w:tcPr>
            <w:tcW w:w="0" w:type="auto"/>
          </w:tcPr>
          <w:p w14:paraId="3ECD30D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1,147 (88.4%)</w:t>
            </w:r>
          </w:p>
        </w:tc>
      </w:tr>
    </w:tbl>
    <w:p w14:paraId="41D589C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S5-2. Spirometry at the centre itself by phenotype. p&lt;0.001 (χ²)</w:t>
      </w:r>
    </w:p>
    <w:tbl>
      <w:tblPr>
        <w:tblStyle w:val="Tabladelista2"/>
        <w:tblW w:w="4250" w:type="pct"/>
        <w:tblLook w:val="0420" w:firstRow="1" w:lastRow="0" w:firstColumn="0" w:lastColumn="0" w:noHBand="0" w:noVBand="1"/>
      </w:tblPr>
      <w:tblGrid>
        <w:gridCol w:w="4672"/>
        <w:gridCol w:w="1107"/>
        <w:gridCol w:w="1927"/>
      </w:tblGrid>
      <w:tr w:rsidR="00613364" w:rsidRPr="000F2BC3" w14:paraId="4A3760FE"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38149E9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0A140EC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w:t>
            </w:r>
          </w:p>
        </w:tc>
        <w:tc>
          <w:tcPr>
            <w:tcW w:w="0" w:type="auto"/>
          </w:tcPr>
          <w:p w14:paraId="3E8688B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Spirometry</w:t>
            </w:r>
            <w:r w:rsidRPr="000F2BC3">
              <w:rPr>
                <w:rFonts w:asciiTheme="majorHAnsi" w:eastAsia="Calibri" w:hAnsiTheme="majorHAnsi" w:cstheme="majorHAnsi"/>
                <w:color w:val="000000" w:themeColor="text1"/>
                <w:sz w:val="16"/>
                <w:szCs w:val="16"/>
              </w:rPr>
              <w:br/>
              <w:t>at the centre</w:t>
            </w:r>
          </w:p>
        </w:tc>
      </w:tr>
      <w:tr w:rsidR="00613364" w:rsidRPr="000F2BC3" w14:paraId="09C868D8"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990D6E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5492161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189</w:t>
            </w:r>
          </w:p>
        </w:tc>
        <w:tc>
          <w:tcPr>
            <w:tcW w:w="0" w:type="auto"/>
          </w:tcPr>
          <w:p w14:paraId="036661F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39 (21%)</w:t>
            </w:r>
          </w:p>
        </w:tc>
      </w:tr>
      <w:tr w:rsidR="00613364" w:rsidRPr="000F2BC3" w14:paraId="682836A2" w14:textId="77777777" w:rsidTr="000F2BC3">
        <w:tc>
          <w:tcPr>
            <w:tcW w:w="0" w:type="auto"/>
          </w:tcPr>
          <w:p w14:paraId="686AD77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65D90ED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194</w:t>
            </w:r>
          </w:p>
        </w:tc>
        <w:tc>
          <w:tcPr>
            <w:tcW w:w="0" w:type="auto"/>
          </w:tcPr>
          <w:p w14:paraId="531BAF7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56 (29%)</w:t>
            </w:r>
          </w:p>
        </w:tc>
      </w:tr>
      <w:tr w:rsidR="00613364" w:rsidRPr="000F2BC3" w14:paraId="71F071CB"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9C4D81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3FA2D22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24</w:t>
            </w:r>
          </w:p>
        </w:tc>
        <w:tc>
          <w:tcPr>
            <w:tcW w:w="0" w:type="auto"/>
          </w:tcPr>
          <w:p w14:paraId="64642BC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 (8%)</w:t>
            </w:r>
          </w:p>
        </w:tc>
      </w:tr>
      <w:tr w:rsidR="00613364" w:rsidRPr="000F2BC3" w14:paraId="552E6DDB" w14:textId="77777777" w:rsidTr="000F2BC3">
        <w:tc>
          <w:tcPr>
            <w:tcW w:w="0" w:type="auto"/>
          </w:tcPr>
          <w:p w14:paraId="304A664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3143142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291</w:t>
            </w:r>
          </w:p>
        </w:tc>
        <w:tc>
          <w:tcPr>
            <w:tcW w:w="0" w:type="auto"/>
          </w:tcPr>
          <w:p w14:paraId="7568EBE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94 (32%)</w:t>
            </w:r>
          </w:p>
        </w:tc>
      </w:tr>
      <w:tr w:rsidR="00613364" w:rsidRPr="000F2BC3" w14:paraId="30EC34B1"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7139574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3FD62E2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528</w:t>
            </w:r>
          </w:p>
        </w:tc>
        <w:tc>
          <w:tcPr>
            <w:tcW w:w="0" w:type="auto"/>
          </w:tcPr>
          <w:p w14:paraId="16B4CB6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215 (41%)</w:t>
            </w:r>
          </w:p>
        </w:tc>
      </w:tr>
      <w:tr w:rsidR="00613364" w:rsidRPr="000F2BC3" w14:paraId="3C2C7C65" w14:textId="77777777" w:rsidTr="000F2BC3">
        <w:tc>
          <w:tcPr>
            <w:tcW w:w="0" w:type="auto"/>
          </w:tcPr>
          <w:p w14:paraId="70AE30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65990BD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72</w:t>
            </w:r>
          </w:p>
        </w:tc>
        <w:tc>
          <w:tcPr>
            <w:tcW w:w="0" w:type="auto"/>
          </w:tcPr>
          <w:p w14:paraId="3B68BD2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21 (29%)</w:t>
            </w:r>
          </w:p>
        </w:tc>
      </w:tr>
      <w:tr w:rsidR="00613364" w:rsidRPr="000F2BC3" w14:paraId="2595F40C"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1AD0DA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OVERALL</w:t>
            </w:r>
          </w:p>
        </w:tc>
        <w:tc>
          <w:tcPr>
            <w:tcW w:w="0" w:type="auto"/>
          </w:tcPr>
          <w:p w14:paraId="36F0924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1,298</w:t>
            </w:r>
          </w:p>
        </w:tc>
        <w:tc>
          <w:tcPr>
            <w:tcW w:w="0" w:type="auto"/>
          </w:tcPr>
          <w:p w14:paraId="4628C83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427 (32.9%)</w:t>
            </w:r>
          </w:p>
        </w:tc>
      </w:tr>
    </w:tbl>
    <w:p w14:paraId="2E973C26"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F384184"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43CAFA5"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21A8E839"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20DC8EF"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952F55C"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4C032D3" w14:textId="75E2653E"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S6. Inhaled treatments prescribed by phenotype</w:t>
      </w:r>
    </w:p>
    <w:p w14:paraId="5C6A808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 xml:space="preserve">Significant differences were found in the inhaled-treatment pattern between phenotypes (overall χ² across the six phenotypes, p&lt;0.001). Triple therapy differed between phenotypes (χ², p&lt;0.001): highest in </w:t>
      </w:r>
      <w:proofErr w:type="spellStart"/>
      <w:r w:rsidRPr="000F2BC3">
        <w:rPr>
          <w:rFonts w:asciiTheme="majorHAnsi" w:eastAsia="Arial" w:hAnsiTheme="majorHAnsi" w:cstheme="majorHAnsi"/>
          <w:color w:val="000000" w:themeColor="text1"/>
          <w:sz w:val="22"/>
          <w:szCs w:val="22"/>
        </w:rPr>
        <w:t>exacerbator·CVD</w:t>
      </w:r>
      <w:proofErr w:type="spellEnd"/>
      <w:r w:rsidRPr="000F2BC3">
        <w:rPr>
          <w:rFonts w:asciiTheme="majorHAnsi" w:eastAsia="Arial" w:hAnsiTheme="majorHAnsi" w:cstheme="majorHAnsi"/>
          <w:color w:val="000000" w:themeColor="text1"/>
          <w:sz w:val="22"/>
          <w:szCs w:val="22"/>
        </w:rPr>
        <w:t xml:space="preserve"> (68.8%) and lowest in non-exacerbator·low/moderate risk (26.8%). Descriptive contrast: the pattern follows the gradient of severity and exacerbation, not an eosinophil-based indication.</w:t>
      </w:r>
    </w:p>
    <w:tbl>
      <w:tblPr>
        <w:tblStyle w:val="Tabladelista2"/>
        <w:tblW w:w="5000" w:type="pct"/>
        <w:tblLook w:val="0420" w:firstRow="1" w:lastRow="0" w:firstColumn="0" w:lastColumn="0" w:noHBand="0" w:noVBand="1"/>
      </w:tblPr>
      <w:tblGrid>
        <w:gridCol w:w="2922"/>
        <w:gridCol w:w="1260"/>
        <w:gridCol w:w="909"/>
        <w:gridCol w:w="824"/>
        <w:gridCol w:w="1182"/>
        <w:gridCol w:w="974"/>
        <w:gridCol w:w="995"/>
      </w:tblGrid>
      <w:tr w:rsidR="00613364" w:rsidRPr="000F2BC3" w14:paraId="29A0A340"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7CD2680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2EEDC75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No treatment</w:t>
            </w:r>
          </w:p>
        </w:tc>
        <w:tc>
          <w:tcPr>
            <w:tcW w:w="0" w:type="auto"/>
          </w:tcPr>
          <w:p w14:paraId="7304EC3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LAMA</w:t>
            </w:r>
          </w:p>
        </w:tc>
        <w:tc>
          <w:tcPr>
            <w:tcW w:w="0" w:type="auto"/>
          </w:tcPr>
          <w:p w14:paraId="1EE68F6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LABA</w:t>
            </w:r>
          </w:p>
        </w:tc>
        <w:tc>
          <w:tcPr>
            <w:tcW w:w="0" w:type="auto"/>
          </w:tcPr>
          <w:p w14:paraId="0E18870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LABA+LAMA</w:t>
            </w:r>
          </w:p>
        </w:tc>
        <w:tc>
          <w:tcPr>
            <w:tcW w:w="0" w:type="auto"/>
          </w:tcPr>
          <w:p w14:paraId="5E01409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LABA+ICS</w:t>
            </w:r>
          </w:p>
        </w:tc>
        <w:tc>
          <w:tcPr>
            <w:tcW w:w="0" w:type="auto"/>
          </w:tcPr>
          <w:p w14:paraId="7117659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Triple</w:t>
            </w:r>
          </w:p>
        </w:tc>
      </w:tr>
      <w:tr w:rsidR="00613364" w:rsidRPr="000F2BC3" w14:paraId="0B58D187"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2A3A8D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2B910AB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  (3)</w:t>
            </w:r>
          </w:p>
        </w:tc>
        <w:tc>
          <w:tcPr>
            <w:tcW w:w="0" w:type="auto"/>
          </w:tcPr>
          <w:p w14:paraId="7655A4D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  (9)</w:t>
            </w:r>
          </w:p>
        </w:tc>
        <w:tc>
          <w:tcPr>
            <w:tcW w:w="0" w:type="auto"/>
          </w:tcPr>
          <w:p w14:paraId="4EA19E1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  (5)</w:t>
            </w:r>
          </w:p>
        </w:tc>
        <w:tc>
          <w:tcPr>
            <w:tcW w:w="0" w:type="auto"/>
          </w:tcPr>
          <w:p w14:paraId="293A342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  (33)</w:t>
            </w:r>
          </w:p>
        </w:tc>
        <w:tc>
          <w:tcPr>
            <w:tcW w:w="0" w:type="auto"/>
          </w:tcPr>
          <w:p w14:paraId="38F0135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  (9)</w:t>
            </w:r>
          </w:p>
        </w:tc>
        <w:tc>
          <w:tcPr>
            <w:tcW w:w="0" w:type="auto"/>
          </w:tcPr>
          <w:p w14:paraId="6D23A40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69% (130)</w:t>
            </w:r>
          </w:p>
        </w:tc>
      </w:tr>
      <w:tr w:rsidR="00613364" w:rsidRPr="000F2BC3" w14:paraId="500C6302" w14:textId="77777777" w:rsidTr="000F2BC3">
        <w:tc>
          <w:tcPr>
            <w:tcW w:w="0" w:type="auto"/>
          </w:tcPr>
          <w:p w14:paraId="696ADCD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43A80CA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  (6)</w:t>
            </w:r>
          </w:p>
        </w:tc>
        <w:tc>
          <w:tcPr>
            <w:tcW w:w="0" w:type="auto"/>
          </w:tcPr>
          <w:p w14:paraId="20FA8B5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 (10)</w:t>
            </w:r>
          </w:p>
        </w:tc>
        <w:tc>
          <w:tcPr>
            <w:tcW w:w="0" w:type="auto"/>
          </w:tcPr>
          <w:p w14:paraId="46C010D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  (3)</w:t>
            </w:r>
          </w:p>
        </w:tc>
        <w:tc>
          <w:tcPr>
            <w:tcW w:w="0" w:type="auto"/>
          </w:tcPr>
          <w:p w14:paraId="51532DE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  (37)</w:t>
            </w:r>
          </w:p>
        </w:tc>
        <w:tc>
          <w:tcPr>
            <w:tcW w:w="0" w:type="auto"/>
          </w:tcPr>
          <w:p w14:paraId="7F158F7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 (18)</w:t>
            </w:r>
          </w:p>
        </w:tc>
        <w:tc>
          <w:tcPr>
            <w:tcW w:w="0" w:type="auto"/>
          </w:tcPr>
          <w:p w14:paraId="792D0B0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62% (121)</w:t>
            </w:r>
          </w:p>
        </w:tc>
      </w:tr>
      <w:tr w:rsidR="00613364" w:rsidRPr="000F2BC3" w14:paraId="78697BD5"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63F136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3CD726F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  (0)</w:t>
            </w:r>
          </w:p>
        </w:tc>
        <w:tc>
          <w:tcPr>
            <w:tcW w:w="0" w:type="auto"/>
          </w:tcPr>
          <w:p w14:paraId="24FD8F9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8%  (2)</w:t>
            </w:r>
          </w:p>
        </w:tc>
        <w:tc>
          <w:tcPr>
            <w:tcW w:w="0" w:type="auto"/>
          </w:tcPr>
          <w:p w14:paraId="2E7A7BD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  (0)</w:t>
            </w:r>
          </w:p>
        </w:tc>
        <w:tc>
          <w:tcPr>
            <w:tcW w:w="0" w:type="auto"/>
          </w:tcPr>
          <w:p w14:paraId="2BEE5EE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   (4)</w:t>
            </w:r>
          </w:p>
        </w:tc>
        <w:tc>
          <w:tcPr>
            <w:tcW w:w="0" w:type="auto"/>
          </w:tcPr>
          <w:p w14:paraId="72BB44F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8%  (2)</w:t>
            </w:r>
          </w:p>
        </w:tc>
        <w:tc>
          <w:tcPr>
            <w:tcW w:w="0" w:type="auto"/>
          </w:tcPr>
          <w:p w14:paraId="1551A66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67%  (16)</w:t>
            </w:r>
          </w:p>
        </w:tc>
      </w:tr>
      <w:tr w:rsidR="00613364" w:rsidRPr="000F2BC3" w14:paraId="72165135" w14:textId="77777777" w:rsidTr="000F2BC3">
        <w:tc>
          <w:tcPr>
            <w:tcW w:w="0" w:type="auto"/>
          </w:tcPr>
          <w:p w14:paraId="01C07FF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50FAA5B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8% (24)</w:t>
            </w:r>
          </w:p>
        </w:tc>
        <w:tc>
          <w:tcPr>
            <w:tcW w:w="0" w:type="auto"/>
          </w:tcPr>
          <w:p w14:paraId="3AB415A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 (31)</w:t>
            </w:r>
          </w:p>
        </w:tc>
        <w:tc>
          <w:tcPr>
            <w:tcW w:w="0" w:type="auto"/>
          </w:tcPr>
          <w:p w14:paraId="29B0878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(3)</w:t>
            </w:r>
          </w:p>
        </w:tc>
        <w:tc>
          <w:tcPr>
            <w:tcW w:w="0" w:type="auto"/>
          </w:tcPr>
          <w:p w14:paraId="744C45A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  (84)</w:t>
            </w:r>
          </w:p>
        </w:tc>
        <w:tc>
          <w:tcPr>
            <w:tcW w:w="0" w:type="auto"/>
          </w:tcPr>
          <w:p w14:paraId="2D18B19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 (27)</w:t>
            </w:r>
          </w:p>
        </w:tc>
        <w:tc>
          <w:tcPr>
            <w:tcW w:w="0" w:type="auto"/>
          </w:tcPr>
          <w:p w14:paraId="2761E83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42% (122)</w:t>
            </w:r>
          </w:p>
        </w:tc>
      </w:tr>
      <w:tr w:rsidR="00613364" w:rsidRPr="000F2BC3" w14:paraId="3949ED1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5D36462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062F2A2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 (53)</w:t>
            </w:r>
          </w:p>
        </w:tc>
        <w:tc>
          <w:tcPr>
            <w:tcW w:w="0" w:type="auto"/>
          </w:tcPr>
          <w:p w14:paraId="5A70F30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 (58)</w:t>
            </w:r>
          </w:p>
        </w:tc>
        <w:tc>
          <w:tcPr>
            <w:tcW w:w="0" w:type="auto"/>
          </w:tcPr>
          <w:p w14:paraId="3A28641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 (15)</w:t>
            </w:r>
          </w:p>
        </w:tc>
        <w:tc>
          <w:tcPr>
            <w:tcW w:w="0" w:type="auto"/>
          </w:tcPr>
          <w:p w14:paraId="3A943BD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31% (164)</w:t>
            </w:r>
          </w:p>
        </w:tc>
        <w:tc>
          <w:tcPr>
            <w:tcW w:w="0" w:type="auto"/>
          </w:tcPr>
          <w:p w14:paraId="63C97D0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13% (71)</w:t>
            </w:r>
          </w:p>
        </w:tc>
        <w:tc>
          <w:tcPr>
            <w:tcW w:w="0" w:type="auto"/>
          </w:tcPr>
          <w:p w14:paraId="43CD628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31% (165)</w:t>
            </w:r>
          </w:p>
        </w:tc>
      </w:tr>
      <w:tr w:rsidR="00613364" w:rsidRPr="000F2BC3" w14:paraId="4BFFCCF5" w14:textId="77777777" w:rsidTr="000F2BC3">
        <w:tc>
          <w:tcPr>
            <w:tcW w:w="0" w:type="auto"/>
          </w:tcPr>
          <w:p w14:paraId="6418BA6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23B5079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14% (10)</w:t>
            </w:r>
          </w:p>
        </w:tc>
        <w:tc>
          <w:tcPr>
            <w:tcW w:w="0" w:type="auto"/>
          </w:tcPr>
          <w:p w14:paraId="72F03E4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  (8)</w:t>
            </w:r>
          </w:p>
        </w:tc>
        <w:tc>
          <w:tcPr>
            <w:tcW w:w="0" w:type="auto"/>
          </w:tcPr>
          <w:p w14:paraId="0593477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  (3)</w:t>
            </w:r>
          </w:p>
        </w:tc>
        <w:tc>
          <w:tcPr>
            <w:tcW w:w="0" w:type="auto"/>
          </w:tcPr>
          <w:p w14:paraId="7E29C0A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32%  (23)</w:t>
            </w:r>
          </w:p>
        </w:tc>
        <w:tc>
          <w:tcPr>
            <w:tcW w:w="0" w:type="auto"/>
          </w:tcPr>
          <w:p w14:paraId="22D09C6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  (8)</w:t>
            </w:r>
          </w:p>
        </w:tc>
        <w:tc>
          <w:tcPr>
            <w:tcW w:w="0" w:type="auto"/>
          </w:tcPr>
          <w:p w14:paraId="380C540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27%  (19)</w:t>
            </w:r>
          </w:p>
        </w:tc>
      </w:tr>
    </w:tbl>
    <w:p w14:paraId="2F66B2F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16"/>
          <w:szCs w:val="16"/>
        </w:rPr>
      </w:pPr>
      <w:r w:rsidRPr="000F2BC3">
        <w:rPr>
          <w:rFonts w:asciiTheme="majorHAnsi" w:eastAsia="Arial" w:hAnsiTheme="majorHAnsi" w:cstheme="majorHAnsi"/>
          <w:i/>
          <w:color w:val="000000" w:themeColor="text1"/>
          <w:sz w:val="16"/>
          <w:szCs w:val="16"/>
        </w:rPr>
        <w:t>Values are % (n) within each phenotype.</w:t>
      </w:r>
    </w:p>
    <w:p w14:paraId="4271B796"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D018A9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E68C210"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7E9A0751"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5458BA8"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6BAD724"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8781DCA"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0043598"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CEA6461"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0D368F8"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20CA3A8"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91CF195"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38FD64D" w14:textId="77777777" w:rsidR="000F2BC3" w:rsidRDefault="000F2BC3"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1ED618A" w14:textId="466CB606"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S7. Vaccination coverage, overall and by phenotype</w:t>
      </w:r>
    </w:p>
    <w:p w14:paraId="5AC3A58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color w:val="000000" w:themeColor="text1"/>
          <w:sz w:val="22"/>
          <w:szCs w:val="22"/>
        </w:rPr>
        <w:t>Overall vaccination coverage is shown in S4. Coverage by phenotype is presented here, overall and for each vaccine. For each vaccine the crude OR and the age-adjusted OR are given, taking the non-exacerbator / high cardiovascular-risk phenotype as reference (95% CI; statistical significance). The crude difference in influenza and pneumococcal vaccination disappears after adjustment for age; for COVID-19 and herpes zoster there are no differences.</w:t>
      </w:r>
    </w:p>
    <w:p w14:paraId="1EB10C7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S7-1. Overall vaccination coverage by phenotype</w:t>
      </w:r>
    </w:p>
    <w:tbl>
      <w:tblPr>
        <w:tblStyle w:val="Tabladelista2"/>
        <w:tblW w:w="5000" w:type="pct"/>
        <w:tblLook w:val="0420" w:firstRow="1" w:lastRow="0" w:firstColumn="0" w:lastColumn="0" w:noHBand="0" w:noVBand="1"/>
      </w:tblPr>
      <w:tblGrid>
        <w:gridCol w:w="3287"/>
        <w:gridCol w:w="636"/>
        <w:gridCol w:w="1120"/>
        <w:gridCol w:w="1479"/>
        <w:gridCol w:w="1120"/>
        <w:gridCol w:w="1424"/>
      </w:tblGrid>
      <w:tr w:rsidR="00613364" w:rsidRPr="000F2BC3" w14:paraId="5A8699E1"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09374F4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29EA074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w:t>
            </w:r>
          </w:p>
        </w:tc>
        <w:tc>
          <w:tcPr>
            <w:tcW w:w="0" w:type="auto"/>
          </w:tcPr>
          <w:p w14:paraId="1226F60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Influenza</w:t>
            </w:r>
          </w:p>
        </w:tc>
        <w:tc>
          <w:tcPr>
            <w:tcW w:w="0" w:type="auto"/>
          </w:tcPr>
          <w:p w14:paraId="7BB866D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Pneumococcal</w:t>
            </w:r>
          </w:p>
        </w:tc>
        <w:tc>
          <w:tcPr>
            <w:tcW w:w="0" w:type="auto"/>
          </w:tcPr>
          <w:p w14:paraId="6C4D53B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COVID-19</w:t>
            </w:r>
          </w:p>
        </w:tc>
        <w:tc>
          <w:tcPr>
            <w:tcW w:w="0" w:type="auto"/>
          </w:tcPr>
          <w:p w14:paraId="6D90793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Herpes zoster</w:t>
            </w:r>
          </w:p>
        </w:tc>
      </w:tr>
      <w:tr w:rsidR="00613364" w:rsidRPr="000F2BC3" w14:paraId="356BE8F3"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78CA2C6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7F17035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189</w:t>
            </w:r>
          </w:p>
        </w:tc>
        <w:tc>
          <w:tcPr>
            <w:tcW w:w="0" w:type="auto"/>
          </w:tcPr>
          <w:p w14:paraId="30E85E8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168 (90%)</w:t>
            </w:r>
          </w:p>
        </w:tc>
        <w:tc>
          <w:tcPr>
            <w:tcW w:w="0" w:type="auto"/>
          </w:tcPr>
          <w:p w14:paraId="5D800C6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157 (84%)</w:t>
            </w:r>
          </w:p>
        </w:tc>
        <w:tc>
          <w:tcPr>
            <w:tcW w:w="0" w:type="auto"/>
          </w:tcPr>
          <w:p w14:paraId="1467D82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164 (88%)</w:t>
            </w:r>
          </w:p>
        </w:tc>
        <w:tc>
          <w:tcPr>
            <w:tcW w:w="0" w:type="auto"/>
          </w:tcPr>
          <w:p w14:paraId="6EDD289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56 (30%)</w:t>
            </w:r>
          </w:p>
        </w:tc>
      </w:tr>
      <w:tr w:rsidR="00613364" w:rsidRPr="000F2BC3" w14:paraId="270364E9" w14:textId="77777777" w:rsidTr="000F2BC3">
        <w:tc>
          <w:tcPr>
            <w:tcW w:w="0" w:type="auto"/>
          </w:tcPr>
          <w:p w14:paraId="07D48AE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7FE22EA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195</w:t>
            </w:r>
          </w:p>
        </w:tc>
        <w:tc>
          <w:tcPr>
            <w:tcW w:w="0" w:type="auto"/>
          </w:tcPr>
          <w:p w14:paraId="2324182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167 (86%)</w:t>
            </w:r>
          </w:p>
        </w:tc>
        <w:tc>
          <w:tcPr>
            <w:tcW w:w="0" w:type="auto"/>
          </w:tcPr>
          <w:p w14:paraId="3AC0650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159 (82%)</w:t>
            </w:r>
          </w:p>
        </w:tc>
        <w:tc>
          <w:tcPr>
            <w:tcW w:w="0" w:type="auto"/>
          </w:tcPr>
          <w:p w14:paraId="01F02F2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166 (85%)</w:t>
            </w:r>
          </w:p>
        </w:tc>
        <w:tc>
          <w:tcPr>
            <w:tcW w:w="0" w:type="auto"/>
          </w:tcPr>
          <w:p w14:paraId="764DF02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70 (36%)</w:t>
            </w:r>
          </w:p>
        </w:tc>
      </w:tr>
      <w:tr w:rsidR="00613364" w:rsidRPr="000F2BC3" w14:paraId="1EB2157F"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48430D6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4F65B1D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24</w:t>
            </w:r>
          </w:p>
        </w:tc>
        <w:tc>
          <w:tcPr>
            <w:tcW w:w="0" w:type="auto"/>
          </w:tcPr>
          <w:p w14:paraId="0B651A6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21 (91%)</w:t>
            </w:r>
          </w:p>
        </w:tc>
        <w:tc>
          <w:tcPr>
            <w:tcW w:w="0" w:type="auto"/>
          </w:tcPr>
          <w:p w14:paraId="40B3380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 (70%)</w:t>
            </w:r>
          </w:p>
        </w:tc>
        <w:tc>
          <w:tcPr>
            <w:tcW w:w="0" w:type="auto"/>
          </w:tcPr>
          <w:p w14:paraId="3678AD5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 (83%)</w:t>
            </w:r>
          </w:p>
        </w:tc>
        <w:tc>
          <w:tcPr>
            <w:tcW w:w="0" w:type="auto"/>
          </w:tcPr>
          <w:p w14:paraId="4E9E01A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 (26%)</w:t>
            </w:r>
          </w:p>
        </w:tc>
      </w:tr>
      <w:tr w:rsidR="00613364" w:rsidRPr="000F2BC3" w14:paraId="5FD7A235" w14:textId="77777777" w:rsidTr="000F2BC3">
        <w:tc>
          <w:tcPr>
            <w:tcW w:w="0" w:type="auto"/>
          </w:tcPr>
          <w:p w14:paraId="30EF7AF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6E4CF0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292</w:t>
            </w:r>
          </w:p>
        </w:tc>
        <w:tc>
          <w:tcPr>
            <w:tcW w:w="0" w:type="auto"/>
          </w:tcPr>
          <w:p w14:paraId="18ACB2D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251 (86%)</w:t>
            </w:r>
          </w:p>
        </w:tc>
        <w:tc>
          <w:tcPr>
            <w:tcW w:w="0" w:type="auto"/>
          </w:tcPr>
          <w:p w14:paraId="345694C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226 (77%)</w:t>
            </w:r>
          </w:p>
        </w:tc>
        <w:tc>
          <w:tcPr>
            <w:tcW w:w="0" w:type="auto"/>
          </w:tcPr>
          <w:p w14:paraId="7896CE5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260 (89%)</w:t>
            </w:r>
          </w:p>
        </w:tc>
        <w:tc>
          <w:tcPr>
            <w:tcW w:w="0" w:type="auto"/>
          </w:tcPr>
          <w:p w14:paraId="4C75D77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95 (33%)</w:t>
            </w:r>
          </w:p>
        </w:tc>
      </w:tr>
      <w:tr w:rsidR="00613364" w:rsidRPr="000F2BC3" w14:paraId="430CCB29"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6E76AB0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598B712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532</w:t>
            </w:r>
          </w:p>
        </w:tc>
        <w:tc>
          <w:tcPr>
            <w:tcW w:w="0" w:type="auto"/>
          </w:tcPr>
          <w:p w14:paraId="5581922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427 (81%)</w:t>
            </w:r>
          </w:p>
        </w:tc>
        <w:tc>
          <w:tcPr>
            <w:tcW w:w="0" w:type="auto"/>
          </w:tcPr>
          <w:p w14:paraId="66D0D4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371 (70%)</w:t>
            </w:r>
          </w:p>
        </w:tc>
        <w:tc>
          <w:tcPr>
            <w:tcW w:w="0" w:type="auto"/>
          </w:tcPr>
          <w:p w14:paraId="74869F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443 (84%)</w:t>
            </w:r>
          </w:p>
        </w:tc>
        <w:tc>
          <w:tcPr>
            <w:tcW w:w="0" w:type="auto"/>
          </w:tcPr>
          <w:p w14:paraId="6B9B620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170 (32%)</w:t>
            </w:r>
          </w:p>
        </w:tc>
      </w:tr>
      <w:tr w:rsidR="00613364" w:rsidRPr="000F2BC3" w14:paraId="32C5D4DC" w14:textId="77777777" w:rsidTr="000F2BC3">
        <w:tc>
          <w:tcPr>
            <w:tcW w:w="0" w:type="auto"/>
          </w:tcPr>
          <w:p w14:paraId="5CDAC04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4F0F629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76</w:t>
            </w:r>
          </w:p>
        </w:tc>
        <w:tc>
          <w:tcPr>
            <w:tcW w:w="0" w:type="auto"/>
          </w:tcPr>
          <w:p w14:paraId="1C4561C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47 (67%)</w:t>
            </w:r>
          </w:p>
        </w:tc>
        <w:tc>
          <w:tcPr>
            <w:tcW w:w="0" w:type="auto"/>
          </w:tcPr>
          <w:p w14:paraId="2CC4772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41 (59%)</w:t>
            </w:r>
          </w:p>
        </w:tc>
        <w:tc>
          <w:tcPr>
            <w:tcW w:w="0" w:type="auto"/>
          </w:tcPr>
          <w:p w14:paraId="081C73B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58 (83%)</w:t>
            </w:r>
          </w:p>
        </w:tc>
        <w:tc>
          <w:tcPr>
            <w:tcW w:w="0" w:type="auto"/>
          </w:tcPr>
          <w:p w14:paraId="46908ED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20 (29%)</w:t>
            </w:r>
          </w:p>
        </w:tc>
      </w:tr>
    </w:tbl>
    <w:p w14:paraId="6A83B93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S7-2. Influenza vaccine: crude and age-adjusted OR by phenotype</w:t>
      </w:r>
    </w:p>
    <w:tbl>
      <w:tblPr>
        <w:tblStyle w:val="Tabladelista2"/>
        <w:tblW w:w="5000" w:type="pct"/>
        <w:tblLook w:val="0420" w:firstRow="1" w:lastRow="0" w:firstColumn="0" w:lastColumn="0" w:noHBand="0" w:noVBand="1"/>
      </w:tblPr>
      <w:tblGrid>
        <w:gridCol w:w="2678"/>
        <w:gridCol w:w="1225"/>
        <w:gridCol w:w="1446"/>
        <w:gridCol w:w="803"/>
        <w:gridCol w:w="1909"/>
        <w:gridCol w:w="1005"/>
      </w:tblGrid>
      <w:tr w:rsidR="00613364" w:rsidRPr="000F2BC3" w14:paraId="2F2FD7E7"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5A653CC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78D9C1A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 (%)</w:t>
            </w:r>
          </w:p>
        </w:tc>
        <w:tc>
          <w:tcPr>
            <w:tcW w:w="0" w:type="auto"/>
          </w:tcPr>
          <w:p w14:paraId="54E6632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OR (95% CI)</w:t>
            </w:r>
          </w:p>
        </w:tc>
        <w:tc>
          <w:tcPr>
            <w:tcW w:w="0" w:type="auto"/>
          </w:tcPr>
          <w:p w14:paraId="2576C06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p</w:t>
            </w:r>
          </w:p>
        </w:tc>
        <w:tc>
          <w:tcPr>
            <w:tcW w:w="0" w:type="auto"/>
          </w:tcPr>
          <w:p w14:paraId="57BF5B0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Age-adjusted OR (95% CI)</w:t>
            </w:r>
          </w:p>
        </w:tc>
        <w:tc>
          <w:tcPr>
            <w:tcW w:w="0" w:type="auto"/>
          </w:tcPr>
          <w:p w14:paraId="6314C7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Adjusted p</w:t>
            </w:r>
          </w:p>
        </w:tc>
      </w:tr>
      <w:tr w:rsidR="00613364" w:rsidRPr="000F2BC3" w14:paraId="6A7FFC92"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597A927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4E516EA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168/186 (90%)</w:t>
            </w:r>
          </w:p>
        </w:tc>
        <w:tc>
          <w:tcPr>
            <w:tcW w:w="0" w:type="auto"/>
          </w:tcPr>
          <w:p w14:paraId="250F59A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2.16 (1.27–3.69)</w:t>
            </w:r>
          </w:p>
        </w:tc>
        <w:tc>
          <w:tcPr>
            <w:tcW w:w="0" w:type="auto"/>
          </w:tcPr>
          <w:p w14:paraId="58EE689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0.005</w:t>
            </w:r>
          </w:p>
        </w:tc>
        <w:tc>
          <w:tcPr>
            <w:tcW w:w="0" w:type="auto"/>
          </w:tcPr>
          <w:p w14:paraId="4D2ECF9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1.21 (0.69–2.12)</w:t>
            </w:r>
          </w:p>
        </w:tc>
        <w:tc>
          <w:tcPr>
            <w:tcW w:w="0" w:type="auto"/>
          </w:tcPr>
          <w:p w14:paraId="17DF3EF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0.505</w:t>
            </w:r>
          </w:p>
        </w:tc>
      </w:tr>
      <w:tr w:rsidR="00613364" w:rsidRPr="000F2BC3" w14:paraId="4C26BB5C" w14:textId="77777777" w:rsidTr="000F2BC3">
        <w:tc>
          <w:tcPr>
            <w:tcW w:w="0" w:type="auto"/>
          </w:tcPr>
          <w:p w14:paraId="4B0961A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41F3293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167/194 (86%)</w:t>
            </w:r>
          </w:p>
        </w:tc>
        <w:tc>
          <w:tcPr>
            <w:tcW w:w="0" w:type="auto"/>
          </w:tcPr>
          <w:p w14:paraId="2881FB8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1.43 (0.90–2.28)</w:t>
            </w:r>
          </w:p>
        </w:tc>
        <w:tc>
          <w:tcPr>
            <w:tcW w:w="0" w:type="auto"/>
          </w:tcPr>
          <w:p w14:paraId="1D9A3E6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0.126</w:t>
            </w:r>
          </w:p>
        </w:tc>
        <w:tc>
          <w:tcPr>
            <w:tcW w:w="0" w:type="auto"/>
          </w:tcPr>
          <w:p w14:paraId="41580A1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1.22 (0.75–1.97)</w:t>
            </w:r>
          </w:p>
        </w:tc>
        <w:tc>
          <w:tcPr>
            <w:tcW w:w="0" w:type="auto"/>
          </w:tcPr>
          <w:p w14:paraId="69891CE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0.418</w:t>
            </w:r>
          </w:p>
        </w:tc>
      </w:tr>
      <w:tr w:rsidR="00613364" w:rsidRPr="000F2BC3" w14:paraId="54EE4119"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04EE926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4F73A5C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21/23 (91%)</w:t>
            </w:r>
          </w:p>
        </w:tc>
        <w:tc>
          <w:tcPr>
            <w:tcW w:w="0" w:type="auto"/>
          </w:tcPr>
          <w:p w14:paraId="22AAAE4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2.43 (0.56–10.55)</w:t>
            </w:r>
          </w:p>
        </w:tc>
        <w:tc>
          <w:tcPr>
            <w:tcW w:w="0" w:type="auto"/>
          </w:tcPr>
          <w:p w14:paraId="08EC0F5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0.234</w:t>
            </w:r>
          </w:p>
        </w:tc>
        <w:tc>
          <w:tcPr>
            <w:tcW w:w="0" w:type="auto"/>
          </w:tcPr>
          <w:p w14:paraId="63145B2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3.64 (0.81–16.35)</w:t>
            </w:r>
          </w:p>
        </w:tc>
        <w:tc>
          <w:tcPr>
            <w:tcW w:w="0" w:type="auto"/>
          </w:tcPr>
          <w:p w14:paraId="1EF916D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0.091</w:t>
            </w:r>
          </w:p>
        </w:tc>
      </w:tr>
      <w:tr w:rsidR="00613364" w:rsidRPr="000F2BC3" w14:paraId="49D4B1B4" w14:textId="77777777" w:rsidTr="000F2BC3">
        <w:tc>
          <w:tcPr>
            <w:tcW w:w="0" w:type="auto"/>
          </w:tcPr>
          <w:p w14:paraId="534433B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7A82142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251/292 (86%)</w:t>
            </w:r>
          </w:p>
        </w:tc>
        <w:tc>
          <w:tcPr>
            <w:tcW w:w="0" w:type="auto"/>
          </w:tcPr>
          <w:p w14:paraId="6B4C205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1.42 (0.96–2.11)</w:t>
            </w:r>
          </w:p>
        </w:tc>
        <w:tc>
          <w:tcPr>
            <w:tcW w:w="0" w:type="auto"/>
          </w:tcPr>
          <w:p w14:paraId="6281935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0.083</w:t>
            </w:r>
          </w:p>
        </w:tc>
        <w:tc>
          <w:tcPr>
            <w:tcW w:w="0" w:type="auto"/>
          </w:tcPr>
          <w:p w14:paraId="1FFDE2B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0.92 (0.60–1.41)</w:t>
            </w:r>
          </w:p>
        </w:tc>
        <w:tc>
          <w:tcPr>
            <w:tcW w:w="0" w:type="auto"/>
          </w:tcPr>
          <w:p w14:paraId="69F07C1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0.717</w:t>
            </w:r>
          </w:p>
        </w:tc>
      </w:tr>
      <w:tr w:rsidR="00613364" w:rsidRPr="000F2BC3" w14:paraId="618613F1"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7FB2273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70969D1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427/526 (81%)</w:t>
            </w:r>
          </w:p>
        </w:tc>
        <w:tc>
          <w:tcPr>
            <w:tcW w:w="0" w:type="auto"/>
          </w:tcPr>
          <w:p w14:paraId="5D14E21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0532F78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c>
          <w:tcPr>
            <w:tcW w:w="0" w:type="auto"/>
          </w:tcPr>
          <w:p w14:paraId="0F4FE2F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06C2280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r>
      <w:tr w:rsidR="00613364" w:rsidRPr="000F2BC3" w14:paraId="556B7B89" w14:textId="77777777" w:rsidTr="000F2BC3">
        <w:tc>
          <w:tcPr>
            <w:tcW w:w="0" w:type="auto"/>
          </w:tcPr>
          <w:p w14:paraId="6FB7F35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7F004FC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47/70 (67%)</w:t>
            </w:r>
          </w:p>
        </w:tc>
        <w:tc>
          <w:tcPr>
            <w:tcW w:w="0" w:type="auto"/>
          </w:tcPr>
          <w:p w14:paraId="4A01CEC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0.47 (0.27–0.82)</w:t>
            </w:r>
          </w:p>
        </w:tc>
        <w:tc>
          <w:tcPr>
            <w:tcW w:w="0" w:type="auto"/>
          </w:tcPr>
          <w:p w14:paraId="42666C6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0.007</w:t>
            </w:r>
          </w:p>
        </w:tc>
        <w:tc>
          <w:tcPr>
            <w:tcW w:w="0" w:type="auto"/>
          </w:tcPr>
          <w:p w14:paraId="6E59898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0.64 (0.36–1.16)</w:t>
            </w:r>
          </w:p>
        </w:tc>
        <w:tc>
          <w:tcPr>
            <w:tcW w:w="0" w:type="auto"/>
          </w:tcPr>
          <w:p w14:paraId="7BFDDF4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0.143</w:t>
            </w:r>
          </w:p>
        </w:tc>
      </w:tr>
    </w:tbl>
    <w:p w14:paraId="384CCF45" w14:textId="77777777" w:rsidR="000F2BC3" w:rsidRDefault="000F2BC3"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39F539F6" w14:textId="77777777" w:rsidR="000F2BC3" w:rsidRDefault="000F2BC3"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514FCA58" w14:textId="77777777" w:rsidR="000F2BC3" w:rsidRDefault="000F2BC3"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47B8CA9F" w14:textId="77777777" w:rsidR="000F2BC3" w:rsidRDefault="000F2BC3"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5A523027" w14:textId="77777777" w:rsidR="000F2BC3" w:rsidRDefault="000F2BC3"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2254D4B5" w14:textId="77777777" w:rsidR="000F2BC3" w:rsidRDefault="000F2BC3"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176F2165" w14:textId="1E0E36B1"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Table S7-3. Pneumococcal vaccine: crude and age-adjusted OR by phenotype</w:t>
      </w:r>
    </w:p>
    <w:tbl>
      <w:tblPr>
        <w:tblStyle w:val="Tablanormal4"/>
        <w:tblW w:w="5000" w:type="pct"/>
        <w:tblLook w:val="0420" w:firstRow="1" w:lastRow="0" w:firstColumn="0" w:lastColumn="0" w:noHBand="0" w:noVBand="1"/>
      </w:tblPr>
      <w:tblGrid>
        <w:gridCol w:w="2676"/>
        <w:gridCol w:w="1225"/>
        <w:gridCol w:w="1445"/>
        <w:gridCol w:w="807"/>
        <w:gridCol w:w="1908"/>
        <w:gridCol w:w="1005"/>
      </w:tblGrid>
      <w:tr w:rsidR="00613364" w:rsidRPr="000F2BC3" w14:paraId="722A66DE" w14:textId="77777777" w:rsidTr="0044479D">
        <w:trPr>
          <w:cnfStyle w:val="100000000000" w:firstRow="1" w:lastRow="0" w:firstColumn="0" w:lastColumn="0" w:oddVBand="0" w:evenVBand="0" w:oddHBand="0" w:evenHBand="0" w:firstRowFirstColumn="0" w:firstRowLastColumn="0" w:lastRowFirstColumn="0" w:lastRowLastColumn="0"/>
        </w:trPr>
        <w:tc>
          <w:tcPr>
            <w:tcW w:w="0" w:type="auto"/>
          </w:tcPr>
          <w:p w14:paraId="1D60E56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294C6AD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 (%)</w:t>
            </w:r>
          </w:p>
        </w:tc>
        <w:tc>
          <w:tcPr>
            <w:tcW w:w="0" w:type="auto"/>
          </w:tcPr>
          <w:p w14:paraId="73AC9C1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OR (95% CI)</w:t>
            </w:r>
          </w:p>
        </w:tc>
        <w:tc>
          <w:tcPr>
            <w:tcW w:w="0" w:type="auto"/>
          </w:tcPr>
          <w:p w14:paraId="3FEC14B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p</w:t>
            </w:r>
          </w:p>
        </w:tc>
        <w:tc>
          <w:tcPr>
            <w:tcW w:w="0" w:type="auto"/>
          </w:tcPr>
          <w:p w14:paraId="5EE3708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Age-adjusted OR (95% CI)</w:t>
            </w:r>
          </w:p>
        </w:tc>
        <w:tc>
          <w:tcPr>
            <w:tcW w:w="0" w:type="auto"/>
          </w:tcPr>
          <w:p w14:paraId="566169F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Adjusted p</w:t>
            </w:r>
          </w:p>
        </w:tc>
      </w:tr>
      <w:tr w:rsidR="00613364" w:rsidRPr="000F2BC3" w14:paraId="5F04CB2C" w14:textId="77777777" w:rsidTr="0044479D">
        <w:trPr>
          <w:cnfStyle w:val="000000100000" w:firstRow="0" w:lastRow="0" w:firstColumn="0" w:lastColumn="0" w:oddVBand="0" w:evenVBand="0" w:oddHBand="1" w:evenHBand="0" w:firstRowFirstColumn="0" w:firstRowLastColumn="0" w:lastRowFirstColumn="0" w:lastRowLastColumn="0"/>
        </w:trPr>
        <w:tc>
          <w:tcPr>
            <w:tcW w:w="0" w:type="auto"/>
          </w:tcPr>
          <w:p w14:paraId="5FB9397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5FDDD2B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157/187 (84%)</w:t>
            </w:r>
          </w:p>
        </w:tc>
        <w:tc>
          <w:tcPr>
            <w:tcW w:w="0" w:type="auto"/>
          </w:tcPr>
          <w:p w14:paraId="5BE9531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2.20 (1.43–3.39)</w:t>
            </w:r>
          </w:p>
        </w:tc>
        <w:tc>
          <w:tcPr>
            <w:tcW w:w="0" w:type="auto"/>
          </w:tcPr>
          <w:p w14:paraId="2125F51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&lt;0.001</w:t>
            </w:r>
          </w:p>
        </w:tc>
        <w:tc>
          <w:tcPr>
            <w:tcW w:w="0" w:type="auto"/>
          </w:tcPr>
          <w:p w14:paraId="4839769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1.44 (0.91–2.26)</w:t>
            </w:r>
          </w:p>
        </w:tc>
        <w:tc>
          <w:tcPr>
            <w:tcW w:w="0" w:type="auto"/>
          </w:tcPr>
          <w:p w14:paraId="5F87278A"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0.118</w:t>
            </w:r>
          </w:p>
        </w:tc>
      </w:tr>
      <w:tr w:rsidR="00613364" w:rsidRPr="000F2BC3" w14:paraId="2E213146" w14:textId="77777777" w:rsidTr="0044479D">
        <w:tc>
          <w:tcPr>
            <w:tcW w:w="0" w:type="auto"/>
          </w:tcPr>
          <w:p w14:paraId="55F3425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7045820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159/195 (82%)</w:t>
            </w:r>
          </w:p>
        </w:tc>
        <w:tc>
          <w:tcPr>
            <w:tcW w:w="0" w:type="auto"/>
          </w:tcPr>
          <w:p w14:paraId="359B73F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1.86 (1.24–2.79)</w:t>
            </w:r>
          </w:p>
        </w:tc>
        <w:tc>
          <w:tcPr>
            <w:tcW w:w="0" w:type="auto"/>
          </w:tcPr>
          <w:p w14:paraId="27BC573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0.003</w:t>
            </w:r>
          </w:p>
        </w:tc>
        <w:tc>
          <w:tcPr>
            <w:tcW w:w="0" w:type="auto"/>
          </w:tcPr>
          <w:p w14:paraId="7F6BCC2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1.71 (1.12–2.61)</w:t>
            </w:r>
          </w:p>
        </w:tc>
        <w:tc>
          <w:tcPr>
            <w:tcW w:w="0" w:type="auto"/>
          </w:tcPr>
          <w:p w14:paraId="6584AE57"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0.012</w:t>
            </w:r>
          </w:p>
        </w:tc>
      </w:tr>
      <w:tr w:rsidR="00613364" w:rsidRPr="000F2BC3" w14:paraId="1569D7BC" w14:textId="77777777" w:rsidTr="0044479D">
        <w:trPr>
          <w:cnfStyle w:val="000000100000" w:firstRow="0" w:lastRow="0" w:firstColumn="0" w:lastColumn="0" w:oddVBand="0" w:evenVBand="0" w:oddHBand="1" w:evenHBand="0" w:firstRowFirstColumn="0" w:firstRowLastColumn="0" w:lastRowFirstColumn="0" w:lastRowLastColumn="0"/>
        </w:trPr>
        <w:tc>
          <w:tcPr>
            <w:tcW w:w="0" w:type="auto"/>
          </w:tcPr>
          <w:p w14:paraId="4A6C12F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2F203A9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16/23 (70%)</w:t>
            </w:r>
          </w:p>
        </w:tc>
        <w:tc>
          <w:tcPr>
            <w:tcW w:w="0" w:type="auto"/>
          </w:tcPr>
          <w:p w14:paraId="02756B4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0.96 (0.39–2.38)</w:t>
            </w:r>
          </w:p>
        </w:tc>
        <w:tc>
          <w:tcPr>
            <w:tcW w:w="0" w:type="auto"/>
          </w:tcPr>
          <w:p w14:paraId="6DA27A1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0.932</w:t>
            </w:r>
          </w:p>
        </w:tc>
        <w:tc>
          <w:tcPr>
            <w:tcW w:w="0" w:type="auto"/>
          </w:tcPr>
          <w:p w14:paraId="0D3357C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1.22 (0.48–3.12)</w:t>
            </w:r>
          </w:p>
        </w:tc>
        <w:tc>
          <w:tcPr>
            <w:tcW w:w="0" w:type="auto"/>
          </w:tcPr>
          <w:p w14:paraId="05BBEC6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0.682</w:t>
            </w:r>
          </w:p>
        </w:tc>
      </w:tr>
      <w:tr w:rsidR="00613364" w:rsidRPr="000F2BC3" w14:paraId="562D66D1" w14:textId="77777777" w:rsidTr="0044479D">
        <w:tc>
          <w:tcPr>
            <w:tcW w:w="0" w:type="auto"/>
          </w:tcPr>
          <w:p w14:paraId="1885FB6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67094E9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226/292 (77%)</w:t>
            </w:r>
          </w:p>
        </w:tc>
        <w:tc>
          <w:tcPr>
            <w:tcW w:w="0" w:type="auto"/>
          </w:tcPr>
          <w:p w14:paraId="6B17EF7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1.44 (1.03–2.01)</w:t>
            </w:r>
          </w:p>
        </w:tc>
        <w:tc>
          <w:tcPr>
            <w:tcW w:w="0" w:type="auto"/>
          </w:tcPr>
          <w:p w14:paraId="104A5318"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0.031</w:t>
            </w:r>
          </w:p>
        </w:tc>
        <w:tc>
          <w:tcPr>
            <w:tcW w:w="0" w:type="auto"/>
          </w:tcPr>
          <w:p w14:paraId="0E626F4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1.02 (0.72–1.44)</w:t>
            </w:r>
          </w:p>
        </w:tc>
        <w:tc>
          <w:tcPr>
            <w:tcW w:w="0" w:type="auto"/>
          </w:tcPr>
          <w:p w14:paraId="71549D8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0.930</w:t>
            </w:r>
          </w:p>
        </w:tc>
      </w:tr>
      <w:tr w:rsidR="00613364" w:rsidRPr="000F2BC3" w14:paraId="55AB7B86" w14:textId="77777777" w:rsidTr="0044479D">
        <w:trPr>
          <w:cnfStyle w:val="000000100000" w:firstRow="0" w:lastRow="0" w:firstColumn="0" w:lastColumn="0" w:oddVBand="0" w:evenVBand="0" w:oddHBand="1" w:evenHBand="0" w:firstRowFirstColumn="0" w:firstRowLastColumn="0" w:lastRowFirstColumn="0" w:lastRowLastColumn="0"/>
        </w:trPr>
        <w:tc>
          <w:tcPr>
            <w:tcW w:w="0" w:type="auto"/>
          </w:tcPr>
          <w:p w14:paraId="26CE411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51A4993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371/527 (70%)</w:t>
            </w:r>
          </w:p>
        </w:tc>
        <w:tc>
          <w:tcPr>
            <w:tcW w:w="0" w:type="auto"/>
          </w:tcPr>
          <w:p w14:paraId="3296250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4518304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c>
          <w:tcPr>
            <w:tcW w:w="0" w:type="auto"/>
          </w:tcPr>
          <w:p w14:paraId="4C01C5E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7B10FC4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r>
      <w:tr w:rsidR="00613364" w:rsidRPr="000F2BC3" w14:paraId="1764C12C" w14:textId="77777777" w:rsidTr="0044479D">
        <w:tc>
          <w:tcPr>
            <w:tcW w:w="0" w:type="auto"/>
          </w:tcPr>
          <w:p w14:paraId="2EAE990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7B3150B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41/70 (59%)</w:t>
            </w:r>
          </w:p>
        </w:tc>
        <w:tc>
          <w:tcPr>
            <w:tcW w:w="0" w:type="auto"/>
          </w:tcPr>
          <w:p w14:paraId="2DF399D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0.59 (0.36–0.99)</w:t>
            </w:r>
          </w:p>
        </w:tc>
        <w:tc>
          <w:tcPr>
            <w:tcW w:w="0" w:type="auto"/>
          </w:tcPr>
          <w:p w14:paraId="75626B1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0.046</w:t>
            </w:r>
          </w:p>
        </w:tc>
        <w:tc>
          <w:tcPr>
            <w:tcW w:w="0" w:type="auto"/>
          </w:tcPr>
          <w:p w14:paraId="5BB3D102"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0.74 (0.43–1.27)</w:t>
            </w:r>
          </w:p>
        </w:tc>
        <w:tc>
          <w:tcPr>
            <w:tcW w:w="0" w:type="auto"/>
          </w:tcPr>
          <w:p w14:paraId="1C6630A4"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0.278</w:t>
            </w:r>
          </w:p>
        </w:tc>
      </w:tr>
    </w:tbl>
    <w:p w14:paraId="0F53744D"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S7-4. COVID-19 vaccine: crude and age-adjusted OR by phenotype</w:t>
      </w:r>
    </w:p>
    <w:tbl>
      <w:tblPr>
        <w:tblStyle w:val="Tablanormal4"/>
        <w:tblW w:w="5000" w:type="pct"/>
        <w:tblLook w:val="0420" w:firstRow="1" w:lastRow="0" w:firstColumn="0" w:lastColumn="0" w:noHBand="0" w:noVBand="1"/>
      </w:tblPr>
      <w:tblGrid>
        <w:gridCol w:w="2678"/>
        <w:gridCol w:w="1225"/>
        <w:gridCol w:w="1446"/>
        <w:gridCol w:w="803"/>
        <w:gridCol w:w="1909"/>
        <w:gridCol w:w="1005"/>
      </w:tblGrid>
      <w:tr w:rsidR="00613364" w:rsidRPr="000F2BC3" w14:paraId="3BF74CD4" w14:textId="77777777" w:rsidTr="0044479D">
        <w:trPr>
          <w:cnfStyle w:val="100000000000" w:firstRow="1" w:lastRow="0" w:firstColumn="0" w:lastColumn="0" w:oddVBand="0" w:evenVBand="0" w:oddHBand="0" w:evenHBand="0" w:firstRowFirstColumn="0" w:firstRowLastColumn="0" w:lastRowFirstColumn="0" w:lastRowLastColumn="0"/>
        </w:trPr>
        <w:tc>
          <w:tcPr>
            <w:tcW w:w="0" w:type="auto"/>
          </w:tcPr>
          <w:p w14:paraId="0FA1741C"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3FF00A3F"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 (%)</w:t>
            </w:r>
          </w:p>
        </w:tc>
        <w:tc>
          <w:tcPr>
            <w:tcW w:w="0" w:type="auto"/>
          </w:tcPr>
          <w:p w14:paraId="76C5F5F0"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OR (95% CI)</w:t>
            </w:r>
          </w:p>
        </w:tc>
        <w:tc>
          <w:tcPr>
            <w:tcW w:w="0" w:type="auto"/>
          </w:tcPr>
          <w:p w14:paraId="2378FD56"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p</w:t>
            </w:r>
          </w:p>
        </w:tc>
        <w:tc>
          <w:tcPr>
            <w:tcW w:w="0" w:type="auto"/>
          </w:tcPr>
          <w:p w14:paraId="739B9D89"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Age-adjusted OR (95% CI)</w:t>
            </w:r>
          </w:p>
        </w:tc>
        <w:tc>
          <w:tcPr>
            <w:tcW w:w="0" w:type="auto"/>
          </w:tcPr>
          <w:p w14:paraId="33F7940C"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Adjusted p</w:t>
            </w:r>
          </w:p>
        </w:tc>
      </w:tr>
      <w:tr w:rsidR="00613364" w:rsidRPr="000F2BC3" w14:paraId="7380D6BB" w14:textId="77777777" w:rsidTr="0044479D">
        <w:trPr>
          <w:cnfStyle w:val="000000100000" w:firstRow="0" w:lastRow="0" w:firstColumn="0" w:lastColumn="0" w:oddVBand="0" w:evenVBand="0" w:oddHBand="1" w:evenHBand="0" w:firstRowFirstColumn="0" w:firstRowLastColumn="0" w:lastRowFirstColumn="0" w:lastRowLastColumn="0"/>
        </w:trPr>
        <w:tc>
          <w:tcPr>
            <w:tcW w:w="0" w:type="auto"/>
          </w:tcPr>
          <w:p w14:paraId="194B2AE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73B970C6"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164/187 (88%)</w:t>
            </w:r>
          </w:p>
        </w:tc>
        <w:tc>
          <w:tcPr>
            <w:tcW w:w="0" w:type="auto"/>
          </w:tcPr>
          <w:p w14:paraId="2C28571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1.35 (0.82–2.22)</w:t>
            </w:r>
          </w:p>
        </w:tc>
        <w:tc>
          <w:tcPr>
            <w:tcW w:w="0" w:type="auto"/>
          </w:tcPr>
          <w:p w14:paraId="22A2BEB1"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0.232</w:t>
            </w:r>
          </w:p>
        </w:tc>
        <w:tc>
          <w:tcPr>
            <w:tcW w:w="0" w:type="auto"/>
          </w:tcPr>
          <w:p w14:paraId="587A46E5"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0.96 (0.57–1.61)</w:t>
            </w:r>
          </w:p>
        </w:tc>
        <w:tc>
          <w:tcPr>
            <w:tcW w:w="0" w:type="auto"/>
          </w:tcPr>
          <w:p w14:paraId="65FE9AA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0.886</w:t>
            </w:r>
          </w:p>
        </w:tc>
      </w:tr>
      <w:tr w:rsidR="00613364" w:rsidRPr="000F2BC3" w14:paraId="7071C4FD" w14:textId="77777777" w:rsidTr="0044479D">
        <w:tc>
          <w:tcPr>
            <w:tcW w:w="0" w:type="auto"/>
          </w:tcPr>
          <w:p w14:paraId="30BAB5C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05DB5D4C"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166/195 (85%)</w:t>
            </w:r>
          </w:p>
        </w:tc>
        <w:tc>
          <w:tcPr>
            <w:tcW w:w="0" w:type="auto"/>
          </w:tcPr>
          <w:p w14:paraId="4B96D838"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1.09 (0.69–1.72)</w:t>
            </w:r>
          </w:p>
        </w:tc>
        <w:tc>
          <w:tcPr>
            <w:tcW w:w="0" w:type="auto"/>
          </w:tcPr>
          <w:p w14:paraId="74F1AB3E"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0.726</w:t>
            </w:r>
          </w:p>
        </w:tc>
        <w:tc>
          <w:tcPr>
            <w:tcW w:w="0" w:type="auto"/>
          </w:tcPr>
          <w:p w14:paraId="76434DA0"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0.95 (0.60–1.52)</w:t>
            </w:r>
          </w:p>
        </w:tc>
        <w:tc>
          <w:tcPr>
            <w:tcW w:w="0" w:type="auto"/>
          </w:tcPr>
          <w:p w14:paraId="0F05E6BE"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0.834</w:t>
            </w:r>
          </w:p>
        </w:tc>
      </w:tr>
      <w:tr w:rsidR="00613364" w:rsidRPr="000F2BC3" w14:paraId="78648B23" w14:textId="77777777" w:rsidTr="0044479D">
        <w:trPr>
          <w:cnfStyle w:val="000000100000" w:firstRow="0" w:lastRow="0" w:firstColumn="0" w:lastColumn="0" w:oddVBand="0" w:evenVBand="0" w:oddHBand="1" w:evenHBand="0" w:firstRowFirstColumn="0" w:firstRowLastColumn="0" w:lastRowFirstColumn="0" w:lastRowLastColumn="0"/>
        </w:trPr>
        <w:tc>
          <w:tcPr>
            <w:tcW w:w="0" w:type="auto"/>
          </w:tcPr>
          <w:p w14:paraId="579F001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09D26412"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19/23 (83%)</w:t>
            </w:r>
          </w:p>
        </w:tc>
        <w:tc>
          <w:tcPr>
            <w:tcW w:w="0" w:type="auto"/>
          </w:tcPr>
          <w:p w14:paraId="6755BC7C"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0.90 (0.30–2.71)</w:t>
            </w:r>
          </w:p>
        </w:tc>
        <w:tc>
          <w:tcPr>
            <w:tcW w:w="0" w:type="auto"/>
          </w:tcPr>
          <w:p w14:paraId="5F2CD8DB"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0.853</w:t>
            </w:r>
          </w:p>
        </w:tc>
        <w:tc>
          <w:tcPr>
            <w:tcW w:w="0" w:type="auto"/>
          </w:tcPr>
          <w:p w14:paraId="56883468"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1.02 (0.33–3.13)</w:t>
            </w:r>
          </w:p>
        </w:tc>
        <w:tc>
          <w:tcPr>
            <w:tcW w:w="0" w:type="auto"/>
          </w:tcPr>
          <w:p w14:paraId="424F545F"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0.970</w:t>
            </w:r>
          </w:p>
        </w:tc>
      </w:tr>
      <w:tr w:rsidR="00613364" w:rsidRPr="000F2BC3" w14:paraId="1FCAC04F" w14:textId="77777777" w:rsidTr="0044479D">
        <w:tc>
          <w:tcPr>
            <w:tcW w:w="0" w:type="auto"/>
          </w:tcPr>
          <w:p w14:paraId="443ABA9F"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1C1637D0"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260/291 (89%)</w:t>
            </w:r>
          </w:p>
        </w:tc>
        <w:tc>
          <w:tcPr>
            <w:tcW w:w="0" w:type="auto"/>
          </w:tcPr>
          <w:p w14:paraId="1B67D612"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1.59 (1.02–2.47)</w:t>
            </w:r>
          </w:p>
        </w:tc>
        <w:tc>
          <w:tcPr>
            <w:tcW w:w="0" w:type="auto"/>
          </w:tcPr>
          <w:p w14:paraId="798C2A28"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0.039</w:t>
            </w:r>
          </w:p>
        </w:tc>
        <w:tc>
          <w:tcPr>
            <w:tcW w:w="0" w:type="auto"/>
          </w:tcPr>
          <w:p w14:paraId="113A3486"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1.21 (0.77–1.91)</w:t>
            </w:r>
          </w:p>
        </w:tc>
        <w:tc>
          <w:tcPr>
            <w:tcW w:w="0" w:type="auto"/>
          </w:tcPr>
          <w:p w14:paraId="00FDB30E"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0.408</w:t>
            </w:r>
          </w:p>
        </w:tc>
      </w:tr>
      <w:tr w:rsidR="00613364" w:rsidRPr="000F2BC3" w14:paraId="7A0E3901" w14:textId="77777777" w:rsidTr="0044479D">
        <w:trPr>
          <w:cnfStyle w:val="000000100000" w:firstRow="0" w:lastRow="0" w:firstColumn="0" w:lastColumn="0" w:oddVBand="0" w:evenVBand="0" w:oddHBand="1" w:evenHBand="0" w:firstRowFirstColumn="0" w:firstRowLastColumn="0" w:lastRowFirstColumn="0" w:lastRowLastColumn="0"/>
        </w:trPr>
        <w:tc>
          <w:tcPr>
            <w:tcW w:w="0" w:type="auto"/>
          </w:tcPr>
          <w:p w14:paraId="40404E3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7E05B689"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443/527 (84%)</w:t>
            </w:r>
          </w:p>
        </w:tc>
        <w:tc>
          <w:tcPr>
            <w:tcW w:w="0" w:type="auto"/>
          </w:tcPr>
          <w:p w14:paraId="3C38957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61CBAFA7"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c>
          <w:tcPr>
            <w:tcW w:w="0" w:type="auto"/>
          </w:tcPr>
          <w:p w14:paraId="5E1E924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55DF7EBF"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r>
      <w:tr w:rsidR="00613364" w:rsidRPr="000F2BC3" w14:paraId="1BEF7574" w14:textId="77777777" w:rsidTr="0044479D">
        <w:tc>
          <w:tcPr>
            <w:tcW w:w="0" w:type="auto"/>
          </w:tcPr>
          <w:p w14:paraId="0EADD07B"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3D23AE90"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58/70 (83%)</w:t>
            </w:r>
          </w:p>
        </w:tc>
        <w:tc>
          <w:tcPr>
            <w:tcW w:w="0" w:type="auto"/>
          </w:tcPr>
          <w:p w14:paraId="1CECA6C7"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0.92 (0.47–1.78)</w:t>
            </w:r>
          </w:p>
        </w:tc>
        <w:tc>
          <w:tcPr>
            <w:tcW w:w="0" w:type="auto"/>
          </w:tcPr>
          <w:p w14:paraId="3DC6D950"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0.797</w:t>
            </w:r>
          </w:p>
        </w:tc>
        <w:tc>
          <w:tcPr>
            <w:tcW w:w="0" w:type="auto"/>
          </w:tcPr>
          <w:p w14:paraId="108BB4AC"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1.07 (0.54–2.12)</w:t>
            </w:r>
          </w:p>
        </w:tc>
        <w:tc>
          <w:tcPr>
            <w:tcW w:w="0" w:type="auto"/>
          </w:tcPr>
          <w:p w14:paraId="5A9EDF75"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0.845</w:t>
            </w:r>
          </w:p>
        </w:tc>
      </w:tr>
    </w:tbl>
    <w:p w14:paraId="4C79B6D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Table S7-5. Herpes zoster vaccine: crude and age-adjusted OR by phenotype</w:t>
      </w:r>
    </w:p>
    <w:tbl>
      <w:tblPr>
        <w:tblStyle w:val="Tablanormal4"/>
        <w:tblW w:w="5000" w:type="pct"/>
        <w:tblLook w:val="0420" w:firstRow="1" w:lastRow="0" w:firstColumn="0" w:lastColumn="0" w:noHBand="0" w:noVBand="1"/>
      </w:tblPr>
      <w:tblGrid>
        <w:gridCol w:w="2678"/>
        <w:gridCol w:w="1225"/>
        <w:gridCol w:w="1446"/>
        <w:gridCol w:w="803"/>
        <w:gridCol w:w="1909"/>
        <w:gridCol w:w="1005"/>
      </w:tblGrid>
      <w:tr w:rsidR="00613364" w:rsidRPr="000F2BC3" w14:paraId="5D5996AB" w14:textId="77777777" w:rsidTr="000F2BC3">
        <w:trPr>
          <w:cnfStyle w:val="100000000000" w:firstRow="1" w:lastRow="0" w:firstColumn="0" w:lastColumn="0" w:oddVBand="0" w:evenVBand="0" w:oddHBand="0" w:evenHBand="0" w:firstRowFirstColumn="0" w:firstRowLastColumn="0" w:lastRowFirstColumn="0" w:lastRowLastColumn="0"/>
        </w:trPr>
        <w:tc>
          <w:tcPr>
            <w:tcW w:w="0" w:type="auto"/>
          </w:tcPr>
          <w:p w14:paraId="7468057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Phenotype</w:t>
            </w:r>
          </w:p>
        </w:tc>
        <w:tc>
          <w:tcPr>
            <w:tcW w:w="0" w:type="auto"/>
          </w:tcPr>
          <w:p w14:paraId="55A651EA"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n (%)</w:t>
            </w:r>
          </w:p>
        </w:tc>
        <w:tc>
          <w:tcPr>
            <w:tcW w:w="0" w:type="auto"/>
          </w:tcPr>
          <w:p w14:paraId="68A153F3"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OR (95% CI)</w:t>
            </w:r>
          </w:p>
        </w:tc>
        <w:tc>
          <w:tcPr>
            <w:tcW w:w="0" w:type="auto"/>
          </w:tcPr>
          <w:p w14:paraId="101E783B"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Crude p</w:t>
            </w:r>
          </w:p>
        </w:tc>
        <w:tc>
          <w:tcPr>
            <w:tcW w:w="0" w:type="auto"/>
          </w:tcPr>
          <w:p w14:paraId="7BF738EF"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Age-adjusted OR (95% CI)</w:t>
            </w:r>
          </w:p>
        </w:tc>
        <w:tc>
          <w:tcPr>
            <w:tcW w:w="0" w:type="auto"/>
          </w:tcPr>
          <w:p w14:paraId="5650304B"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b w:val="0"/>
                <w:color w:val="000000" w:themeColor="text1"/>
                <w:sz w:val="16"/>
                <w:szCs w:val="16"/>
              </w:rPr>
            </w:pPr>
            <w:r w:rsidRPr="000F2BC3">
              <w:rPr>
                <w:rFonts w:asciiTheme="majorHAnsi" w:eastAsia="Calibri" w:hAnsiTheme="majorHAnsi" w:cstheme="majorHAnsi"/>
                <w:color w:val="000000" w:themeColor="text1"/>
                <w:sz w:val="16"/>
                <w:szCs w:val="16"/>
              </w:rPr>
              <w:t>Adjusted p</w:t>
            </w:r>
          </w:p>
        </w:tc>
      </w:tr>
      <w:tr w:rsidR="00613364" w:rsidRPr="000F2BC3" w14:paraId="30B48C38"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50F60DC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established CVD</w:t>
            </w:r>
          </w:p>
        </w:tc>
        <w:tc>
          <w:tcPr>
            <w:tcW w:w="0" w:type="auto"/>
          </w:tcPr>
          <w:p w14:paraId="0A7AE469"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56/186 (30%)</w:t>
            </w:r>
          </w:p>
        </w:tc>
        <w:tc>
          <w:tcPr>
            <w:tcW w:w="0" w:type="auto"/>
          </w:tcPr>
          <w:p w14:paraId="27993935"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0.90 (0.63–1.30)</w:t>
            </w:r>
          </w:p>
        </w:tc>
        <w:tc>
          <w:tcPr>
            <w:tcW w:w="0" w:type="auto"/>
          </w:tcPr>
          <w:p w14:paraId="3C346E69"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0.588</w:t>
            </w:r>
          </w:p>
        </w:tc>
        <w:tc>
          <w:tcPr>
            <w:tcW w:w="0" w:type="auto"/>
          </w:tcPr>
          <w:p w14:paraId="427C88E9"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0.76 (0.52–1.11)</w:t>
            </w:r>
          </w:p>
        </w:tc>
        <w:tc>
          <w:tcPr>
            <w:tcW w:w="0" w:type="auto"/>
          </w:tcPr>
          <w:p w14:paraId="3E9D3986"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0.162</w:t>
            </w:r>
          </w:p>
        </w:tc>
      </w:tr>
      <w:tr w:rsidR="00613364" w:rsidRPr="000F2BC3" w14:paraId="76AC8F3A" w14:textId="77777777" w:rsidTr="000F2BC3">
        <w:tc>
          <w:tcPr>
            <w:tcW w:w="0" w:type="auto"/>
          </w:tcPr>
          <w:p w14:paraId="1973FF36"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high CVR</w:t>
            </w:r>
          </w:p>
        </w:tc>
        <w:tc>
          <w:tcPr>
            <w:tcW w:w="0" w:type="auto"/>
          </w:tcPr>
          <w:p w14:paraId="12127D4E"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70/195 (36%)</w:t>
            </w:r>
          </w:p>
        </w:tc>
        <w:tc>
          <w:tcPr>
            <w:tcW w:w="0" w:type="auto"/>
          </w:tcPr>
          <w:p w14:paraId="6A5DE623"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1.18 (0.83–1.66)</w:t>
            </w:r>
          </w:p>
        </w:tc>
        <w:tc>
          <w:tcPr>
            <w:tcW w:w="0" w:type="auto"/>
          </w:tcPr>
          <w:p w14:paraId="2F52AD86"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0.357</w:t>
            </w:r>
          </w:p>
        </w:tc>
        <w:tc>
          <w:tcPr>
            <w:tcW w:w="0" w:type="auto"/>
          </w:tcPr>
          <w:p w14:paraId="11D7BB3C"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1.13 (0.80–1.60)</w:t>
            </w:r>
          </w:p>
        </w:tc>
        <w:tc>
          <w:tcPr>
            <w:tcW w:w="0" w:type="auto"/>
          </w:tcPr>
          <w:p w14:paraId="1C36A033"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0.495</w:t>
            </w:r>
          </w:p>
        </w:tc>
      </w:tr>
      <w:tr w:rsidR="00613364" w:rsidRPr="000F2BC3" w14:paraId="5D99BAA6"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54FFA7F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Exacerbator – low/moderate CVR</w:t>
            </w:r>
          </w:p>
        </w:tc>
        <w:tc>
          <w:tcPr>
            <w:tcW w:w="0" w:type="auto"/>
          </w:tcPr>
          <w:p w14:paraId="6EDABCC3"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6/23 (26%)</w:t>
            </w:r>
          </w:p>
        </w:tc>
        <w:tc>
          <w:tcPr>
            <w:tcW w:w="0" w:type="auto"/>
          </w:tcPr>
          <w:p w14:paraId="58887A7A"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0.74 (0.29–1.91)</w:t>
            </w:r>
          </w:p>
        </w:tc>
        <w:tc>
          <w:tcPr>
            <w:tcW w:w="0" w:type="auto"/>
          </w:tcPr>
          <w:p w14:paraId="06CF7AE8"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0.536</w:t>
            </w:r>
          </w:p>
        </w:tc>
        <w:tc>
          <w:tcPr>
            <w:tcW w:w="0" w:type="auto"/>
          </w:tcPr>
          <w:p w14:paraId="60AACEE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0.81 (0.31–2.10)</w:t>
            </w:r>
          </w:p>
        </w:tc>
        <w:tc>
          <w:tcPr>
            <w:tcW w:w="0" w:type="auto"/>
          </w:tcPr>
          <w:p w14:paraId="13D1403A"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0.663</w:t>
            </w:r>
          </w:p>
        </w:tc>
      </w:tr>
      <w:tr w:rsidR="00613364" w:rsidRPr="000F2BC3" w14:paraId="22650514" w14:textId="77777777" w:rsidTr="000F2BC3">
        <w:tc>
          <w:tcPr>
            <w:tcW w:w="0" w:type="auto"/>
          </w:tcPr>
          <w:p w14:paraId="6D9A5A61"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established CVD</w:t>
            </w:r>
          </w:p>
        </w:tc>
        <w:tc>
          <w:tcPr>
            <w:tcW w:w="0" w:type="auto"/>
          </w:tcPr>
          <w:p w14:paraId="558A208A"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95/292 (33%)</w:t>
            </w:r>
          </w:p>
        </w:tc>
        <w:tc>
          <w:tcPr>
            <w:tcW w:w="0" w:type="auto"/>
          </w:tcPr>
          <w:p w14:paraId="2F0F3E27"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1.01 (0.75–1.37)</w:t>
            </w:r>
          </w:p>
        </w:tc>
        <w:tc>
          <w:tcPr>
            <w:tcW w:w="0" w:type="auto"/>
          </w:tcPr>
          <w:p w14:paraId="76D026D8"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0.936</w:t>
            </w:r>
          </w:p>
        </w:tc>
        <w:tc>
          <w:tcPr>
            <w:tcW w:w="0" w:type="auto"/>
          </w:tcPr>
          <w:p w14:paraId="2A6F3404"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0.88 (0.64–1.21)</w:t>
            </w:r>
          </w:p>
        </w:tc>
        <w:tc>
          <w:tcPr>
            <w:tcW w:w="0" w:type="auto"/>
          </w:tcPr>
          <w:p w14:paraId="072B4790"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0.442</w:t>
            </w:r>
          </w:p>
        </w:tc>
      </w:tr>
      <w:tr w:rsidR="00613364" w:rsidRPr="000F2BC3" w14:paraId="73D2710C" w14:textId="77777777" w:rsidTr="000F2BC3">
        <w:trPr>
          <w:cnfStyle w:val="000000100000" w:firstRow="0" w:lastRow="0" w:firstColumn="0" w:lastColumn="0" w:oddVBand="0" w:evenVBand="0" w:oddHBand="1" w:evenHBand="0" w:firstRowFirstColumn="0" w:firstRowLastColumn="0" w:lastRowFirstColumn="0" w:lastRowLastColumn="0"/>
        </w:trPr>
        <w:tc>
          <w:tcPr>
            <w:tcW w:w="0" w:type="auto"/>
          </w:tcPr>
          <w:p w14:paraId="188098B9"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high CVR</w:t>
            </w:r>
          </w:p>
        </w:tc>
        <w:tc>
          <w:tcPr>
            <w:tcW w:w="0" w:type="auto"/>
          </w:tcPr>
          <w:p w14:paraId="186FBD7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170/527 (32%)</w:t>
            </w:r>
          </w:p>
        </w:tc>
        <w:tc>
          <w:tcPr>
            <w:tcW w:w="0" w:type="auto"/>
          </w:tcPr>
          <w:p w14:paraId="11C51471"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50ADF716"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c>
          <w:tcPr>
            <w:tcW w:w="0" w:type="auto"/>
          </w:tcPr>
          <w:p w14:paraId="3CECDE22"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1 (ref)</w:t>
            </w:r>
          </w:p>
        </w:tc>
        <w:tc>
          <w:tcPr>
            <w:tcW w:w="0" w:type="auto"/>
          </w:tcPr>
          <w:p w14:paraId="6612A1B4"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w:t>
            </w:r>
          </w:p>
        </w:tc>
      </w:tr>
      <w:tr w:rsidR="00613364" w:rsidRPr="000F2BC3" w14:paraId="44E5AAEF" w14:textId="77777777" w:rsidTr="000F2BC3">
        <w:tc>
          <w:tcPr>
            <w:tcW w:w="0" w:type="auto"/>
          </w:tcPr>
          <w:p w14:paraId="6B47C075"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Non-exacerbator – low/moderate CVR</w:t>
            </w:r>
          </w:p>
        </w:tc>
        <w:tc>
          <w:tcPr>
            <w:tcW w:w="0" w:type="auto"/>
          </w:tcPr>
          <w:p w14:paraId="3AAF464F"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20/70 (29%)</w:t>
            </w:r>
          </w:p>
        </w:tc>
        <w:tc>
          <w:tcPr>
            <w:tcW w:w="0" w:type="auto"/>
          </w:tcPr>
          <w:p w14:paraId="71291DA3"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0.84 (0.48–1.46)</w:t>
            </w:r>
          </w:p>
        </w:tc>
        <w:tc>
          <w:tcPr>
            <w:tcW w:w="0" w:type="auto"/>
          </w:tcPr>
          <w:p w14:paraId="5162E75B"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0.534</w:t>
            </w:r>
          </w:p>
        </w:tc>
        <w:tc>
          <w:tcPr>
            <w:tcW w:w="0" w:type="auto"/>
          </w:tcPr>
          <w:p w14:paraId="5A527289"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0.93 (0.53–1.63)</w:t>
            </w:r>
          </w:p>
        </w:tc>
        <w:tc>
          <w:tcPr>
            <w:tcW w:w="0" w:type="auto"/>
          </w:tcPr>
          <w:p w14:paraId="2800E1DD" w14:textId="77777777" w:rsidR="00613364" w:rsidRPr="000F2BC3" w:rsidRDefault="00C27EE7" w:rsidP="0044479D">
            <w:pPr>
              <w:pBdr>
                <w:top w:val="none" w:sz="0" w:space="0" w:color="000000"/>
                <w:left w:val="none" w:sz="0" w:space="0" w:color="000000"/>
                <w:bottom w:val="none" w:sz="0" w:space="0" w:color="000000"/>
                <w:right w:val="none" w:sz="0" w:space="0" w:color="000000"/>
              </w:pBdr>
              <w:spacing w:before="40" w:after="40" w:line="360" w:lineRule="auto"/>
              <w:ind w:left="40" w:right="40"/>
              <w:jc w:val="center"/>
              <w:rPr>
                <w:rFonts w:asciiTheme="majorHAnsi" w:eastAsia="Calibri" w:hAnsiTheme="majorHAnsi" w:cstheme="majorHAnsi"/>
                <w:color w:val="000000" w:themeColor="text1"/>
                <w:sz w:val="16"/>
                <w:szCs w:val="16"/>
              </w:rPr>
            </w:pPr>
            <w:r w:rsidRPr="000F2BC3">
              <w:rPr>
                <w:rFonts w:asciiTheme="majorHAnsi" w:eastAsia="Calibri" w:hAnsiTheme="majorHAnsi" w:cstheme="majorHAnsi"/>
                <w:color w:val="000000" w:themeColor="text1"/>
                <w:sz w:val="16"/>
                <w:szCs w:val="16"/>
              </w:rPr>
              <w:t>0.803</w:t>
            </w:r>
          </w:p>
        </w:tc>
      </w:tr>
    </w:tbl>
    <w:p w14:paraId="39DB6FE3"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Table S7-6. Summary of vaccination-coverage contrasts by phenotype: crude vs age-adjusted p</w:t>
      </w:r>
    </w:p>
    <w:tbl>
      <w:tblPr>
        <w:tblStyle w:val="Tablanormal4"/>
        <w:tblW w:w="3750" w:type="pct"/>
        <w:jc w:val="center"/>
        <w:tblLook w:val="0420" w:firstRow="1" w:lastRow="0" w:firstColumn="0" w:lastColumn="0" w:noHBand="0" w:noVBand="1"/>
      </w:tblPr>
      <w:tblGrid>
        <w:gridCol w:w="2116"/>
        <w:gridCol w:w="1833"/>
        <w:gridCol w:w="2851"/>
      </w:tblGrid>
      <w:tr w:rsidR="00613364" w:rsidRPr="0044479D" w14:paraId="1C74985B" w14:textId="77777777" w:rsidTr="0044479D">
        <w:trPr>
          <w:cnfStyle w:val="100000000000" w:firstRow="1" w:lastRow="0" w:firstColumn="0" w:lastColumn="0" w:oddVBand="0" w:evenVBand="0" w:oddHBand="0" w:evenHBand="0" w:firstRowFirstColumn="0" w:firstRowLastColumn="0" w:lastRowFirstColumn="0" w:lastRowLastColumn="0"/>
          <w:jc w:val="center"/>
        </w:trPr>
        <w:tc>
          <w:tcPr>
            <w:tcW w:w="0" w:type="auto"/>
          </w:tcPr>
          <w:p w14:paraId="326021DF"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44479D">
              <w:rPr>
                <w:rFonts w:asciiTheme="majorHAnsi" w:eastAsia="Calibri" w:hAnsiTheme="majorHAnsi" w:cstheme="majorHAnsi"/>
                <w:color w:val="000000" w:themeColor="text1"/>
                <w:sz w:val="16"/>
                <w:szCs w:val="16"/>
              </w:rPr>
              <w:t>Vaccine</w:t>
            </w:r>
          </w:p>
        </w:tc>
        <w:tc>
          <w:tcPr>
            <w:tcW w:w="0" w:type="auto"/>
          </w:tcPr>
          <w:p w14:paraId="2D0029A6"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44479D">
              <w:rPr>
                <w:rFonts w:asciiTheme="majorHAnsi" w:eastAsia="Calibri" w:hAnsiTheme="majorHAnsi" w:cstheme="majorHAnsi"/>
                <w:color w:val="000000" w:themeColor="text1"/>
                <w:sz w:val="16"/>
                <w:szCs w:val="16"/>
              </w:rPr>
              <w:t>Crude p (χ²)</w:t>
            </w:r>
          </w:p>
        </w:tc>
        <w:tc>
          <w:tcPr>
            <w:tcW w:w="0" w:type="auto"/>
          </w:tcPr>
          <w:p w14:paraId="7A4AA3A3"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b w:val="0"/>
                <w:color w:val="000000" w:themeColor="text1"/>
                <w:sz w:val="16"/>
                <w:szCs w:val="16"/>
              </w:rPr>
            </w:pPr>
            <w:r w:rsidRPr="0044479D">
              <w:rPr>
                <w:rFonts w:asciiTheme="majorHAnsi" w:eastAsia="Calibri" w:hAnsiTheme="majorHAnsi" w:cstheme="majorHAnsi"/>
                <w:color w:val="000000" w:themeColor="text1"/>
                <w:sz w:val="16"/>
                <w:szCs w:val="16"/>
              </w:rPr>
              <w:t>Age-adjusted p (LRT)</w:t>
            </w:r>
          </w:p>
        </w:tc>
      </w:tr>
      <w:tr w:rsidR="00613364" w:rsidRPr="0044479D" w14:paraId="696E24A5" w14:textId="77777777" w:rsidTr="0044479D">
        <w:trPr>
          <w:cnfStyle w:val="000000100000" w:firstRow="0" w:lastRow="0" w:firstColumn="0" w:lastColumn="0" w:oddVBand="0" w:evenVBand="0" w:oddHBand="1" w:evenHBand="0" w:firstRowFirstColumn="0" w:firstRowLastColumn="0" w:lastRowFirstColumn="0" w:lastRowLastColumn="0"/>
          <w:jc w:val="center"/>
        </w:trPr>
        <w:tc>
          <w:tcPr>
            <w:tcW w:w="0" w:type="auto"/>
          </w:tcPr>
          <w:p w14:paraId="4005A35D"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Influenza</w:t>
            </w:r>
          </w:p>
        </w:tc>
        <w:tc>
          <w:tcPr>
            <w:tcW w:w="0" w:type="auto"/>
          </w:tcPr>
          <w:p w14:paraId="33590B7D"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&lt;0.001</w:t>
            </w:r>
          </w:p>
        </w:tc>
        <w:tc>
          <w:tcPr>
            <w:tcW w:w="0" w:type="auto"/>
          </w:tcPr>
          <w:p w14:paraId="7A1A990B"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0.152</w:t>
            </w:r>
          </w:p>
        </w:tc>
      </w:tr>
      <w:tr w:rsidR="00613364" w:rsidRPr="0044479D" w14:paraId="09E6EE46" w14:textId="77777777" w:rsidTr="0044479D">
        <w:trPr>
          <w:jc w:val="center"/>
        </w:trPr>
        <w:tc>
          <w:tcPr>
            <w:tcW w:w="0" w:type="auto"/>
          </w:tcPr>
          <w:p w14:paraId="4180AC20"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Pneumococcal</w:t>
            </w:r>
          </w:p>
        </w:tc>
        <w:tc>
          <w:tcPr>
            <w:tcW w:w="0" w:type="auto"/>
          </w:tcPr>
          <w:p w14:paraId="00582DD5"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&lt;0.001</w:t>
            </w:r>
          </w:p>
        </w:tc>
        <w:tc>
          <w:tcPr>
            <w:tcW w:w="0" w:type="auto"/>
          </w:tcPr>
          <w:p w14:paraId="51E2EE90"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0.050</w:t>
            </w:r>
          </w:p>
        </w:tc>
      </w:tr>
      <w:tr w:rsidR="00613364" w:rsidRPr="0044479D" w14:paraId="540DFD48" w14:textId="77777777" w:rsidTr="0044479D">
        <w:trPr>
          <w:cnfStyle w:val="000000100000" w:firstRow="0" w:lastRow="0" w:firstColumn="0" w:lastColumn="0" w:oddVBand="0" w:evenVBand="0" w:oddHBand="1" w:evenHBand="0" w:firstRowFirstColumn="0" w:firstRowLastColumn="0" w:lastRowFirstColumn="0" w:lastRowLastColumn="0"/>
          <w:jc w:val="center"/>
        </w:trPr>
        <w:tc>
          <w:tcPr>
            <w:tcW w:w="0" w:type="auto"/>
          </w:tcPr>
          <w:p w14:paraId="7B4F9AC4"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COVID-19</w:t>
            </w:r>
          </w:p>
        </w:tc>
        <w:tc>
          <w:tcPr>
            <w:tcW w:w="0" w:type="auto"/>
          </w:tcPr>
          <w:p w14:paraId="37F138E8"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0.342</w:t>
            </w:r>
          </w:p>
        </w:tc>
        <w:tc>
          <w:tcPr>
            <w:tcW w:w="0" w:type="auto"/>
          </w:tcPr>
          <w:p w14:paraId="3C20DEBE"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0.958</w:t>
            </w:r>
          </w:p>
        </w:tc>
      </w:tr>
      <w:tr w:rsidR="00613364" w:rsidRPr="0044479D" w14:paraId="280F08E5" w14:textId="77777777" w:rsidTr="0044479D">
        <w:trPr>
          <w:jc w:val="center"/>
        </w:trPr>
        <w:tc>
          <w:tcPr>
            <w:tcW w:w="0" w:type="auto"/>
          </w:tcPr>
          <w:p w14:paraId="37BAA054"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Herpes zoster</w:t>
            </w:r>
          </w:p>
        </w:tc>
        <w:tc>
          <w:tcPr>
            <w:tcW w:w="0" w:type="auto"/>
          </w:tcPr>
          <w:p w14:paraId="0DA582F2"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0.788</w:t>
            </w:r>
          </w:p>
        </w:tc>
        <w:tc>
          <w:tcPr>
            <w:tcW w:w="0" w:type="auto"/>
          </w:tcPr>
          <w:p w14:paraId="219D3BE2"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before="40" w:after="40" w:line="360" w:lineRule="auto"/>
              <w:ind w:left="40" w:right="40"/>
              <w:jc w:val="both"/>
              <w:rPr>
                <w:rFonts w:asciiTheme="majorHAnsi" w:eastAsia="Calibri" w:hAnsiTheme="majorHAnsi" w:cstheme="majorHAnsi"/>
                <w:color w:val="000000" w:themeColor="text1"/>
                <w:sz w:val="16"/>
                <w:szCs w:val="16"/>
              </w:rPr>
            </w:pPr>
            <w:r w:rsidRPr="0044479D">
              <w:rPr>
                <w:rFonts w:asciiTheme="majorHAnsi" w:eastAsia="Calibri" w:hAnsiTheme="majorHAnsi" w:cstheme="majorHAnsi"/>
                <w:color w:val="000000" w:themeColor="text1"/>
                <w:sz w:val="16"/>
                <w:szCs w:val="16"/>
              </w:rPr>
              <w:t>0.588</w:t>
            </w:r>
          </w:p>
        </w:tc>
      </w:tr>
    </w:tbl>
    <w:p w14:paraId="479345F7"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CC25023"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D387AFB"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ED0B265"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BE024C6"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0D4444C"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EE9EA3C"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A7AD5A4"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ABB0EDE"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36FEE53"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5E5707D8"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109E92F"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DEF091B"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1ED44AF1"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3D47A89"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33A995A7"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017E159D"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4619EE9B" w14:textId="77777777" w:rsidR="0044479D" w:rsidRDefault="0044479D"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eastAsia="Arial" w:hAnsiTheme="majorHAnsi" w:cstheme="majorHAnsi"/>
          <w:b/>
          <w:color w:val="000000" w:themeColor="text1"/>
          <w:sz w:val="22"/>
          <w:szCs w:val="22"/>
        </w:rPr>
      </w:pPr>
    </w:p>
    <w:p w14:paraId="63D51115" w14:textId="5D0FE6E6" w:rsidR="00613364" w:rsidRPr="000F2BC3" w:rsidRDefault="00C27EE7" w:rsidP="000F2BC3">
      <w:pPr>
        <w:pBdr>
          <w:top w:val="none" w:sz="0" w:space="0" w:color="000000"/>
          <w:left w:val="none" w:sz="0" w:space="0" w:color="000000"/>
          <w:bottom w:val="none" w:sz="0" w:space="0" w:color="000000"/>
          <w:right w:val="none" w:sz="0" w:space="0" w:color="000000"/>
        </w:pBdr>
        <w:spacing w:before="240" w:after="6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S8. Unsupervised phenotyping (data-driven clustering). Exploratory analysis</w:t>
      </w:r>
    </w:p>
    <w:p w14:paraId="7FFD2EF0"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Methodology</w:t>
      </w:r>
    </w:p>
    <w:p w14:paraId="2EFEA500"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16"/>
          <w:szCs w:val="16"/>
        </w:rPr>
      </w:pPr>
      <w:r w:rsidRPr="0044479D">
        <w:rPr>
          <w:rFonts w:asciiTheme="majorHAnsi" w:eastAsia="Arial" w:hAnsiTheme="majorHAnsi" w:cstheme="majorHAnsi"/>
          <w:color w:val="000000" w:themeColor="text1"/>
          <w:sz w:val="16"/>
          <w:szCs w:val="16"/>
        </w:rPr>
        <w:t>Eleven phenotypic variables were selected: 4 numerical (age, mMRC, RADAR, eosinophils) and 7 categorical/binary (sex, exacerbator profile, established cardiovascular disease, severe/very severe FEV1, smoking —ever vs never smoker—, correct inhaler technique and respiratory hospitalisation). Smoking was coded according to the project's verified dictionary (1=current smoker, 2=ex-smoker, 3=never smoker): “ever smoker” = smoking</w:t>
      </w:r>
      <w:r w:rsidRPr="0044479D">
        <w:rPr>
          <w:rFonts w:ascii="Cambria Math" w:eastAsia="Arial" w:hAnsi="Cambria Math" w:cs="Cambria Math"/>
          <w:color w:val="000000" w:themeColor="text1"/>
          <w:sz w:val="16"/>
          <w:szCs w:val="16"/>
        </w:rPr>
        <w:t>∈</w:t>
      </w:r>
      <w:r w:rsidRPr="0044479D">
        <w:rPr>
          <w:rFonts w:asciiTheme="majorHAnsi" w:eastAsia="Arial" w:hAnsiTheme="majorHAnsi" w:cstheme="majorHAnsi"/>
          <w:color w:val="000000" w:themeColor="text1"/>
          <w:sz w:val="16"/>
          <w:szCs w:val="16"/>
        </w:rPr>
        <w:t>{1,2}. The analysis was restricted to complete cases (n=901). When combining numerical and categorical variables the Euclidean distance is not valid: the Gower distance (</w:t>
      </w:r>
      <w:proofErr w:type="gramStart"/>
      <w:r w:rsidRPr="0044479D">
        <w:rPr>
          <w:rFonts w:asciiTheme="majorHAnsi" w:eastAsia="Arial" w:hAnsiTheme="majorHAnsi" w:cstheme="majorHAnsi"/>
          <w:color w:val="000000" w:themeColor="text1"/>
          <w:sz w:val="16"/>
          <w:szCs w:val="16"/>
        </w:rPr>
        <w:t>cluster::</w:t>
      </w:r>
      <w:proofErr w:type="gramEnd"/>
      <w:r w:rsidRPr="0044479D">
        <w:rPr>
          <w:rFonts w:asciiTheme="majorHAnsi" w:eastAsia="Arial" w:hAnsiTheme="majorHAnsi" w:cstheme="majorHAnsi"/>
          <w:color w:val="000000" w:themeColor="text1"/>
          <w:sz w:val="16"/>
          <w:szCs w:val="16"/>
        </w:rPr>
        <w:t xml:space="preserve">daisy) was used, which internally </w:t>
      </w:r>
      <w:proofErr w:type="spellStart"/>
      <w:r w:rsidRPr="0044479D">
        <w:rPr>
          <w:rFonts w:asciiTheme="majorHAnsi" w:eastAsia="Arial" w:hAnsiTheme="majorHAnsi" w:cstheme="majorHAnsi"/>
          <w:color w:val="000000" w:themeColor="text1"/>
          <w:sz w:val="16"/>
          <w:szCs w:val="16"/>
        </w:rPr>
        <w:t>standardises</w:t>
      </w:r>
      <w:proofErr w:type="spellEnd"/>
      <w:r w:rsidRPr="0044479D">
        <w:rPr>
          <w:rFonts w:asciiTheme="majorHAnsi" w:eastAsia="Arial" w:hAnsiTheme="majorHAnsi" w:cstheme="majorHAnsi"/>
          <w:color w:val="000000" w:themeColor="text1"/>
          <w:sz w:val="16"/>
          <w:szCs w:val="16"/>
        </w:rPr>
        <w:t xml:space="preserve"> each numerical variable to its [0,1] range—preventing the variable of greatest magnitude from dominating—and treats categorical variables by matching, giving comparable weight to all. All steps involving randomness (PAM, UMAP, bootstrap) use a fixed seed (</w:t>
      </w:r>
      <w:proofErr w:type="spellStart"/>
      <w:r w:rsidRPr="0044479D">
        <w:rPr>
          <w:rFonts w:asciiTheme="majorHAnsi" w:eastAsia="Arial" w:hAnsiTheme="majorHAnsi" w:cstheme="majorHAnsi"/>
          <w:color w:val="000000" w:themeColor="text1"/>
          <w:sz w:val="16"/>
          <w:szCs w:val="16"/>
        </w:rPr>
        <w:t>set.seed</w:t>
      </w:r>
      <w:proofErr w:type="spellEnd"/>
      <w:r w:rsidRPr="0044479D">
        <w:rPr>
          <w:rFonts w:asciiTheme="majorHAnsi" w:eastAsia="Arial" w:hAnsiTheme="majorHAnsi" w:cstheme="majorHAnsi"/>
          <w:color w:val="000000" w:themeColor="text1"/>
          <w:sz w:val="16"/>
          <w:szCs w:val="16"/>
        </w:rPr>
        <w:t xml:space="preserve"> 2026).</w:t>
      </w:r>
    </w:p>
    <w:p w14:paraId="7A0CB58E" w14:textId="77777777"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t>Supplementary Figure S8-1. Internal validation: mean silhouette by number of clusters</w:t>
      </w:r>
    </w:p>
    <w:p w14:paraId="549E1081" w14:textId="77777777" w:rsidR="00613364" w:rsidRPr="000F2BC3" w:rsidRDefault="00C27EE7" w:rsidP="000F2BC3">
      <w:pPr>
        <w:spacing w:line="360" w:lineRule="auto"/>
        <w:jc w:val="both"/>
        <w:rPr>
          <w:rFonts w:asciiTheme="majorHAnsi" w:hAnsiTheme="majorHAnsi" w:cstheme="majorHAnsi"/>
          <w:color w:val="000000" w:themeColor="text1"/>
          <w:sz w:val="22"/>
          <w:szCs w:val="22"/>
        </w:rPr>
      </w:pPr>
      <w:r w:rsidRPr="000F2BC3">
        <w:rPr>
          <w:rFonts w:asciiTheme="majorHAnsi" w:hAnsiTheme="majorHAnsi" w:cstheme="majorHAnsi"/>
          <w:noProof/>
          <w:color w:val="000000" w:themeColor="text1"/>
          <w:sz w:val="22"/>
          <w:szCs w:val="22"/>
        </w:rPr>
        <w:drawing>
          <wp:inline distT="0" distB="0" distL="0" distR="0" wp14:anchorId="268F5B61" wp14:editId="64B153E1">
            <wp:extent cx="5760720" cy="31089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6"/>
                    <a:stretch>
                      <a:fillRect/>
                    </a:stretch>
                  </pic:blipFill>
                  <pic:spPr bwMode="auto">
                    <a:xfrm>
                      <a:off x="0" y="0"/>
                      <a:ext cx="5760720" cy="3108960"/>
                    </a:xfrm>
                    <a:prstGeom prst="rect">
                      <a:avLst/>
                    </a:prstGeom>
                    <a:noFill/>
                  </pic:spPr>
                </pic:pic>
              </a:graphicData>
            </a:graphic>
          </wp:inline>
        </w:drawing>
      </w:r>
    </w:p>
    <w:p w14:paraId="4EEC11BC"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16"/>
          <w:szCs w:val="16"/>
        </w:rPr>
      </w:pPr>
      <w:r w:rsidRPr="0044479D">
        <w:rPr>
          <w:rFonts w:asciiTheme="majorHAnsi" w:eastAsia="Arial" w:hAnsiTheme="majorHAnsi" w:cstheme="majorHAnsi"/>
          <w:i/>
          <w:color w:val="000000" w:themeColor="text1"/>
          <w:sz w:val="16"/>
          <w:szCs w:val="16"/>
        </w:rPr>
        <w:t xml:space="preserve">Silhouette values are modest across the whole range (0.19–0.30; all &lt;0.35). The best-silhouette partition is k=2 (Ward, 0.30). Under the Kaufman &amp; </w:t>
      </w:r>
      <w:proofErr w:type="spellStart"/>
      <w:r w:rsidRPr="0044479D">
        <w:rPr>
          <w:rFonts w:asciiTheme="majorHAnsi" w:eastAsia="Arial" w:hAnsiTheme="majorHAnsi" w:cstheme="majorHAnsi"/>
          <w:i/>
          <w:color w:val="000000" w:themeColor="text1"/>
          <w:sz w:val="16"/>
          <w:szCs w:val="16"/>
        </w:rPr>
        <w:t>Rousseeuw</w:t>
      </w:r>
      <w:proofErr w:type="spellEnd"/>
      <w:r w:rsidRPr="0044479D">
        <w:rPr>
          <w:rFonts w:asciiTheme="majorHAnsi" w:eastAsia="Arial" w:hAnsiTheme="majorHAnsi" w:cstheme="majorHAnsi"/>
          <w:i/>
          <w:color w:val="000000" w:themeColor="text1"/>
          <w:sz w:val="16"/>
          <w:szCs w:val="16"/>
        </w:rPr>
        <w:t xml:space="preserve"> criterion (silhouette &lt;0.25 = no substantial structure; 0.25–0.50 = weak structure), these values indicate that the phenotypes do not form sharp natural islands: the structure is more a continuum of severity and cardiovascular burden than discrete groups. k=4 was chosen (not the best-silhouette k=2) for clinical interpretability—allowing the exacerbation and cardiovascular-burden axes to be separated—explicitly assuming this is an interpretative decision and not a statistical optimum.</w:t>
      </w:r>
    </w:p>
    <w:p w14:paraId="269FFA30"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5CDD54AE"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3D81E201"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2ACFE0FC"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33B743E8"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7123D852"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23DE4C99" w14:textId="77777777" w:rsidR="0044479D" w:rsidRDefault="0044479D"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eastAsia="Arial" w:hAnsiTheme="majorHAnsi" w:cstheme="majorHAnsi"/>
          <w:b/>
          <w:color w:val="000000" w:themeColor="text1"/>
          <w:sz w:val="22"/>
          <w:szCs w:val="22"/>
        </w:rPr>
      </w:pPr>
    </w:p>
    <w:p w14:paraId="51713037" w14:textId="072EA78C" w:rsidR="00613364" w:rsidRPr="000F2BC3" w:rsidRDefault="00C27EE7" w:rsidP="000F2BC3">
      <w:pPr>
        <w:pBdr>
          <w:top w:val="none" w:sz="0" w:space="0" w:color="000000"/>
          <w:left w:val="none" w:sz="0" w:space="0" w:color="000000"/>
          <w:bottom w:val="none" w:sz="0" w:space="0" w:color="000000"/>
          <w:right w:val="none" w:sz="0" w:space="0" w:color="000000"/>
        </w:pBdr>
        <w:spacing w:before="140" w:after="40" w:line="360" w:lineRule="auto"/>
        <w:jc w:val="both"/>
        <w:rPr>
          <w:rFonts w:asciiTheme="majorHAnsi" w:hAnsiTheme="majorHAnsi" w:cstheme="majorHAnsi"/>
          <w:color w:val="000000" w:themeColor="text1"/>
          <w:sz w:val="22"/>
          <w:szCs w:val="22"/>
        </w:rPr>
      </w:pPr>
      <w:r w:rsidRPr="000F2BC3">
        <w:rPr>
          <w:rFonts w:asciiTheme="majorHAnsi" w:eastAsia="Arial" w:hAnsiTheme="majorHAnsi" w:cstheme="majorHAnsi"/>
          <w:b/>
          <w:color w:val="000000" w:themeColor="text1"/>
          <w:sz w:val="22"/>
          <w:szCs w:val="22"/>
        </w:rPr>
        <w:lastRenderedPageBreak/>
        <w:t xml:space="preserve">Supplementary Figure S8-2. MDS projection of the Gower distance, </w:t>
      </w:r>
      <w:proofErr w:type="spellStart"/>
      <w:r w:rsidRPr="000F2BC3">
        <w:rPr>
          <w:rFonts w:asciiTheme="majorHAnsi" w:eastAsia="Arial" w:hAnsiTheme="majorHAnsi" w:cstheme="majorHAnsi"/>
          <w:b/>
          <w:color w:val="000000" w:themeColor="text1"/>
          <w:sz w:val="22"/>
          <w:szCs w:val="22"/>
        </w:rPr>
        <w:t>coloured</w:t>
      </w:r>
      <w:proofErr w:type="spellEnd"/>
      <w:r w:rsidRPr="000F2BC3">
        <w:rPr>
          <w:rFonts w:asciiTheme="majorHAnsi" w:eastAsia="Arial" w:hAnsiTheme="majorHAnsi" w:cstheme="majorHAnsi"/>
          <w:b/>
          <w:color w:val="000000" w:themeColor="text1"/>
          <w:sz w:val="22"/>
          <w:szCs w:val="22"/>
        </w:rPr>
        <w:t xml:space="preserve"> by cluster (k=4)</w:t>
      </w:r>
    </w:p>
    <w:p w14:paraId="7E537C6D" w14:textId="77777777" w:rsidR="00613364" w:rsidRPr="000F2BC3" w:rsidRDefault="00C27EE7" w:rsidP="000F2BC3">
      <w:pPr>
        <w:spacing w:line="360" w:lineRule="auto"/>
        <w:jc w:val="both"/>
        <w:rPr>
          <w:rFonts w:asciiTheme="majorHAnsi" w:hAnsiTheme="majorHAnsi" w:cstheme="majorHAnsi"/>
          <w:color w:val="000000" w:themeColor="text1"/>
          <w:sz w:val="22"/>
          <w:szCs w:val="22"/>
        </w:rPr>
      </w:pPr>
      <w:r w:rsidRPr="000F2BC3">
        <w:rPr>
          <w:rFonts w:asciiTheme="majorHAnsi" w:hAnsiTheme="majorHAnsi" w:cstheme="majorHAnsi"/>
          <w:noProof/>
          <w:color w:val="000000" w:themeColor="text1"/>
          <w:sz w:val="22"/>
          <w:szCs w:val="22"/>
        </w:rPr>
        <w:drawing>
          <wp:inline distT="0" distB="0" distL="0" distR="0" wp14:anchorId="01EBCF0F" wp14:editId="4E7330A4">
            <wp:extent cx="5760720" cy="338328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7"/>
                    <a:stretch>
                      <a:fillRect/>
                    </a:stretch>
                  </pic:blipFill>
                  <pic:spPr bwMode="auto">
                    <a:xfrm>
                      <a:off x="0" y="0"/>
                      <a:ext cx="5760720" cy="3383280"/>
                    </a:xfrm>
                    <a:prstGeom prst="rect">
                      <a:avLst/>
                    </a:prstGeom>
                    <a:noFill/>
                  </pic:spPr>
                </pic:pic>
              </a:graphicData>
            </a:graphic>
          </wp:inline>
        </w:drawing>
      </w:r>
    </w:p>
    <w:p w14:paraId="63D9689E" w14:textId="77777777" w:rsidR="00613364" w:rsidRPr="0044479D" w:rsidRDefault="00C27EE7" w:rsidP="000F2BC3">
      <w:pPr>
        <w:pBdr>
          <w:top w:val="none" w:sz="0" w:space="0" w:color="000000"/>
          <w:left w:val="none" w:sz="0" w:space="0" w:color="000000"/>
          <w:bottom w:val="none" w:sz="0" w:space="0" w:color="000000"/>
          <w:right w:val="none" w:sz="0" w:space="0" w:color="000000"/>
        </w:pBdr>
        <w:spacing w:after="120" w:line="360" w:lineRule="auto"/>
        <w:jc w:val="both"/>
        <w:rPr>
          <w:rFonts w:asciiTheme="majorHAnsi" w:hAnsiTheme="majorHAnsi" w:cstheme="majorHAnsi"/>
          <w:color w:val="000000" w:themeColor="text1"/>
          <w:sz w:val="16"/>
          <w:szCs w:val="16"/>
        </w:rPr>
      </w:pPr>
      <w:r w:rsidRPr="0044479D">
        <w:rPr>
          <w:rFonts w:asciiTheme="majorHAnsi" w:eastAsia="Arial" w:hAnsiTheme="majorHAnsi" w:cstheme="majorHAnsi"/>
          <w:i/>
          <w:color w:val="000000" w:themeColor="text1"/>
          <w:sz w:val="16"/>
          <w:szCs w:val="16"/>
        </w:rPr>
        <w:t xml:space="preserve">The overlap between </w:t>
      </w:r>
      <w:proofErr w:type="spellStart"/>
      <w:r w:rsidRPr="0044479D">
        <w:rPr>
          <w:rFonts w:asciiTheme="majorHAnsi" w:eastAsia="Arial" w:hAnsiTheme="majorHAnsi" w:cstheme="majorHAnsi"/>
          <w:i/>
          <w:color w:val="000000" w:themeColor="text1"/>
          <w:sz w:val="16"/>
          <w:szCs w:val="16"/>
        </w:rPr>
        <w:t>colours</w:t>
      </w:r>
      <w:proofErr w:type="spellEnd"/>
      <w:r w:rsidRPr="0044479D">
        <w:rPr>
          <w:rFonts w:asciiTheme="majorHAnsi" w:eastAsia="Arial" w:hAnsiTheme="majorHAnsi" w:cstheme="majorHAnsi"/>
          <w:i/>
          <w:color w:val="000000" w:themeColor="text1"/>
          <w:sz w:val="16"/>
          <w:szCs w:val="16"/>
        </w:rPr>
        <w:t xml:space="preserve"> is consistent with a continuous structure. The projection preserves local </w:t>
      </w:r>
      <w:proofErr w:type="spellStart"/>
      <w:r w:rsidRPr="0044479D">
        <w:rPr>
          <w:rFonts w:asciiTheme="majorHAnsi" w:eastAsia="Arial" w:hAnsiTheme="majorHAnsi" w:cstheme="majorHAnsi"/>
          <w:i/>
          <w:color w:val="000000" w:themeColor="text1"/>
          <w:sz w:val="16"/>
          <w:szCs w:val="16"/>
        </w:rPr>
        <w:t>neighbourhood</w:t>
      </w:r>
      <w:proofErr w:type="spellEnd"/>
      <w:r w:rsidRPr="0044479D">
        <w:rPr>
          <w:rFonts w:asciiTheme="majorHAnsi" w:eastAsia="Arial" w:hAnsiTheme="majorHAnsi" w:cstheme="majorHAnsi"/>
          <w:i/>
          <w:color w:val="000000" w:themeColor="text1"/>
          <w:sz w:val="16"/>
          <w:szCs w:val="16"/>
        </w:rPr>
        <w:t xml:space="preserve"> but not global distances, so it is interpreted qualitatively. The point clouds overlap and fragment along technical variables rather than clean clinical boundaries, consistent with the low silhouette. Despite the continuous structure, the k=4 cut yields clinically interpretable groups.</w:t>
      </w:r>
    </w:p>
    <w:sectPr w:rsidR="00613364" w:rsidRPr="0044479D" w:rsidSect="00747CCE">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Ttulo1"/>
      <w:lvlText w:val="%1."/>
      <w:lvlJc w:val="left"/>
      <w:pPr>
        <w:ind w:left="360" w:hanging="360"/>
      </w:pPr>
    </w:lvl>
    <w:lvl w:ilvl="1">
      <w:start w:val="1"/>
      <w:numFmt w:val="decimal"/>
      <w:pStyle w:val="Ttulo2"/>
      <w:lvlText w:val="%1.%2."/>
      <w:lvlJc w:val="left"/>
      <w:pPr>
        <w:ind w:left="792" w:hanging="432"/>
      </w:pPr>
    </w:lvl>
    <w:lvl w:ilvl="2">
      <w:start w:val="1"/>
      <w:numFmt w:val="decimal"/>
      <w:pStyle w:val="Ttu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6719112">
    <w:abstractNumId w:val="1"/>
  </w:num>
  <w:num w:numId="2" w16cid:durableId="602809522">
    <w:abstractNumId w:val="2"/>
  </w:num>
  <w:num w:numId="3" w16cid:durableId="131498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efaultTableStyle w:val="Tablanormal4"/>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9D"/>
    <w:rsid w:val="00036527"/>
    <w:rsid w:val="00061B0D"/>
    <w:rsid w:val="00073835"/>
    <w:rsid w:val="000B628D"/>
    <w:rsid w:val="000F2BC3"/>
    <w:rsid w:val="001379FE"/>
    <w:rsid w:val="001C0A13"/>
    <w:rsid w:val="001D75AB"/>
    <w:rsid w:val="002577A8"/>
    <w:rsid w:val="0035500D"/>
    <w:rsid w:val="00362E65"/>
    <w:rsid w:val="004158F9"/>
    <w:rsid w:val="0044479D"/>
    <w:rsid w:val="00457CF1"/>
    <w:rsid w:val="00613364"/>
    <w:rsid w:val="00747CCE"/>
    <w:rsid w:val="007B3E96"/>
    <w:rsid w:val="008F1F48"/>
    <w:rsid w:val="00901463"/>
    <w:rsid w:val="00946CB3"/>
    <w:rsid w:val="00967FEE"/>
    <w:rsid w:val="00AE18EF"/>
    <w:rsid w:val="00AE1BDD"/>
    <w:rsid w:val="00B3547C"/>
    <w:rsid w:val="00B4379D"/>
    <w:rsid w:val="00C27329"/>
    <w:rsid w:val="00C27EE7"/>
    <w:rsid w:val="00C31EEB"/>
    <w:rsid w:val="00E7172C"/>
    <w:rsid w:val="00F03891"/>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7CE8C3"/>
  <w14:defaultImageDpi w14:val="300"/>
  <w15:docId w15:val="{82A812A4-2F41-F746-AAB1-47BA7D9E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tulo2">
    <w:name w:val="heading 2"/>
    <w:basedOn w:val="Normal"/>
    <w:next w:val="Normal"/>
    <w:link w:val="Ttulo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rte1">
    <w:name w:val="Fuerte1"/>
    <w:basedOn w:val="Fuentedeprrafopredeter"/>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a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aclara-nfasis2">
    <w:name w:val="Light List Accent 2"/>
    <w:basedOn w:val="Tabla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1Car">
    <w:name w:val="Título 1 Car"/>
    <w:basedOn w:val="Fuentedeprrafopredeter"/>
    <w:link w:val="Ttulo1"/>
    <w:uiPriority w:val="9"/>
    <w:rsid w:val="00362E65"/>
    <w:rPr>
      <w:rFonts w:asciiTheme="majorHAnsi" w:eastAsiaTheme="majorEastAsia" w:hAnsiTheme="majorHAnsi" w:cstheme="majorBidi"/>
      <w:b/>
      <w:bCs/>
      <w:sz w:val="32"/>
      <w:szCs w:val="32"/>
    </w:rPr>
  </w:style>
  <w:style w:type="character" w:customStyle="1" w:styleId="Ttulo2Car">
    <w:name w:val="Título 2 Car"/>
    <w:basedOn w:val="Fuentedeprrafopredeter"/>
    <w:link w:val="Ttulo2"/>
    <w:uiPriority w:val="9"/>
    <w:semiHidden/>
    <w:rsid w:val="00362E65"/>
    <w:rPr>
      <w:rFonts w:asciiTheme="majorHAnsi" w:eastAsiaTheme="majorEastAsia" w:hAnsiTheme="majorHAnsi" w:cstheme="majorBidi"/>
      <w:b/>
      <w:bCs/>
      <w:sz w:val="26"/>
      <w:szCs w:val="26"/>
    </w:rPr>
  </w:style>
  <w:style w:type="character" w:customStyle="1" w:styleId="Ttulo3Car">
    <w:name w:val="Título 3 Car"/>
    <w:basedOn w:val="Fuentedeprrafopredeter"/>
    <w:link w:val="Ttulo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aprofesional">
    <w:name w:val="Table Professional"/>
    <w:basedOn w:val="Tabla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DC1">
    <w:name w:val="toc 1"/>
    <w:basedOn w:val="Normal"/>
    <w:next w:val="Normal"/>
    <w:autoRedefine/>
    <w:uiPriority w:val="39"/>
    <w:unhideWhenUsed/>
    <w:rsid w:val="00FB63E7"/>
    <w:pPr>
      <w:spacing w:after="100"/>
    </w:pPr>
  </w:style>
  <w:style w:type="paragraph" w:styleId="TDC2">
    <w:name w:val="toc 2"/>
    <w:basedOn w:val="Normal"/>
    <w:next w:val="Normal"/>
    <w:autoRedefine/>
    <w:uiPriority w:val="39"/>
    <w:unhideWhenUsed/>
    <w:rsid w:val="00FB63E7"/>
    <w:pPr>
      <w:spacing w:after="100"/>
      <w:ind w:left="240"/>
    </w:pPr>
  </w:style>
  <w:style w:type="paragraph" w:styleId="Textodeglobo">
    <w:name w:val="Balloon Text"/>
    <w:basedOn w:val="Normal"/>
    <w:link w:val="TextodegloboCar"/>
    <w:uiPriority w:val="99"/>
    <w:semiHidden/>
    <w:unhideWhenUsed/>
    <w:rsid w:val="00FB63E7"/>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FB63E7"/>
    <w:rPr>
      <w:rFonts w:ascii="Lucida Grande" w:hAnsi="Lucida Grande"/>
      <w:sz w:val="18"/>
      <w:szCs w:val="18"/>
    </w:rPr>
  </w:style>
  <w:style w:type="character" w:customStyle="1" w:styleId="referenceid">
    <w:name w:val="reference_id"/>
    <w:basedOn w:val="Fuentedeprrafopredeter"/>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table" w:styleId="Tabladelista2">
    <w:name w:val="List Table 2"/>
    <w:basedOn w:val="Tablanormal"/>
    <w:uiPriority w:val="47"/>
    <w:rsid w:val="000F2BC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3">
    <w:name w:val="Plain Table 3"/>
    <w:basedOn w:val="Tablanormal"/>
    <w:uiPriority w:val="99"/>
    <w:rsid w:val="000F2BC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99"/>
    <w:rsid w:val="000F2BC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
    <w:name w:val="Table Grid"/>
    <w:basedOn w:val="Tablanormal"/>
    <w:uiPriority w:val="59"/>
    <w:rsid w:val="000F2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1clara">
    <w:name w:val="List Table 1 Light"/>
    <w:basedOn w:val="Tablanormal"/>
    <w:uiPriority w:val="46"/>
    <w:rsid w:val="000F2BC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2356</Words>
  <Characters>12960</Characters>
  <Application>Microsoft Office Word</Application>
  <DocSecurity>0</DocSecurity>
  <Lines>108</Lines>
  <Paragraphs>30</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15286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Aviles, Raul</dc:creator>
  <cp:keywords/>
  <dc:description/>
  <cp:lastModifiedBy>Alberto Calderon Montero</cp:lastModifiedBy>
  <cp:revision>2</cp:revision>
  <dcterms:created xsi:type="dcterms:W3CDTF">2026-09-13T20:18:00Z</dcterms:created>
  <dcterms:modified xsi:type="dcterms:W3CDTF">2026-09-13T20:18:00Z</dcterms:modified>
  <cp:category/>
</cp:coreProperties>
</file>