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71142" w:rsidRPr="00EB160D" w:rsidRDefault="00D71142" w:rsidP="00D71142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C1A3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de-DE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de-DE"/>
        </w:rPr>
        <w:t>3</w:t>
      </w:r>
      <w:r w:rsidRPr="00BC1A3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de-DE"/>
        </w:rPr>
        <w:t xml:space="preserve">. </w:t>
      </w:r>
      <w:r w:rsidRPr="00E07D70">
        <w:rPr>
          <w:rFonts w:ascii="Times New Roman" w:hAnsi="Times New Roman" w:cs="Times New Roman"/>
          <w:sz w:val="24"/>
          <w:szCs w:val="24"/>
          <w:shd w:val="clear" w:color="auto" w:fill="FFFFFF"/>
          <w:lang w:val="de-DE"/>
        </w:rPr>
        <w:t>Injury patterns of polytrauma patients</w:t>
      </w:r>
      <w:r w:rsidR="00CF5A56" w:rsidRPr="00CF5A56">
        <w:rPr>
          <w:rFonts w:ascii="Times New Roman" w:hAnsi="Times New Roman" w:cs="Times New Roman"/>
          <w:noProof/>
          <w14:ligatures w14:val="standardContextual"/>
        </w:rPr>
        <w:pict w14:anchorId="63E94F67">
          <v:rect id="_x0000_i1027" alt="" style="width:451.35pt;height:.05pt;mso-width-percent:0;mso-height-percent:0;mso-width-percent:0;mso-height-percent:0" o:hrpct="995" o:hralign="center" o:hrstd="t" o:hr="t" fillcolor="#a0a0a0" stroked="f"/>
        </w:pict>
      </w:r>
    </w:p>
    <w:p w:rsidR="00D71142" w:rsidRDefault="00D71142" w:rsidP="00D71142">
      <w:pPr>
        <w:ind w:right="-1174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EB16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                                                      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Polytrauma patients  </w:t>
      </w:r>
    </w:p>
    <w:p w:rsidR="00D71142" w:rsidRDefault="00D71142" w:rsidP="00D71142">
      <w:pPr>
        <w:ind w:right="-1174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                                                                                                          (n=1</w:t>
      </w:r>
      <w:r w:rsidR="000378AB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62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)</w:t>
      </w:r>
    </w:p>
    <w:p w:rsidR="00D71142" w:rsidRDefault="00D71142" w:rsidP="00D71142">
      <w:pPr>
        <w:ind w:right="-1174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                                                                                                      n               %</w:t>
      </w:r>
    </w:p>
    <w:p w:rsidR="00D71142" w:rsidRPr="00EB160D" w:rsidRDefault="00CF5A56" w:rsidP="00D71142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CF5A56">
        <w:rPr>
          <w:rFonts w:ascii="Times New Roman" w:hAnsi="Times New Roman" w:cs="Times New Roman"/>
          <w:noProof/>
          <w14:ligatures w14:val="standardContextual"/>
        </w:rPr>
        <w:pict w14:anchorId="4EF68520">
          <v:rect id="_x0000_i1026" alt="" style="width:451.35pt;height:.05pt;mso-width-percent:0;mso-height-percent:0;mso-width-percent:0;mso-height-percent:0" o:hrpct="995" o:hralign="center" o:hrstd="t" o:hr="t" fillcolor="#a0a0a0" stroked="f"/>
        </w:pict>
      </w:r>
    </w:p>
    <w:p w:rsidR="00D71142" w:rsidRPr="00A127BB" w:rsidRDefault="00D71142" w:rsidP="00D7114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Head injuries                                                                                      1</w:t>
      </w:r>
      <w:r w:rsidR="00DE7F31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="00BD5D64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67</w:t>
      </w: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D5D64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</w:p>
    <w:p w:rsidR="00D71142" w:rsidRPr="00A127BB" w:rsidRDefault="00D71142" w:rsidP="00D7114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Extremity injuries                                                                              </w:t>
      </w:r>
      <w:r w:rsidR="00BD5D64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103</w:t>
      </w: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="00BD5D64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63</w:t>
      </w: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D5D64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:rsidR="00D71142" w:rsidRPr="00A127BB" w:rsidRDefault="00D71142" w:rsidP="00D7114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Maxillofacial injuries                                                                          </w:t>
      </w:r>
      <w:r w:rsidR="00BD5D64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64</w:t>
      </w: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3</w:t>
      </w:r>
      <w:r w:rsidR="00BD5D64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D5D64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:rsidR="00D71142" w:rsidRPr="00A127BB" w:rsidRDefault="00D71142" w:rsidP="00D7114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Pneumothorax, hemopneumothorax, contusion                               </w:t>
      </w:r>
      <w:r w:rsidR="00A127BB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127BB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62</w:t>
      </w: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="00A127BB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38</w:t>
      </w: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127BB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:rsidR="00D71142" w:rsidRPr="00A127BB" w:rsidRDefault="00D71142" w:rsidP="00D7114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Pelvic injuries                                                                                     </w:t>
      </w:r>
      <w:r w:rsidR="00A127BB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18.</w:t>
      </w:r>
      <w:r w:rsidR="00A127BB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:rsidR="00D71142" w:rsidRPr="00A127BB" w:rsidRDefault="00D71142" w:rsidP="00D7114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Rib fracture                                                                                         2</w:t>
      </w:r>
      <w:r w:rsidR="00A127BB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13.</w:t>
      </w:r>
      <w:r w:rsidR="00A127BB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:rsidR="00D71142" w:rsidRPr="00A127BB" w:rsidRDefault="00D71142" w:rsidP="00D7114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Spine injury                                                                                        2</w:t>
      </w:r>
      <w:r w:rsidR="00A127BB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12.</w:t>
      </w:r>
      <w:r w:rsidR="00A127BB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</w:p>
    <w:p w:rsidR="00D71142" w:rsidRPr="00A127BB" w:rsidRDefault="00D71142" w:rsidP="00D7114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Hepatic, splenic, renal injuries                                                           1</w:t>
      </w:r>
      <w:r w:rsidR="00A127BB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="00A127BB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9</w:t>
      </w: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.2</w:t>
      </w:r>
    </w:p>
    <w:p w:rsidR="00D71142" w:rsidRPr="00A127BB" w:rsidRDefault="00D71142" w:rsidP="00D7114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Gastrointestinal injuries                                                                      1</w:t>
      </w:r>
      <w:r w:rsidR="00A127BB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="00A127BB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</w:t>
      </w: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127BB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</w:p>
    <w:p w:rsidR="00D71142" w:rsidRPr="00A127BB" w:rsidRDefault="00D71142" w:rsidP="00D7114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Clavicle, scapula, sternum fractures                                                   1</w:t>
      </w:r>
      <w:r w:rsidR="00A127BB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="00A127BB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A127BB" w:rsidRPr="00A127BB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</w:p>
    <w:p w:rsidR="00D71142" w:rsidRPr="00BC1A38" w:rsidRDefault="00CF5A56" w:rsidP="00D7114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de-DE"/>
        </w:rPr>
      </w:pPr>
      <w:r w:rsidRPr="00CF5A56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pict w14:anchorId="482157C9">
          <v:rect id="_x0000_i1025" alt="" style="width:451.35pt;height:.05pt;mso-width-percent:0;mso-height-percent:0;mso-width-percent:0;mso-height-percent:0" o:hrpct="995" o:hralign="center" o:hrstd="t" o:hr="t" fillcolor="#a0a0a0" stroked="f"/>
        </w:pict>
      </w:r>
    </w:p>
    <w:p w:rsidR="00D71142" w:rsidRPr="00BC1A38" w:rsidRDefault="00D71142" w:rsidP="00D7114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de-DE"/>
        </w:rPr>
      </w:pPr>
      <w:r w:rsidRPr="00BC1A3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de-DE"/>
        </w:rPr>
        <w:t>Values ​​are expressed as the number of patients and percentage.</w:t>
      </w:r>
    </w:p>
    <w:p w:rsidR="00D71142" w:rsidRDefault="00D71142" w:rsidP="00D71142">
      <w:pPr>
        <w:spacing w:line="360" w:lineRule="auto"/>
        <w:rPr>
          <w:rFonts w:ascii="Century Gothic" w:eastAsiaTheme="minorHAnsi" w:hAnsi="Century Gothic" w:cs="Times New Roman"/>
          <w:b/>
          <w:bCs/>
          <w:color w:val="000000" w:themeColor="text1"/>
          <w:sz w:val="24"/>
          <w:szCs w:val="24"/>
          <w:lang w:val="tr-TR" w:eastAsia="en-US"/>
          <w14:ligatures w14:val="standardContextual"/>
        </w:rPr>
      </w:pPr>
    </w:p>
    <w:p w:rsidR="00D71142" w:rsidRDefault="00D71142"/>
    <w:sectPr w:rsidR="00D71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142"/>
    <w:rsid w:val="000378AB"/>
    <w:rsid w:val="002B74C3"/>
    <w:rsid w:val="00A127BB"/>
    <w:rsid w:val="00A45D8D"/>
    <w:rsid w:val="00BB5601"/>
    <w:rsid w:val="00BD5D64"/>
    <w:rsid w:val="00CF5A56"/>
    <w:rsid w:val="00D71142"/>
    <w:rsid w:val="00DE7F31"/>
    <w:rsid w:val="00E2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A9154"/>
  <w15:chartTrackingRefBased/>
  <w15:docId w15:val="{DD463DA0-D9E8-D241-B6D0-E19CF22F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142"/>
    <w:pPr>
      <w:spacing w:line="276" w:lineRule="auto"/>
    </w:pPr>
    <w:rPr>
      <w:rFonts w:ascii="Arial" w:eastAsia="Arial" w:hAnsi="Arial" w:cs="Arial"/>
      <w:kern w:val="0"/>
      <w:sz w:val="22"/>
      <w:szCs w:val="22"/>
      <w:lang w:val="tr"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 ARSLAN</dc:creator>
  <cp:keywords/>
  <dc:description/>
  <cp:lastModifiedBy>Kadir ARSLAN</cp:lastModifiedBy>
  <cp:revision>3</cp:revision>
  <dcterms:created xsi:type="dcterms:W3CDTF">2024-11-01T07:27:00Z</dcterms:created>
  <dcterms:modified xsi:type="dcterms:W3CDTF">2026-09-08T12:54:00Z</dcterms:modified>
</cp:coreProperties>
</file>