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95C72" w:rsidRPr="00BC1A38" w:rsidRDefault="00DF1A0A" w:rsidP="00DF1A0A">
      <w:pPr>
        <w:autoSpaceDE w:val="0"/>
        <w:autoSpaceDN w:val="0"/>
        <w:adjustRightInd w:val="0"/>
        <w:spacing w:line="480" w:lineRule="auto"/>
        <w:rPr>
          <w:rFonts w:ascii="Times New Roman" w:eastAsiaTheme="minorHAnsi" w:hAnsi="Times New Roman" w:cs="Times New Roman"/>
          <w:sz w:val="24"/>
          <w:szCs w:val="24"/>
          <w:lang w:val="tr-TR" w:eastAsia="en-US"/>
          <w14:ligatures w14:val="standardContextual"/>
        </w:rPr>
      </w:pPr>
      <w:r w:rsidRPr="00DF1A0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Table 5. </w:t>
      </w:r>
      <w:r w:rsidRPr="00DF1A0A">
        <w:rPr>
          <w:rFonts w:ascii="Times New Roman" w:hAnsi="Times New Roman" w:cs="Times New Roman"/>
          <w:sz w:val="24"/>
          <w:szCs w:val="24"/>
          <w:shd w:val="clear" w:color="auto" w:fill="FFFFFF"/>
        </w:rPr>
        <w:t>ROC analysis of HALP, CALLY, and PNI for predicting in-hospital mortality</w:t>
      </w:r>
      <w:r w:rsidR="00E834F0" w:rsidRPr="00E834F0">
        <w:rPr>
          <w:rFonts w:ascii="Times New Roman" w:hAnsi="Times New Roman" w:cs="Times New Roman"/>
          <w:noProof/>
          <w14:ligatures w14:val="standardContextual"/>
        </w:rPr>
        <w:pict w14:anchorId="392C39EA">
          <v:rect id="_x0000_i1027" alt="" style="width:451.35pt;height:.05pt;mso-width-percent:0;mso-height-percent:0;mso-width-percent:0;mso-height-percent:0" o:hrpct="995" o:hralign="center" o:hrstd="t" o:hr="t" fillcolor="#a0a0a0" stroked="f"/>
        </w:pict>
      </w:r>
    </w:p>
    <w:p w:rsidR="00E95C72" w:rsidRPr="00BC1A38" w:rsidRDefault="00E95C72" w:rsidP="00DF1A0A">
      <w:pPr>
        <w:autoSpaceDE w:val="0"/>
        <w:autoSpaceDN w:val="0"/>
        <w:adjustRightInd w:val="0"/>
        <w:spacing w:line="48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tr-TR" w:eastAsia="en-US"/>
          <w14:ligatures w14:val="standardContextual"/>
        </w:rPr>
      </w:pPr>
      <w:r w:rsidRPr="00BC1A38">
        <w:rPr>
          <w:rFonts w:ascii="Times New Roman" w:eastAsiaTheme="minorHAnsi" w:hAnsi="Times New Roman" w:cs="Times New Roman"/>
          <w:b/>
          <w:bCs/>
          <w:sz w:val="24"/>
          <w:szCs w:val="24"/>
          <w:lang w:val="tr-TR" w:eastAsia="en-US"/>
          <w14:ligatures w14:val="standardContextual"/>
        </w:rPr>
        <w:t xml:space="preserve">   </w:t>
      </w:r>
      <w:r w:rsidR="00DF1A0A">
        <w:rPr>
          <w:rFonts w:ascii="Times New Roman" w:eastAsiaTheme="minorHAnsi" w:hAnsi="Times New Roman" w:cs="Times New Roman"/>
          <w:b/>
          <w:bCs/>
          <w:sz w:val="24"/>
          <w:szCs w:val="24"/>
          <w:lang w:val="tr-TR" w:eastAsia="en-US"/>
          <w14:ligatures w14:val="standardContextual"/>
        </w:rPr>
        <w:t>Index</w:t>
      </w:r>
      <w:r w:rsidRPr="00BC1A38">
        <w:rPr>
          <w:rFonts w:ascii="Times New Roman" w:eastAsiaTheme="minorHAnsi" w:hAnsi="Times New Roman" w:cs="Times New Roman"/>
          <w:b/>
          <w:bCs/>
          <w:sz w:val="24"/>
          <w:szCs w:val="24"/>
          <w:lang w:val="tr-TR" w:eastAsia="en-US"/>
          <w14:ligatures w14:val="standardContextual"/>
        </w:rPr>
        <w:t xml:space="preserve">         </w:t>
      </w:r>
      <w:r w:rsidR="00DF1A0A">
        <w:rPr>
          <w:rFonts w:ascii="Times New Roman" w:eastAsiaTheme="minorHAnsi" w:hAnsi="Times New Roman" w:cs="Times New Roman"/>
          <w:b/>
          <w:bCs/>
          <w:sz w:val="24"/>
          <w:szCs w:val="24"/>
          <w:lang w:val="tr-TR" w:eastAsia="en-US"/>
          <w14:ligatures w14:val="standardContextual"/>
        </w:rPr>
        <w:t xml:space="preserve">         </w:t>
      </w:r>
      <w:r w:rsidRPr="00BC1A38">
        <w:rPr>
          <w:rFonts w:ascii="Times New Roman" w:eastAsiaTheme="minorHAnsi" w:hAnsi="Times New Roman" w:cs="Times New Roman"/>
          <w:b/>
          <w:bCs/>
          <w:sz w:val="24"/>
          <w:szCs w:val="24"/>
          <w:lang w:val="tr-TR" w:eastAsia="en-US"/>
          <w14:ligatures w14:val="standardContextual"/>
        </w:rPr>
        <w:t xml:space="preserve"> </w:t>
      </w:r>
      <w:r w:rsidR="00DF1A0A" w:rsidRPr="00BC1A38">
        <w:rPr>
          <w:rFonts w:ascii="Times New Roman" w:eastAsiaTheme="minorHAnsi" w:hAnsi="Times New Roman" w:cs="Times New Roman"/>
          <w:b/>
          <w:bCs/>
          <w:sz w:val="24"/>
          <w:szCs w:val="24"/>
          <w:lang w:val="tr-TR" w:eastAsia="en-US"/>
          <w14:ligatures w14:val="standardContextual"/>
        </w:rPr>
        <w:t xml:space="preserve">AUC </w:t>
      </w:r>
      <w:r w:rsidR="00FA2228">
        <w:rPr>
          <w:rFonts w:ascii="Times New Roman" w:eastAsiaTheme="minorHAnsi" w:hAnsi="Times New Roman" w:cs="Times New Roman"/>
          <w:b/>
          <w:bCs/>
          <w:sz w:val="24"/>
          <w:szCs w:val="24"/>
          <w:lang w:val="tr-TR" w:eastAsia="en-US"/>
          <w14:ligatures w14:val="standardContextual"/>
        </w:rPr>
        <w:t xml:space="preserve">        </w:t>
      </w:r>
      <w:r w:rsidR="00DF1A0A" w:rsidRPr="00BC1A38">
        <w:rPr>
          <w:rFonts w:ascii="Times New Roman" w:eastAsiaTheme="minorHAnsi" w:hAnsi="Times New Roman" w:cs="Times New Roman"/>
          <w:b/>
          <w:bCs/>
          <w:sz w:val="24"/>
          <w:szCs w:val="24"/>
          <w:lang w:val="tr-TR" w:eastAsia="en-US"/>
          <w14:ligatures w14:val="standardContextual"/>
        </w:rPr>
        <w:t>95% CI</w:t>
      </w:r>
      <w:r w:rsidR="00DF1A0A">
        <w:rPr>
          <w:rFonts w:ascii="Times New Roman" w:eastAsiaTheme="minorHAnsi" w:hAnsi="Times New Roman" w:cs="Times New Roman"/>
          <w:b/>
          <w:bCs/>
          <w:sz w:val="24"/>
          <w:szCs w:val="24"/>
          <w:lang w:val="tr-TR" w:eastAsia="en-US"/>
          <w14:ligatures w14:val="standardContextual"/>
        </w:rPr>
        <w:t xml:space="preserve">      </w:t>
      </w:r>
      <w:r w:rsidR="00FA2228">
        <w:rPr>
          <w:rFonts w:ascii="Times New Roman" w:eastAsiaTheme="minorHAnsi" w:hAnsi="Times New Roman" w:cs="Times New Roman"/>
          <w:b/>
          <w:bCs/>
          <w:sz w:val="24"/>
          <w:szCs w:val="24"/>
          <w:lang w:val="tr-TR" w:eastAsia="en-US"/>
          <w14:ligatures w14:val="standardContextual"/>
        </w:rPr>
        <w:t xml:space="preserve">     </w:t>
      </w:r>
      <w:r w:rsidR="00DF1A0A">
        <w:rPr>
          <w:rFonts w:ascii="Times New Roman" w:eastAsiaTheme="minorHAnsi" w:hAnsi="Times New Roman" w:cs="Times New Roman"/>
          <w:b/>
          <w:bCs/>
          <w:sz w:val="24"/>
          <w:szCs w:val="24"/>
          <w:lang w:val="tr-TR" w:eastAsia="en-US"/>
          <w14:ligatures w14:val="standardContextual"/>
        </w:rPr>
        <w:t xml:space="preserve"> </w:t>
      </w:r>
      <w:r w:rsidRPr="00BC1A38">
        <w:rPr>
          <w:rFonts w:ascii="Times New Roman" w:eastAsiaTheme="minorHAnsi" w:hAnsi="Times New Roman" w:cs="Times New Roman"/>
          <w:b/>
          <w:bCs/>
          <w:sz w:val="24"/>
          <w:szCs w:val="24"/>
          <w:lang w:val="tr-TR" w:eastAsia="en-US"/>
          <w14:ligatures w14:val="standardContextual"/>
        </w:rPr>
        <w:t xml:space="preserve">Cut-off      Sensitivity      Specificity       </w:t>
      </w:r>
    </w:p>
    <w:p w:rsidR="00E95C72" w:rsidRPr="00BC1A38" w:rsidRDefault="00E834F0" w:rsidP="00DF1A0A">
      <w:pPr>
        <w:autoSpaceDE w:val="0"/>
        <w:autoSpaceDN w:val="0"/>
        <w:adjustRightInd w:val="0"/>
        <w:spacing w:line="480" w:lineRule="auto"/>
        <w:jc w:val="both"/>
        <w:rPr>
          <w:rFonts w:ascii="Times New Roman" w:eastAsiaTheme="minorHAnsi" w:hAnsi="Times New Roman" w:cs="Times New Roman"/>
          <w:sz w:val="24"/>
          <w:szCs w:val="24"/>
          <w:lang w:val="tr-TR" w:eastAsia="en-US"/>
          <w14:ligatures w14:val="standardContextual"/>
        </w:rPr>
      </w:pPr>
      <w:r w:rsidRPr="00E834F0">
        <w:rPr>
          <w:rFonts w:ascii="Times New Roman" w:hAnsi="Times New Roman" w:cs="Times New Roman"/>
          <w:noProof/>
          <w14:ligatures w14:val="standardContextual"/>
        </w:rPr>
        <w:pict w14:anchorId="2872A144">
          <v:rect id="_x0000_i1026" alt="" style="width:451.35pt;height:.05pt;mso-width-percent:0;mso-height-percent:0;mso-width-percent:0;mso-height-percent:0" o:hrpct="995" o:hralign="center" o:hrstd="t" o:hr="t" fillcolor="#a0a0a0" stroked="f"/>
        </w:pict>
      </w:r>
    </w:p>
    <w:p w:rsidR="00DF1A0A" w:rsidRPr="00DF1A0A" w:rsidRDefault="00DF1A0A" w:rsidP="00DF1A0A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</w:rPr>
        <w:t xml:space="preserve"> </w:t>
      </w:r>
      <w:r w:rsidRPr="00DF1A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</w:rPr>
        <w:t>HALP</w:t>
      </w:r>
      <w:r w:rsidR="00FA222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</w:rPr>
        <w:t xml:space="preserve">                    </w:t>
      </w:r>
      <w:r w:rsidR="00FA2228" w:rsidRPr="00FA2228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 xml:space="preserve">0.537 </w:t>
      </w:r>
      <w:r w:rsidR="00FA2228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 xml:space="preserve">     </w:t>
      </w:r>
      <w:r w:rsidR="00FA2228" w:rsidRPr="00FA2228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>0.396–0.677</w:t>
      </w:r>
      <w:r w:rsidR="00FA2228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 xml:space="preserve">          </w:t>
      </w:r>
      <w:r w:rsidR="00FA2228" w:rsidRPr="00FA2228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>≤</w:t>
      </w:r>
      <w:r w:rsidR="00FA2228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 xml:space="preserve"> </w:t>
      </w:r>
      <w:r w:rsidR="00FA2228" w:rsidRPr="00FA2228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>2.03</w:t>
      </w:r>
      <w:r w:rsidR="00FA2228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 xml:space="preserve">              </w:t>
      </w:r>
      <w:r w:rsidR="00FA2228" w:rsidRPr="00FA2228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>57.9</w:t>
      </w:r>
      <w:r w:rsidR="00FA2228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 xml:space="preserve">                </w:t>
      </w:r>
      <w:r w:rsidR="00FA2228" w:rsidRPr="00FA2228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>61.5</w:t>
      </w:r>
    </w:p>
    <w:p w:rsidR="00DF1A0A" w:rsidRPr="00DF1A0A" w:rsidRDefault="00DF1A0A" w:rsidP="00DF1A0A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</w:rPr>
        <w:t xml:space="preserve"> </w:t>
      </w:r>
      <w:r w:rsidRPr="00DF1A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</w:rPr>
        <w:t>CALLY</w:t>
      </w:r>
      <w:r w:rsidR="00FA222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</w:rPr>
        <w:t xml:space="preserve">                 </w:t>
      </w:r>
      <w:r w:rsidR="00FA2228" w:rsidRPr="00FA2228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>0.648</w:t>
      </w:r>
      <w:r w:rsidR="00137C8D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 xml:space="preserve">      </w:t>
      </w:r>
      <w:r w:rsidR="00137C8D" w:rsidRPr="00137C8D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>0.507–0.789</w:t>
      </w:r>
      <w:r w:rsidR="00137C8D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 xml:space="preserve">          </w:t>
      </w:r>
      <w:r w:rsidR="00137C8D" w:rsidRPr="00137C8D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>≤</w:t>
      </w:r>
      <w:r w:rsidR="00137C8D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 xml:space="preserve"> </w:t>
      </w:r>
      <w:r w:rsidR="00137C8D" w:rsidRPr="00137C8D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>0.55</w:t>
      </w:r>
      <w:r w:rsidR="00137C8D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 xml:space="preserve">              </w:t>
      </w:r>
      <w:r w:rsidR="00137C8D" w:rsidRPr="00137C8D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>47.4</w:t>
      </w:r>
      <w:r w:rsidR="00137C8D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 xml:space="preserve">                </w:t>
      </w:r>
      <w:r w:rsidR="00137C8D" w:rsidRPr="00137C8D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>83.9</w:t>
      </w:r>
      <w:r w:rsidR="00137C8D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 xml:space="preserve">         </w:t>
      </w:r>
    </w:p>
    <w:p w:rsidR="00E95C72" w:rsidRPr="00DF1A0A" w:rsidRDefault="00DF1A0A" w:rsidP="00DF1A0A">
      <w:pPr>
        <w:spacing w:line="480" w:lineRule="auto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</w:rPr>
        <w:t xml:space="preserve"> </w:t>
      </w:r>
      <w:r w:rsidRPr="00DF1A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</w:rPr>
        <w:t>PNI</w:t>
      </w:r>
      <w:r w:rsidR="00E95C72" w:rsidRPr="00DF1A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</w:rPr>
        <w:t xml:space="preserve">  </w:t>
      </w:r>
      <w:r w:rsidR="00E95C72" w:rsidRPr="00DF1A0A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14:ligatures w14:val="standardContextual"/>
        </w:rPr>
        <w:t xml:space="preserve">  </w:t>
      </w:r>
      <w:r w:rsidR="00137C8D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14:ligatures w14:val="standardContextual"/>
        </w:rPr>
        <w:t xml:space="preserve">                    </w:t>
      </w:r>
      <w:r w:rsidR="00137C8D" w:rsidRPr="00137C8D">
        <w:rPr>
          <w:rFonts w:ascii="Times New Roman" w:hAnsi="Times New Roman" w:cs="Times New Roman"/>
          <w:noProof/>
          <w:color w:val="000000" w:themeColor="text1"/>
          <w:sz w:val="24"/>
          <w:szCs w:val="24"/>
          <w14:ligatures w14:val="standardContextual"/>
        </w:rPr>
        <w:t>0.740</w:t>
      </w:r>
      <w:r w:rsidR="00137C8D">
        <w:rPr>
          <w:rFonts w:ascii="Times New Roman" w:hAnsi="Times New Roman" w:cs="Times New Roman"/>
          <w:noProof/>
          <w:color w:val="000000" w:themeColor="text1"/>
          <w:sz w:val="24"/>
          <w:szCs w:val="24"/>
          <w14:ligatures w14:val="standardContextual"/>
        </w:rPr>
        <w:t xml:space="preserve">      </w:t>
      </w:r>
      <w:r w:rsidR="00137C8D" w:rsidRPr="00137C8D">
        <w:rPr>
          <w:rFonts w:ascii="Times New Roman" w:hAnsi="Times New Roman" w:cs="Times New Roman"/>
          <w:noProof/>
          <w:color w:val="000000" w:themeColor="text1"/>
          <w:sz w:val="24"/>
          <w:szCs w:val="24"/>
          <w14:ligatures w14:val="standardContextual"/>
        </w:rPr>
        <w:t>0.607–0.873</w:t>
      </w:r>
      <w:r w:rsidR="00137C8D">
        <w:rPr>
          <w:rFonts w:ascii="Times New Roman" w:hAnsi="Times New Roman" w:cs="Times New Roman"/>
          <w:noProof/>
          <w:color w:val="000000" w:themeColor="text1"/>
          <w:sz w:val="24"/>
          <w:szCs w:val="24"/>
          <w14:ligatures w14:val="standardContextual"/>
        </w:rPr>
        <w:t xml:space="preserve">         </w:t>
      </w:r>
      <w:r w:rsidR="00137C8D" w:rsidRPr="00137C8D">
        <w:rPr>
          <w:rFonts w:ascii="Times New Roman" w:hAnsi="Times New Roman" w:cs="Times New Roman"/>
          <w:noProof/>
          <w:color w:val="000000" w:themeColor="text1"/>
          <w:sz w:val="24"/>
          <w:szCs w:val="24"/>
          <w14:ligatures w14:val="standardContextual"/>
        </w:rPr>
        <w:t>≤</w:t>
      </w:r>
      <w:r w:rsidR="00137C8D">
        <w:rPr>
          <w:rFonts w:ascii="Times New Roman" w:hAnsi="Times New Roman" w:cs="Times New Roman"/>
          <w:noProof/>
          <w:color w:val="000000" w:themeColor="text1"/>
          <w:sz w:val="24"/>
          <w:szCs w:val="24"/>
          <w14:ligatures w14:val="standardContextual"/>
        </w:rPr>
        <w:t xml:space="preserve"> </w:t>
      </w:r>
      <w:r w:rsidR="00137C8D" w:rsidRPr="00137C8D">
        <w:rPr>
          <w:rFonts w:ascii="Times New Roman" w:hAnsi="Times New Roman" w:cs="Times New Roman"/>
          <w:noProof/>
          <w:color w:val="000000" w:themeColor="text1"/>
          <w:sz w:val="24"/>
          <w:szCs w:val="24"/>
          <w14:ligatures w14:val="standardContextual"/>
        </w:rPr>
        <w:t>40.</w:t>
      </w:r>
      <w:r w:rsidR="00137C8D">
        <w:rPr>
          <w:rFonts w:ascii="Times New Roman" w:hAnsi="Times New Roman" w:cs="Times New Roman"/>
          <w:noProof/>
          <w:color w:val="000000" w:themeColor="text1"/>
          <w:sz w:val="24"/>
          <w:szCs w:val="24"/>
          <w14:ligatures w14:val="standardContextual"/>
        </w:rPr>
        <w:t>0               85.7                35.7</w:t>
      </w:r>
    </w:p>
    <w:p w:rsidR="00E95C72" w:rsidRPr="00BC1A38" w:rsidRDefault="00E834F0" w:rsidP="00E95C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34F0">
        <w:rPr>
          <w:rFonts w:ascii="Times New Roman" w:hAnsi="Times New Roman" w:cs="Times New Roman"/>
          <w:noProof/>
          <w14:ligatures w14:val="standardContextual"/>
        </w:rPr>
        <w:pict w14:anchorId="20F03EEC">
          <v:rect id="_x0000_i1025" alt="" style="width:451.35pt;height:.05pt;mso-width-percent:0;mso-height-percent:0;mso-width-percent:0;mso-height-percent:0" o:hrpct="995" o:hralign="center" o:hrstd="t" o:hr="t" fillcolor="#a0a0a0" stroked="f"/>
        </w:pict>
      </w:r>
    </w:p>
    <w:p w:rsidR="00A563C5" w:rsidRPr="002A3690" w:rsidRDefault="00E95C72" w:rsidP="00A563C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507CEA">
        <w:rPr>
          <w:rFonts w:ascii="Times New Roman" w:hAnsi="Times New Roman" w:cs="Times New Roman"/>
          <w:b/>
          <w:bCs/>
          <w:sz w:val="24"/>
          <w:szCs w:val="24"/>
        </w:rPr>
        <w:t xml:space="preserve">AUC: </w:t>
      </w:r>
      <w:r w:rsidRPr="00507CEA">
        <w:rPr>
          <w:rFonts w:ascii="Times New Roman" w:hAnsi="Times New Roman" w:cs="Times New Roman"/>
          <w:sz w:val="24"/>
          <w:szCs w:val="24"/>
        </w:rPr>
        <w:t>Area under curve,</w:t>
      </w:r>
      <w:r w:rsidRPr="00507C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563C5" w:rsidRPr="002A3690">
        <w:rPr>
          <w:rFonts w:ascii="Times New Roman" w:hAnsi="Times New Roman" w:cs="Times New Roman"/>
          <w:b/>
          <w:bCs/>
          <w:sz w:val="24"/>
          <w:szCs w:val="24"/>
          <w:lang w:val="tr-TR"/>
        </w:rPr>
        <w:t>HALP:</w:t>
      </w:r>
      <w:r w:rsidR="00A563C5" w:rsidRPr="002A369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A563C5">
        <w:rPr>
          <w:rFonts w:ascii="Times New Roman" w:hAnsi="Times New Roman" w:cs="Times New Roman"/>
          <w:sz w:val="24"/>
          <w:szCs w:val="24"/>
          <w:lang w:val="tr-TR"/>
        </w:rPr>
        <w:t>H</w:t>
      </w:r>
      <w:r w:rsidR="00A563C5" w:rsidRPr="002A3690">
        <w:rPr>
          <w:rFonts w:ascii="Times New Roman" w:hAnsi="Times New Roman" w:cs="Times New Roman"/>
          <w:sz w:val="24"/>
          <w:szCs w:val="24"/>
          <w:lang w:val="tr-TR"/>
        </w:rPr>
        <w:t>emoglobin-albumin-lymphocyte-platelet score</w:t>
      </w:r>
      <w:r w:rsidR="00A563C5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A563C5" w:rsidRPr="002A369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A563C5" w:rsidRPr="002A3690">
        <w:rPr>
          <w:rFonts w:ascii="Times New Roman" w:hAnsi="Times New Roman" w:cs="Times New Roman"/>
          <w:b/>
          <w:bCs/>
          <w:sz w:val="24"/>
          <w:szCs w:val="24"/>
          <w:lang w:val="tr-TR"/>
        </w:rPr>
        <w:t>CALLY:</w:t>
      </w:r>
      <w:r w:rsidR="00A563C5" w:rsidRPr="002A3690">
        <w:rPr>
          <w:rFonts w:ascii="Times New Roman" w:hAnsi="Times New Roman" w:cs="Times New Roman"/>
          <w:sz w:val="24"/>
          <w:szCs w:val="24"/>
          <w:lang w:val="tr-TR"/>
        </w:rPr>
        <w:t xml:space="preserve"> C-reactive protein-albumin-lymphocyte index</w:t>
      </w:r>
      <w:r w:rsidR="00A563C5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A563C5" w:rsidRPr="002A369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A563C5" w:rsidRPr="002A3690">
        <w:rPr>
          <w:rFonts w:ascii="Times New Roman" w:hAnsi="Times New Roman" w:cs="Times New Roman"/>
          <w:b/>
          <w:bCs/>
          <w:sz w:val="24"/>
          <w:szCs w:val="24"/>
          <w:lang w:val="tr-TR"/>
        </w:rPr>
        <w:t>PNI:</w:t>
      </w:r>
      <w:r w:rsidR="00A563C5" w:rsidRPr="002A3690">
        <w:rPr>
          <w:rFonts w:ascii="Times New Roman" w:hAnsi="Times New Roman" w:cs="Times New Roman"/>
          <w:sz w:val="24"/>
          <w:szCs w:val="24"/>
          <w:lang w:val="tr-TR"/>
        </w:rPr>
        <w:t xml:space="preserve"> Prognostic Nutritional Index.</w:t>
      </w:r>
    </w:p>
    <w:p w:rsidR="00E95C72" w:rsidRPr="00507CEA" w:rsidRDefault="00E95C72" w:rsidP="00E95C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95C72" w:rsidRDefault="00E95C72"/>
    <w:sectPr w:rsidR="00E95C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C72"/>
    <w:rsid w:val="00137C8D"/>
    <w:rsid w:val="002564EF"/>
    <w:rsid w:val="005B0188"/>
    <w:rsid w:val="00A45D8D"/>
    <w:rsid w:val="00A563C5"/>
    <w:rsid w:val="00A67D94"/>
    <w:rsid w:val="00B81927"/>
    <w:rsid w:val="00DF1A0A"/>
    <w:rsid w:val="00E834F0"/>
    <w:rsid w:val="00E95C72"/>
    <w:rsid w:val="00FA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3E379D-0248-424D-9C8A-AC30A1644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C72"/>
    <w:pPr>
      <w:spacing w:line="276" w:lineRule="auto"/>
    </w:pPr>
    <w:rPr>
      <w:rFonts w:ascii="Arial" w:eastAsia="Arial" w:hAnsi="Arial" w:cs="Arial"/>
      <w:kern w:val="0"/>
      <w:sz w:val="22"/>
      <w:szCs w:val="22"/>
      <w:lang w:val="tr"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3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Kadir ARSLAN</dc:creator>
  <cp:keywords/>
  <dc:description/>
  <cp:lastModifiedBy>Kadir ARSLAN</cp:lastModifiedBy>
  <cp:revision>3</cp:revision>
  <dcterms:created xsi:type="dcterms:W3CDTF">2024-11-01T07:51:00Z</dcterms:created>
  <dcterms:modified xsi:type="dcterms:W3CDTF">2026-09-23T19:17:00Z</dcterms:modified>
</cp:coreProperties>
</file>