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textId="77777777" w:rsidR="00AE648C" w:rsidRDefault="00000000">
      <w:pPr>
        <w:pStyle w:val="Heading2"/>
      </w:pPr>
      <w:r>
        <w:t xml:space="preserve">Additional file 1: Supplementary information</w:t>
      </w:r>
    </w:p>
    <w:p w14:textId="77777777" w:rsidR="00AE648C" w:rsidRDefault="00000000">
      <w:pPr>
        <w:pStyle w:val="FirstParagraph"/>
      </w:pPr>
      <w:r>
        <w:t xml:space="preserve">Ocean acidification and aragonite saturation, compounding anthropogenic stressors on marine life</w:t>
      </w:r>
    </w:p>
    <w:p w14:textId="77777777" w:rsidR="00AE648C" w:rsidRDefault="00000000">
      <w:pPr>
        <w:pStyle w:val="BodyText"/>
      </w:pPr>
      <w:r>
        <w:t xml:space="preserve">Howard Dryden and Diane Duncan, GOES Foundation, Seahorse Point Nature Laboratory, Bocas del Toro, Panama</w:t>
      </w:r>
    </w:p>
    <w:p w14:textId="77777777" w:rsidR="005F3295" w:rsidRDefault="00000000">
      <w:pPr>
        <w:pStyle w:val="BodyText"/>
      </w:pPr>
      <w:r>
        <w:t xml:space="preserve">This file contains Figure S1, Tables S1 to S5 and Notes S1 to S4. Figure, table and section numbers without the letter S refer to the main article. The reference list at the end of this file is its own; reference numbers in the main article differ.</w:t>
      </w:r>
    </w:p>
    <w:p w14:textId="2563A35F" w:rsidR="00AE648C" w:rsidRDefault="00A15407">
      <w:pPr>
        <w:pStyle w:val="Heading2"/>
      </w:pPr>
      <w:r>
        <w:t xml:space="preserve">Figure S1</w:t>
      </w:r>
    </w:p>
    <w:p w14:paraId="2C4D897C" w14:textId="77777777" w:rsidR="00AE648C" w:rsidRDefault="00000000">
      <w:pPr>
        <w:pStyle w:val="CaptionedFigure"/>
      </w:pPr>
      <w:r>
        <w:rPr>
          <w:noProof/>
        </w:rPr>
        <w:drawing>
          <wp:inline distT="0" distB="0" distL="0" distR="0" wp14:anchorId="55A09EB9" wp14:editId="0DF5F0A8">
            <wp:extent cx="5334000" cy="3437466"/>
            <wp:effectExtent l="0" t="0" r="0" b="0"/>
            <wp:docPr id="62" name="Picture" descr="The winter threshold projection is robust to every source of uncertainty tested: point estimates (black) with data-uncertainty (red, Monte Carlo), spatial (blue, block bootstrap) and structural (grey, zonation-scheme A-C) 95% ranges; the structural range dominates and still keeps the present figure between about 37% and 52%."/>
            <wp:cNvGraphicFramePr/>
            <a:graphic xmlns:a="http://schemas.openxmlformats.org/drawingml/2006/main">
              <a:graphicData uri="http://schemas.openxmlformats.org/drawingml/2006/picture">
                <pic:pic xmlns:pic="http://schemas.openxmlformats.org/drawingml/2006/picture">
                  <pic:nvPicPr>
                    <pic:cNvPr id="63" name="Picture" descr="figure2_uncertainty.png"/>
                    <pic:cNvPicPr>
                      <a:picLocks noChangeAspect="1" noChangeArrowheads="1"/>
                    </pic:cNvPicPr>
                  </pic:nvPicPr>
                  <pic:blipFill>
                    <a:blip r:embed="rId13"/>
                    <a:stretch>
                      <a:fillRect/>
                    </a:stretch>
                  </pic:blipFill>
                  <pic:spPr bwMode="auto">
                    <a:xfrm>
                      <a:off x="0" y="0"/>
                      <a:ext cx="5334000" cy="3437466"/>
                    </a:xfrm>
                    <a:prstGeom prst="rect">
                      <a:avLst/>
                    </a:prstGeom>
                    <a:noFill/>
                    <a:ln w="9525">
                      <a:noFill/>
                      <a:headEnd/>
                      <a:tailEnd/>
                    </a:ln>
                  </pic:spPr>
                </pic:pic>
              </a:graphicData>
            </a:graphic>
          </wp:inline>
        </w:drawing>
      </w:r>
    </w:p>
    <w:p w14:paraId="21F76E41" w14:textId="77777777" w:rsidR="00AE648C" w:rsidRDefault="00000000">
      <w:pPr>
        <w:pStyle w:val="BodyText"/>
      </w:pPr>
      <w:r>
        <w:t>Figure S1. The winter threshold projection is robust to every source of uncertainty tested: point estimates (black) with data uncertainty (red, Monte Carlo), spatial (blue, block bootstrap) and structural (grey, zonation schemes A–C) 95% ranges. The structural range dominates and still keeps the present figure between about 37% and 52%.</w:t>
      </w:r>
    </w:p>
    <w:p w14:textId="2563A35F" w:rsidR="00AE648C" w:rsidRDefault="00A15407">
      <w:pPr>
        <w:pStyle w:val="Heading2"/>
      </w:pPr>
      <w:r>
        <w:t xml:space="preserve">Supplementary tables</w:t>
      </w:r>
    </w:p>
    <w:p w14:paraId="02A989C7" w14:textId="77777777" w:rsidR="00AE648C" w:rsidRDefault="00000000">
      <w:pPr>
        <w:pStyle w:val="BodyText"/>
      </w:pPr>
      <w:r>
        <w:t>Table S1. Everything needed to reproduce the carbonate-system calculations exactly: all PyCO2SYS v1.8 input values and settings, each with its source.</w:t>
      </w:r>
    </w:p>
    <w:tbl>
      <w:tblPr>
        <w:tblStyle w:val="Table"/>
        <w:tblW w:w="5000" w:type="pct"/>
        <w:tblBorders>
          <w:top w:val="single" w:sz="4" w:space="0" w:color="9FB4BE"/>
          <w:left w:val="single" w:sz="4" w:space="0" w:color="9FB4BE"/>
          <w:bottom w:val="single" w:sz="4" w:space="0" w:color="9FB4BE"/>
          <w:right w:val="single" w:sz="4" w:space="0" w:color="9FB4BE"/>
          <w:insideH w:val="single" w:sz="4" w:space="0" w:color="9FB4BE"/>
          <w:insideV w:val="single" w:sz="4" w:space="0" w:color="9FB4BE"/>
        </w:tblBorders>
        <w:tblCellMar>
          <w:top w:w="40" w:type="dxa"/>
          <w:left w:w="80" w:type="dxa"/>
          <w:bottom w:w="40" w:type="dxa"/>
          <w:right w:w="80" w:type="dxa"/>
        </w:tblCellMar>
        <w:tblLook w:val="0020" w:firstRow="1" w:lastRow="0" w:firstColumn="0" w:lastColumn="0" w:noHBand="0" w:noVBand="0"/>
      </w:tblPr>
      <w:tblGrid>
        <w:gridCol w:w="2516"/>
        <w:gridCol w:w="5205"/>
        <w:gridCol w:w="1629"/>
      </w:tblGrid>
      <w:tr w:rsidR="00AE648C" w14:paraId="40600777" w14:textId="77777777" w:rsidTr="00AE648C">
        <w:trPr>
          <w:cnfStyle w:val="100000000000" w:firstRow="1" w:lastRow="0" w:firstColumn="0" w:lastColumn="0" w:oddVBand="0" w:evenVBand="0" w:oddHBand="0" w:evenHBand="0" w:firstRowFirstColumn="0" w:firstRowLastColumn="0" w:lastRowFirstColumn="0" w:lastRowLastColumn="0"/>
          <w:tblHeader/>
        </w:trPr>
        <w:tc>
          <w:tcPr>
            <w:tcW w:w="0" w:type="auto"/>
            <w:gridSpan w:val="3"/>
            <w:shd w:val="clear" w:color="auto" w:fill="143C4A"/>
          </w:tcPr>
          <w:p w14:paraId="3D174287" w14:textId="77777777" w:rsidR="00AE648C" w:rsidRDefault="00000000">
            <w:pPr>
              <w:spacing w:before="20" w:after="20"/>
            </w:pPr>
            <w:r>
              <w:rPr>
                <w:b/>
                <w:color w:val="FFFFFF"/>
                <w:sz w:val="19"/>
              </w:rPr>
              <w:t>Table S1. Carbonate-system calculation inputs (PyCO2SYS v1.8): full reproducibility</w:t>
            </w:r>
          </w:p>
        </w:tc>
      </w:tr>
      <w:tr w:rsidR="00AE648C" w14:paraId="364E47ED" w14:textId="77777777" w:rsidTr="00AE648C">
        <w:trPr>
          <w:cnfStyle w:val="100000000000" w:firstRow="1" w:lastRow="0" w:firstColumn="0" w:lastColumn="0" w:oddVBand="0" w:evenVBand="0" w:oddHBand="0" w:evenHBand="0" w:firstRowFirstColumn="0" w:firstRowLastColumn="0" w:lastRowFirstColumn="0" w:lastRowLastColumn="0"/>
          <w:tblHeader/>
        </w:trPr>
        <w:tc>
          <w:tcPr>
            <w:tcW w:w="0" w:type="auto"/>
            <w:shd w:val="clear" w:color="auto" w:fill="1F4E5F"/>
          </w:tcPr>
          <w:p w14:paraId="3F0B4994" w14:textId="77777777" w:rsidR="00AE648C" w:rsidRDefault="00000000">
            <w:pPr>
              <w:pStyle w:val="Compact"/>
              <w:spacing w:before="20" w:after="20"/>
            </w:pPr>
            <w:r>
              <w:rPr>
                <w:b/>
                <w:color w:val="FFFFFF"/>
                <w:sz w:val="17"/>
              </w:rPr>
              <w:t>Parameter</w:t>
            </w:r>
          </w:p>
        </w:tc>
        <w:tc>
          <w:tcPr>
            <w:tcW w:w="0" w:type="auto"/>
            <w:shd w:val="clear" w:color="auto" w:fill="1F4E5F"/>
          </w:tcPr>
          <w:p w14:paraId="2F129B71" w14:textId="77777777" w:rsidR="00AE648C" w:rsidRDefault="00000000">
            <w:pPr>
              <w:pStyle w:val="Compact"/>
              <w:spacing w:before="20" w:after="20"/>
            </w:pPr>
            <w:r>
              <w:rPr>
                <w:b/>
                <w:color w:val="FFFFFF"/>
                <w:sz w:val="17"/>
              </w:rPr>
              <w:t>Value / setting</w:t>
            </w:r>
          </w:p>
        </w:tc>
        <w:tc>
          <w:tcPr>
            <w:tcW w:w="0" w:type="auto"/>
            <w:shd w:val="clear" w:color="auto" w:fill="1F4E5F"/>
          </w:tcPr>
          <w:p w14:paraId="77E20E5F" w14:textId="77777777" w:rsidR="00AE648C" w:rsidRDefault="00000000">
            <w:pPr>
              <w:pStyle w:val="Compact"/>
              <w:spacing w:before="20" w:after="20"/>
            </w:pPr>
            <w:r>
              <w:rPr>
                <w:b/>
                <w:color w:val="FFFFFF"/>
                <w:sz w:val="17"/>
              </w:rPr>
              <w:t>Source (citation)</w:t>
            </w:r>
          </w:p>
        </w:tc>
      </w:tr>
      <w:tr w:rsidR="00AE648C" w14:paraId="1CC0A22C" w14:textId="77777777" w:rsidTr="00AE648C">
        <w:tc>
          <w:tcPr>
            <w:tcW w:w="0" w:type="auto"/>
            <w:shd w:val="clear" w:color="auto" w:fill="FFFFFF"/>
          </w:tcPr>
          <w:p w14:paraId="742A1AD9" w14:textId="77777777" w:rsidR="00AE648C" w:rsidRDefault="00000000">
            <w:pPr>
              <w:pStyle w:val="Compact"/>
              <w:spacing w:before="20" w:after="20"/>
            </w:pPr>
            <w:r>
              <w:rPr>
                <w:sz w:val="17"/>
              </w:rPr>
              <w:t>Input pair</w:t>
            </w:r>
          </w:p>
        </w:tc>
        <w:tc>
          <w:tcPr>
            <w:tcW w:w="0" w:type="auto"/>
            <w:shd w:val="clear" w:color="auto" w:fill="FFFFFF"/>
          </w:tcPr>
          <w:p w14:paraId="0E54E92D" w14:textId="77777777" w:rsidR="00AE648C" w:rsidRDefault="00000000">
            <w:pPr>
              <w:pStyle w:val="Compact"/>
              <w:spacing w:before="20" w:after="20"/>
            </w:pPr>
            <w:r>
              <w:rPr>
                <w:sz w:val="17"/>
              </w:rPr>
              <w:t>DIC with measured total alkalinity where alkalinity exists (2014 onwards, all sites); DIC with pCO₂ for the Iceland and Irminger Sea records before 2014, when no alkalinity was measured</w:t>
            </w:r>
          </w:p>
        </w:tc>
        <w:tc>
          <w:tcPr>
            <w:tcW w:w="0" w:type="auto"/>
            <w:shd w:val="clear" w:color="auto" w:fill="FFFFFF"/>
          </w:tcPr>
          <w:p w14:paraId="6A821DDD" w14:textId="77777777" w:rsidR="00AE648C" w:rsidRDefault="00000000">
            <w:pPr>
              <w:pStyle w:val="Compact"/>
              <w:spacing w:before="20" w:after="20"/>
            </w:pPr>
            <w:r>
              <w:rPr>
                <w:sz w:val="17"/>
              </w:rPr>
              <w:t xml:space="preserve">SPOTS time-series synthesis, Lange et al. </w:t>
            </w:r>
            <w:r>
              <w:rPr>
                <w:sz w:val="17"/>
                <w:vertAlign w:val="superscript"/>
              </w:rPr>
              <w:t>1</w:t>
            </w:r>
          </w:p>
        </w:tc>
      </w:tr>
      <w:tr w:rsidR="00AE648C" w14:paraId="2C849BA0" w14:textId="77777777" w:rsidTr="00AE648C">
        <w:tc>
          <w:tcPr>
            <w:tcW w:w="0" w:type="auto"/>
            <w:shd w:val="clear" w:color="auto" w:fill="EAF1F5"/>
          </w:tcPr>
          <w:p w14:paraId="251A2144" w14:textId="77777777" w:rsidR="00AE648C" w:rsidRDefault="00000000">
            <w:pPr>
              <w:pStyle w:val="Compact"/>
              <w:spacing w:before="20" w:after="20"/>
            </w:pPr>
            <w:r>
              <w:rPr>
                <w:sz w:val="17"/>
              </w:rPr>
              <w:t>Temperature at which pCO₂ is taken</w:t>
            </w:r>
          </w:p>
        </w:tc>
        <w:tc>
          <w:tcPr>
            <w:tcW w:w="0" w:type="auto"/>
            <w:shd w:val="clear" w:color="auto" w:fill="EAF1F5"/>
          </w:tcPr>
          <w:p w14:paraId="767AF8C7" w14:textId="77777777" w:rsidR="00AE648C" w:rsidRDefault="001E5C49">
            <w:pPr>
              <w:pStyle w:val="Compact"/>
              <w:spacing w:before="20" w:after="20"/>
            </w:pPr>
            <w:r>
              <w:rPr>
                <w:sz w:val="17"/>
              </w:rPr>
              <w:t>In situ (CTD) temperature. The archived pCO₂ is reported at a fixed 4 °C from 1995; treating that as the measurement temperature and converting to in-situ conditions introduces a spurious offset (Note S1).</w:t>
            </w:r>
          </w:p>
        </w:tc>
        <w:tc>
          <w:tcPr>
            <w:tcW w:w="0" w:type="auto"/>
            <w:shd w:val="clear" w:color="auto" w:fill="EAF1F5"/>
          </w:tcPr>
          <w:p w14:paraId="66A6EAA5" w14:textId="77777777" w:rsidR="00AE648C" w:rsidRDefault="00000000">
            <w:pPr>
              <w:pStyle w:val="Compact"/>
              <w:spacing w:before="20" w:after="20"/>
            </w:pPr>
            <w:r>
              <w:rPr>
                <w:sz w:val="17"/>
              </w:rPr>
              <w:t xml:space="preserve">This study: SPOTS </w:t>
            </w:r>
            <w:r>
              <w:rPr>
                <w:sz w:val="17"/>
                <w:vertAlign w:val="superscript"/>
              </w:rPr>
              <w:t>1</w:t>
            </w:r>
          </w:p>
        </w:tc>
      </w:tr>
      <w:tr w:rsidR="00AE648C" w14:paraId="32DA8DB5" w14:textId="77777777" w:rsidTr="00AE648C">
        <w:tc>
          <w:tcPr>
            <w:tcW w:w="0" w:type="auto"/>
            <w:shd w:val="clear" w:color="auto" w:fill="FFFFFF"/>
          </w:tcPr>
          <w:p w14:paraId="7653213D" w14:textId="77777777" w:rsidR="00AE648C" w:rsidRDefault="00000000">
            <w:pPr>
              <w:pStyle w:val="Compact"/>
              <w:spacing w:before="20" w:after="20"/>
            </w:pPr>
            <w:r>
              <w:rPr>
                <w:sz w:val="17"/>
              </w:rPr>
              <w:t>Surface sample definition</w:t>
            </w:r>
          </w:p>
        </w:tc>
        <w:tc>
          <w:tcPr>
            <w:tcW w:w="0" w:type="auto"/>
            <w:shd w:val="clear" w:color="auto" w:fill="FFFFFF"/>
          </w:tcPr>
          <w:p w14:paraId="6E2F1260" w14:textId="77777777" w:rsidR="00AE648C" w:rsidRDefault="00000000">
            <w:pPr>
              <w:pStyle w:val="Compact"/>
              <w:spacing w:before="20" w:after="20"/>
            </w:pPr>
            <w:r>
              <w:rPr>
                <w:sz w:val="17"/>
              </w:rPr>
              <w:t>Shallowest 25 dbar; result insensitive to cutoffs from 10 to 30 dbar (Note S1)</w:t>
            </w:r>
          </w:p>
        </w:tc>
        <w:tc>
          <w:tcPr>
            <w:tcW w:w="0" w:type="auto"/>
            <w:shd w:val="clear" w:color="auto" w:fill="FFFFFF"/>
          </w:tcPr>
          <w:p w14:paraId="1EE0D866" w14:textId="77777777" w:rsidR="00AE648C" w:rsidRDefault="00000000">
            <w:pPr>
              <w:pStyle w:val="Compact"/>
              <w:spacing w:before="20" w:after="20"/>
            </w:pPr>
            <w:r>
              <w:rPr>
                <w:sz w:val="17"/>
              </w:rPr>
              <w:t>This study</w:t>
            </w:r>
          </w:p>
        </w:tc>
      </w:tr>
      <w:tr w:rsidR="00AE648C" w14:paraId="51AAD5B6" w14:textId="77777777" w:rsidTr="00AE648C">
        <w:tc>
          <w:tcPr>
            <w:tcW w:w="0" w:type="auto"/>
            <w:shd w:val="clear" w:color="auto" w:fill="EAF1F5"/>
          </w:tcPr>
          <w:p w14:paraId="057B2BA1" w14:textId="77777777" w:rsidR="00AE648C" w:rsidRDefault="00000000">
            <w:pPr>
              <w:pStyle w:val="Compact"/>
              <w:spacing w:before="20" w:after="20"/>
            </w:pPr>
            <w:r>
              <w:rPr>
                <w:sz w:val="17"/>
              </w:rPr>
              <w:t>Salinity</w:t>
            </w:r>
          </w:p>
        </w:tc>
        <w:tc>
          <w:tcPr>
            <w:tcW w:w="0" w:type="auto"/>
            <w:shd w:val="clear" w:color="auto" w:fill="EAF1F5"/>
          </w:tcPr>
          <w:p w14:paraId="61456EEB" w14:textId="77777777" w:rsidR="00AE648C" w:rsidRDefault="00000000">
            <w:pPr>
              <w:pStyle w:val="Compact"/>
              <w:spacing w:before="20" w:after="20"/>
            </w:pPr>
            <w:r>
              <w:rPr>
                <w:sz w:val="17"/>
              </w:rPr>
              <w:t>Bottle salinity where reported, otherwise CTD salinity.</w:t>
            </w:r>
          </w:p>
        </w:tc>
        <w:tc>
          <w:tcPr>
            <w:tcW w:w="0" w:type="auto"/>
            <w:shd w:val="clear" w:color="auto" w:fill="EAF1F5"/>
          </w:tcPr>
          <w:p w14:paraId="3FBD0663" w14:textId="77777777" w:rsidR="00AE648C" w:rsidRDefault="00000000">
            <w:pPr>
              <w:pStyle w:val="Compact"/>
              <w:spacing w:before="20" w:after="20"/>
            </w:pPr>
            <w:r>
              <w:rPr>
                <w:sz w:val="17"/>
              </w:rPr>
              <w:t xml:space="preserve">SPOTS </w:t>
            </w:r>
            <w:r>
              <w:rPr>
                <w:sz w:val="17"/>
                <w:vertAlign w:val="superscript"/>
              </w:rPr>
              <w:t>1</w:t>
            </w:r>
          </w:p>
        </w:tc>
      </w:tr>
      <w:tr w:rsidR="00AE648C" w14:paraId="30F66A07" w14:textId="77777777" w:rsidTr="00AE648C">
        <w:tc>
          <w:tcPr>
            <w:tcW w:w="0" w:type="auto"/>
            <w:shd w:val="clear" w:color="auto" w:fill="FFFFFF"/>
          </w:tcPr>
          <w:p w14:paraId="21D5877A" w14:textId="77777777" w:rsidR="00AE648C" w:rsidRDefault="00000000">
            <w:pPr>
              <w:pStyle w:val="Compact"/>
              <w:spacing w:before="20" w:after="20"/>
            </w:pPr>
            <w:r>
              <w:rPr>
                <w:sz w:val="17"/>
              </w:rPr>
              <w:t>Carbonic acid dissociation constants (K1, K2)</w:t>
            </w:r>
          </w:p>
        </w:tc>
        <w:tc>
          <w:tcPr>
            <w:tcW w:w="0" w:type="auto"/>
            <w:shd w:val="clear" w:color="auto" w:fill="FFFFFF"/>
          </w:tcPr>
          <w:p w14:paraId="17BB1D6D" w14:textId="77777777" w:rsidR="00AE648C" w:rsidRDefault="00000000">
            <w:pPr>
              <w:pStyle w:val="Compact"/>
              <w:spacing w:before="20" w:after="20"/>
            </w:pPr>
            <w:r>
              <w:rPr>
                <w:sz w:val="17"/>
              </w:rPr>
              <w:t>Lueker et al. (opt_k_carbonic = 10)</w:t>
            </w:r>
          </w:p>
        </w:tc>
        <w:tc>
          <w:tcPr>
            <w:tcW w:w="0" w:type="auto"/>
            <w:shd w:val="clear" w:color="auto" w:fill="FFFFFF"/>
          </w:tcPr>
          <w:p w14:paraId="0064AABB" w14:textId="77777777" w:rsidR="00AE648C" w:rsidRDefault="00000000">
            <w:pPr>
              <w:pStyle w:val="Compact"/>
              <w:spacing w:before="20" w:after="20"/>
            </w:pPr>
            <w:r>
              <w:rPr>
                <w:sz w:val="17"/>
              </w:rPr>
              <w:t xml:space="preserve">Lueker et al. </w:t>
            </w:r>
            <w:r>
              <w:rPr>
                <w:sz w:val="17"/>
                <w:vertAlign w:val="superscript"/>
              </w:rPr>
              <w:t>2</w:t>
            </w:r>
          </w:p>
        </w:tc>
      </w:tr>
      <w:tr w:rsidR="00AE648C" w14:paraId="71E56BC4" w14:textId="77777777" w:rsidTr="00AE648C">
        <w:tc>
          <w:tcPr>
            <w:tcW w:w="0" w:type="auto"/>
            <w:shd w:val="clear" w:color="auto" w:fill="EAF1F5"/>
          </w:tcPr>
          <w:p w14:paraId="784E5AD1" w14:textId="77777777" w:rsidR="00AE648C" w:rsidRDefault="00000000">
            <w:pPr>
              <w:pStyle w:val="Compact"/>
              <w:spacing w:before="20" w:after="20"/>
            </w:pPr>
            <w:r>
              <w:rPr>
                <w:sz w:val="17"/>
              </w:rPr>
              <w:t>Bisulfate dissociation constant (KSO₄)</w:t>
            </w:r>
          </w:p>
        </w:tc>
        <w:tc>
          <w:tcPr>
            <w:tcW w:w="0" w:type="auto"/>
            <w:shd w:val="clear" w:color="auto" w:fill="EAF1F5"/>
          </w:tcPr>
          <w:p w14:paraId="70FF0F11" w14:textId="77777777" w:rsidR="00AE648C" w:rsidRDefault="00000000">
            <w:pPr>
              <w:pStyle w:val="Compact"/>
              <w:spacing w:before="20" w:after="20"/>
            </w:pPr>
            <w:r>
              <w:rPr>
                <w:sz w:val="17"/>
              </w:rPr>
              <w:t>Dickson (opt_k_bisulfate = 1)</w:t>
            </w:r>
          </w:p>
        </w:tc>
        <w:tc>
          <w:tcPr>
            <w:tcW w:w="0" w:type="auto"/>
            <w:shd w:val="clear" w:color="auto" w:fill="EAF1F5"/>
          </w:tcPr>
          <w:p w14:paraId="03F1E4DC" w14:textId="77777777" w:rsidR="00AE648C" w:rsidRDefault="00000000">
            <w:pPr>
              <w:pStyle w:val="Compact"/>
              <w:spacing w:before="20" w:after="20"/>
            </w:pPr>
            <w:r>
              <w:rPr>
                <w:sz w:val="17"/>
              </w:rPr>
              <w:t xml:space="preserve">Dickson </w:t>
            </w:r>
            <w:r>
              <w:rPr>
                <w:sz w:val="17"/>
                <w:vertAlign w:val="superscript"/>
              </w:rPr>
              <w:t>3</w:t>
            </w:r>
          </w:p>
        </w:tc>
      </w:tr>
      <w:tr w:rsidR="00AE648C" w14:paraId="5A16F04B" w14:textId="77777777" w:rsidTr="00AE648C">
        <w:tc>
          <w:tcPr>
            <w:tcW w:w="0" w:type="auto"/>
            <w:shd w:val="clear" w:color="auto" w:fill="FFFFFF"/>
          </w:tcPr>
          <w:p w14:paraId="09641F9D" w14:textId="77777777" w:rsidR="00AE648C" w:rsidRDefault="00000000">
            <w:pPr>
              <w:pStyle w:val="Compact"/>
              <w:spacing w:before="20" w:after="20"/>
            </w:pPr>
            <w:r>
              <w:rPr>
                <w:sz w:val="17"/>
              </w:rPr>
              <w:t>Total borate–salinity ratio</w:t>
            </w:r>
          </w:p>
        </w:tc>
        <w:tc>
          <w:tcPr>
            <w:tcW w:w="0" w:type="auto"/>
            <w:shd w:val="clear" w:color="auto" w:fill="FFFFFF"/>
          </w:tcPr>
          <w:p w14:paraId="611D829B" w14:textId="77777777" w:rsidR="00AE648C" w:rsidRDefault="00000000">
            <w:pPr>
              <w:pStyle w:val="Compact"/>
              <w:spacing w:before="20" w:after="20"/>
            </w:pPr>
            <w:r>
              <w:rPr>
                <w:sz w:val="17"/>
              </w:rPr>
              <w:t>Uppström (opt_total_borate = 1)</w:t>
            </w:r>
          </w:p>
        </w:tc>
        <w:tc>
          <w:tcPr>
            <w:tcW w:w="0" w:type="auto"/>
            <w:shd w:val="clear" w:color="auto" w:fill="FFFFFF"/>
          </w:tcPr>
          <w:p w14:paraId="44285378" w14:textId="77777777" w:rsidR="00AE648C" w:rsidRDefault="001E5C49">
            <w:pPr>
              <w:pStyle w:val="Compact"/>
              <w:spacing w:before="20" w:after="20"/>
            </w:pPr>
            <w:r>
              <w:rPr>
                <w:sz w:val="17"/>
              </w:rPr>
              <w:t xml:space="preserve">Uppström </w:t>
            </w:r>
            <w:r>
              <w:rPr>
                <w:sz w:val="17"/>
                <w:vertAlign w:val="superscript"/>
              </w:rPr>
              <w:t>4</w:t>
            </w:r>
          </w:p>
        </w:tc>
      </w:tr>
      <w:tr w:rsidR="00AE648C" w14:paraId="6840C48A" w14:textId="77777777" w:rsidTr="00AE648C">
        <w:tc>
          <w:tcPr>
            <w:tcW w:w="0" w:type="auto"/>
            <w:shd w:val="clear" w:color="auto" w:fill="EAF1F5"/>
          </w:tcPr>
          <w:p w14:paraId="3D0D54F3" w14:textId="77777777" w:rsidR="00AE648C" w:rsidRDefault="00000000">
            <w:pPr>
              <w:pStyle w:val="Compact"/>
              <w:spacing w:before="20" w:after="20"/>
            </w:pPr>
            <w:r>
              <w:rPr>
                <w:sz w:val="17"/>
              </w:rPr>
              <w:t>pH scale</w:t>
            </w:r>
          </w:p>
        </w:tc>
        <w:tc>
          <w:tcPr>
            <w:tcW w:w="0" w:type="auto"/>
            <w:shd w:val="clear" w:color="auto" w:fill="EAF1F5"/>
          </w:tcPr>
          <w:p w14:paraId="4380B0BD" w14:textId="77777777" w:rsidR="00AE648C" w:rsidRDefault="00000000">
            <w:pPr>
              <w:pStyle w:val="Compact"/>
              <w:spacing w:before="20" w:after="20"/>
            </w:pPr>
            <w:r>
              <w:rPr>
                <w:sz w:val="17"/>
              </w:rPr>
              <w:t>Total scale (opt_pH_scale = 1)</w:t>
            </w:r>
          </w:p>
        </w:tc>
        <w:tc>
          <w:tcPr>
            <w:tcW w:w="0" w:type="auto"/>
            <w:shd w:val="clear" w:color="auto" w:fill="EAF1F5"/>
          </w:tcPr>
          <w:p w14:paraId="3B0920EC" w14:textId="77777777" w:rsidR="00AE648C" w:rsidRDefault="00000000">
            <w:pPr>
              <w:pStyle w:val="Compact"/>
              <w:spacing w:before="20" w:after="20"/>
            </w:pPr>
            <w:r>
              <w:rPr>
                <w:sz w:val="17"/>
              </w:rPr>
              <w:t xml:space="preserve">Dickson </w:t>
            </w:r>
            <w:r>
              <w:rPr>
                <w:sz w:val="17"/>
                <w:vertAlign w:val="superscript"/>
              </w:rPr>
              <w:t>3</w:t>
            </w:r>
          </w:p>
        </w:tc>
      </w:tr>
      <w:tr w:rsidR="00AE648C" w14:paraId="444AC2FC" w14:textId="77777777" w:rsidTr="00AE648C">
        <w:tc>
          <w:tcPr>
            <w:tcW w:w="0" w:type="auto"/>
            <w:shd w:val="clear" w:color="auto" w:fill="FFFFFF"/>
          </w:tcPr>
          <w:p w14:paraId="17C0D4ED" w14:textId="77777777" w:rsidR="00AE648C" w:rsidRDefault="00000000">
            <w:pPr>
              <w:pStyle w:val="Compact"/>
              <w:spacing w:before="20" w:after="20"/>
            </w:pPr>
            <w:r>
              <w:rPr>
                <w:sz w:val="17"/>
              </w:rPr>
              <w:lastRenderedPageBreak/>
              <w:t>Pressure/depth correction</w:t>
            </w:r>
          </w:p>
        </w:tc>
        <w:tc>
          <w:tcPr>
            <w:tcW w:w="0" w:type="auto"/>
            <w:shd w:val="clear" w:color="auto" w:fill="FFFFFF"/>
          </w:tcPr>
          <w:p w14:paraId="5BB54610" w14:textId="77777777" w:rsidR="00AE648C" w:rsidRDefault="00000000">
            <w:pPr>
              <w:pStyle w:val="Compact"/>
              <w:spacing w:before="20" w:after="20"/>
            </w:pPr>
            <w:r>
              <w:rPr>
                <w:sz w:val="17"/>
              </w:rPr>
              <w:t>In-situ pressure of each sample applied (shallowest 25 dbar, which lowers Ω by at most about 0.01 relative to the surface value)</w:t>
            </w:r>
          </w:p>
        </w:tc>
        <w:tc>
          <w:tcPr>
            <w:tcW w:w="0" w:type="auto"/>
            <w:shd w:val="clear" w:color="auto" w:fill="FFFFFF"/>
          </w:tcPr>
          <w:p w14:paraId="544DB5F8" w14:textId="77777777" w:rsidR="00AE648C" w:rsidRDefault="00000000">
            <w:pPr>
              <w:pStyle w:val="Compact"/>
              <w:spacing w:before="20" w:after="20"/>
            </w:pPr>
            <w:r>
              <w:rPr>
                <w:sz w:val="17"/>
              </w:rPr>
              <w:t>This study</w:t>
            </w:r>
          </w:p>
        </w:tc>
      </w:tr>
      <w:tr w:rsidR="00AE648C" w14:paraId="47A5763A" w14:textId="77777777" w:rsidTr="00AE648C">
        <w:tc>
          <w:tcPr>
            <w:tcW w:w="0" w:type="auto"/>
            <w:shd w:val="clear" w:color="auto" w:fill="EAF1F5"/>
          </w:tcPr>
          <w:p w14:paraId="032719DD" w14:textId="77777777" w:rsidR="00AE648C" w:rsidRDefault="00000000">
            <w:pPr>
              <w:pStyle w:val="Compact"/>
              <w:spacing w:before="20" w:after="20"/>
            </w:pPr>
            <w:r>
              <w:rPr>
                <w:sz w:val="17"/>
              </w:rPr>
              <w:t>Silicate, phosphate</w:t>
            </w:r>
          </w:p>
        </w:tc>
        <w:tc>
          <w:tcPr>
            <w:tcW w:w="0" w:type="auto"/>
            <w:shd w:val="clear" w:color="auto" w:fill="EAF1F5"/>
          </w:tcPr>
          <w:p w14:paraId="0E17DE5F" w14:textId="77777777" w:rsidR="00AE648C" w:rsidRDefault="00000000">
            <w:pPr>
              <w:pStyle w:val="Compact"/>
              <w:spacing w:before="20" w:after="20"/>
            </w:pPr>
            <w:r>
              <w:rPr>
                <w:sz w:val="17"/>
              </w:rPr>
              <w:t>Measured in situ, per cast</w:t>
            </w:r>
          </w:p>
        </w:tc>
        <w:tc>
          <w:tcPr>
            <w:tcW w:w="0" w:type="auto"/>
            <w:shd w:val="clear" w:color="auto" w:fill="EAF1F5"/>
          </w:tcPr>
          <w:p w14:paraId="44BAA700" w14:textId="77777777" w:rsidR="00AE648C" w:rsidRDefault="00000000">
            <w:pPr>
              <w:pStyle w:val="Compact"/>
              <w:spacing w:before="20" w:after="20"/>
            </w:pPr>
            <w:r>
              <w:rPr>
                <w:sz w:val="17"/>
              </w:rPr>
              <w:t xml:space="preserve">SPOTS time-series synthesis, Lange et al. </w:t>
            </w:r>
            <w:r>
              <w:rPr>
                <w:sz w:val="17"/>
                <w:vertAlign w:val="superscript"/>
              </w:rPr>
              <w:t>1</w:t>
            </w:r>
          </w:p>
        </w:tc>
      </w:tr>
      <w:tr w:rsidR="00AE648C" w14:paraId="58C43645" w14:textId="77777777" w:rsidTr="00AE648C">
        <w:tc>
          <w:tcPr>
            <w:tcW w:w="0" w:type="auto"/>
            <w:shd w:val="clear" w:color="auto" w:fill="FFFFFF"/>
          </w:tcPr>
          <w:p w14:paraId="31B576FF" w14:textId="77777777" w:rsidR="00AE648C" w:rsidRDefault="00000000">
            <w:pPr>
              <w:pStyle w:val="Compact"/>
              <w:spacing w:before="20" w:after="20"/>
            </w:pPr>
            <w:r>
              <w:rPr>
                <w:sz w:val="17"/>
              </w:rPr>
              <w:t>Cross-check compilations (quality control only, not used as calculation inputs)</w:t>
            </w:r>
          </w:p>
        </w:tc>
        <w:tc>
          <w:tcPr>
            <w:tcW w:w="0" w:type="auto"/>
            <w:shd w:val="clear" w:color="auto" w:fill="FFFFFF"/>
          </w:tcPr>
          <w:p w14:paraId="19A2EC01" w14:textId="77777777" w:rsidR="00AE648C" w:rsidRDefault="00000000">
            <w:pPr>
              <w:pStyle w:val="Compact"/>
              <w:spacing w:before="20" w:after="20"/>
            </w:pPr>
            <w:r>
              <w:rPr>
                <w:sz w:val="17"/>
              </w:rPr>
              <w:t>GLODAPv2.2022; CODAP-NA</w:t>
            </w:r>
          </w:p>
        </w:tc>
        <w:tc>
          <w:tcPr>
            <w:tcW w:w="0" w:type="auto"/>
            <w:shd w:val="clear" w:color="auto" w:fill="FFFFFF"/>
          </w:tcPr>
          <w:p w14:paraId="1A44B443" w14:textId="77777777" w:rsidR="00AE648C" w:rsidRDefault="00000000">
            <w:pPr>
              <w:pStyle w:val="Compact"/>
              <w:spacing w:before="20" w:after="20"/>
            </w:pPr>
            <w:r>
              <w:rPr>
                <w:sz w:val="17"/>
              </w:rPr>
              <w:t xml:space="preserve">Lauvset et al. </w:t>
            </w:r>
            <w:r>
              <w:rPr>
                <w:sz w:val="17"/>
                <w:vertAlign w:val="superscript"/>
              </w:rPr>
              <w:t>5</w:t>
            </w:r>
            <w:r>
              <w:rPr>
                <w:sz w:val="17"/>
              </w:rPr>
              <w:t xml:space="preserve">; Jiang et al. </w:t>
            </w:r>
            <w:r>
              <w:rPr>
                <w:sz w:val="17"/>
                <w:vertAlign w:val="superscript"/>
              </w:rPr>
              <w:t>6</w:t>
            </w:r>
          </w:p>
        </w:tc>
      </w:tr>
      <w:tr w:rsidR="00AE648C" w14:paraId="4E34AD10" w14:textId="77777777" w:rsidTr="00AE648C">
        <w:tc>
          <w:tcPr>
            <w:tcW w:w="0" w:type="auto"/>
            <w:shd w:val="clear" w:color="auto" w:fill="EAF1F5"/>
          </w:tcPr>
          <w:p w14:paraId="7A62DD4A" w14:textId="77777777" w:rsidR="00AE648C" w:rsidRDefault="00000000">
            <w:pPr>
              <w:pStyle w:val="Compact"/>
              <w:spacing w:before="20" w:after="20"/>
            </w:pPr>
            <w:r>
              <w:rPr>
                <w:sz w:val="17"/>
              </w:rPr>
              <w:t>Software</w:t>
            </w:r>
          </w:p>
        </w:tc>
        <w:tc>
          <w:tcPr>
            <w:tcW w:w="0" w:type="auto"/>
            <w:shd w:val="clear" w:color="auto" w:fill="EAF1F5"/>
          </w:tcPr>
          <w:p w14:paraId="3DD0531F" w14:textId="77777777" w:rsidR="00AE648C" w:rsidRDefault="00000000">
            <w:pPr>
              <w:pStyle w:val="Compact"/>
              <w:spacing w:before="20" w:after="20"/>
            </w:pPr>
            <w:r>
              <w:rPr>
                <w:sz w:val="17"/>
              </w:rPr>
              <w:t>PyCO2SYS v1.8</w:t>
            </w:r>
          </w:p>
        </w:tc>
        <w:tc>
          <w:tcPr>
            <w:tcW w:w="0" w:type="auto"/>
            <w:shd w:val="clear" w:color="auto" w:fill="EAF1F5"/>
          </w:tcPr>
          <w:p w14:paraId="7C11B409" w14:textId="77777777" w:rsidR="00AE648C" w:rsidRDefault="00000000">
            <w:pPr>
              <w:pStyle w:val="Compact"/>
              <w:spacing w:before="20" w:after="20"/>
            </w:pPr>
            <w:r>
              <w:rPr>
                <w:sz w:val="17"/>
              </w:rPr>
              <w:t xml:space="preserve">Humphreys et al. </w:t>
            </w:r>
            <w:r>
              <w:rPr>
                <w:sz w:val="17"/>
                <w:vertAlign w:val="superscript"/>
              </w:rPr>
              <w:t>7</w:t>
            </w:r>
          </w:p>
        </w:tc>
      </w:tr>
    </w:tbl>
    <w:p w14:paraId="4BAC6FCC" w14:textId="77777777" w:rsidR="00AE648C" w:rsidRDefault="00000000">
      <w:pPr>
        <w:pStyle w:val="FirstParagraph"/>
      </w:pPr>
      <w:r>
        <w:t>Table S2. The winter threshold projection under all three uncertainty tiers: point estimates for each horizon with the Monte Carlo data uncertainty and block-bootstrap spatial intervals. The structural range (36.9–52.5% at present) is wider than either and is the bound quoted for the headline figure. The final row is not an interval but a test of the winter definition itself, described in Section 2.4 of the main article. Percentages are quoted in the text to the nearest whole point; the 2045 value of 57.5% is given there as 57% rather than 58% so that the projection is not overstated.</w:t>
      </w:r>
    </w:p>
    <w:tbl>
      <w:tblPr>
        <w:tblStyle w:val="Table"/>
        <w:tblW w:w="5000" w:type="pct"/>
        <w:tblBorders>
          <w:top w:val="single" w:sz="4" w:space="0" w:color="9FB4BE"/>
          <w:left w:val="single" w:sz="4" w:space="0" w:color="9FB4BE"/>
          <w:bottom w:val="single" w:sz="4" w:space="0" w:color="9FB4BE"/>
          <w:right w:val="single" w:sz="4" w:space="0" w:color="9FB4BE"/>
          <w:insideH w:val="single" w:sz="4" w:space="0" w:color="9FB4BE"/>
          <w:insideV w:val="single" w:sz="4" w:space="0" w:color="9FB4BE"/>
        </w:tblBorders>
        <w:tblCellMar>
          <w:top w:w="40" w:type="dxa"/>
          <w:left w:w="80" w:type="dxa"/>
          <w:bottom w:w="40" w:type="dxa"/>
          <w:right w:w="80" w:type="dxa"/>
        </w:tblCellMar>
        <w:tblLook w:val="0020" w:firstRow="1" w:lastRow="0" w:firstColumn="0" w:lastColumn="0" w:noHBand="0" w:noVBand="0"/>
      </w:tblPr>
      <w:tblGrid>
        <w:gridCol w:w="1517"/>
        <w:gridCol w:w="2523"/>
        <w:gridCol w:w="3074"/>
        <w:gridCol w:w="2236"/>
      </w:tblGrid>
      <w:tr w:rsidR="00AE648C" w14:paraId="7609B81E" w14:textId="77777777" w:rsidTr="00AE648C">
        <w:trPr>
          <w:cnfStyle w:val="100000000000" w:firstRow="1" w:lastRow="0" w:firstColumn="0" w:lastColumn="0" w:oddVBand="0" w:evenVBand="0" w:oddHBand="0" w:evenHBand="0" w:firstRowFirstColumn="0" w:firstRowLastColumn="0" w:lastRowFirstColumn="0" w:lastRowLastColumn="0"/>
          <w:tblHeader/>
        </w:trPr>
        <w:tc>
          <w:tcPr>
            <w:tcW w:w="0" w:type="auto"/>
            <w:gridSpan w:val="4"/>
            <w:shd w:val="clear" w:color="auto" w:fill="143C4A"/>
          </w:tcPr>
          <w:p w14:paraId="3149C4A5" w14:textId="77777777" w:rsidR="00AE648C" w:rsidRDefault="00000000">
            <w:pPr>
              <w:spacing w:before="20" w:after="20"/>
            </w:pPr>
            <w:r>
              <w:rPr>
                <w:b/>
                <w:color w:val="FFFFFF"/>
                <w:sz w:val="19"/>
              </w:rPr>
              <w:t>Table S2. Winter threshold projections with all three uncertainty tiers</w:t>
            </w:r>
          </w:p>
        </w:tc>
      </w:tr>
      <w:tr w:rsidR="00AE648C" w:rsidRPr="00B10B62" w14:paraId="3B26E3CF" w14:textId="77777777" w:rsidTr="00AE648C">
        <w:trPr>
          <w:cnfStyle w:val="100000000000" w:firstRow="1" w:lastRow="0" w:firstColumn="0" w:lastColumn="0" w:oddVBand="0" w:evenVBand="0" w:oddHBand="0" w:evenHBand="0" w:firstRowFirstColumn="0" w:firstRowLastColumn="0" w:lastRowFirstColumn="0" w:lastRowLastColumn="0"/>
          <w:tblHeader/>
        </w:trPr>
        <w:tc>
          <w:tcPr>
            <w:tcW w:w="0" w:type="auto"/>
            <w:shd w:val="clear" w:color="auto" w:fill="1F4E5F"/>
          </w:tcPr>
          <w:p w14:paraId="6DE9505B" w14:textId="77777777" w:rsidR="00AE648C" w:rsidRDefault="00000000">
            <w:pPr>
              <w:pStyle w:val="Compact"/>
              <w:spacing w:before="20" w:after="20"/>
            </w:pPr>
            <w:r>
              <w:rPr>
                <w:b/>
                <w:color w:val="FFFFFF"/>
                <w:sz w:val="17"/>
              </w:rPr>
              <w:t>Horizon</w:t>
            </w:r>
          </w:p>
        </w:tc>
        <w:tc>
          <w:tcPr>
            <w:tcW w:w="0" w:type="auto"/>
            <w:shd w:val="clear" w:color="auto" w:fill="1F4E5F"/>
          </w:tcPr>
          <w:p w14:paraId="2ABC9DD5" w14:textId="77777777" w:rsidR="00AE648C" w:rsidRDefault="00000000">
            <w:pPr>
              <w:pStyle w:val="Compact"/>
              <w:spacing w:before="20" w:after="20"/>
            </w:pPr>
            <w:r>
              <w:rPr>
                <w:b/>
                <w:color w:val="FFFFFF"/>
                <w:sz w:val="17"/>
              </w:rPr>
              <w:t>Point estimate (scheme A)</w:t>
            </w:r>
          </w:p>
        </w:tc>
        <w:tc>
          <w:tcPr>
            <w:tcW w:w="0" w:type="auto"/>
            <w:shd w:val="clear" w:color="auto" w:fill="1F4E5F"/>
          </w:tcPr>
          <w:p w14:paraId="20FFC813" w14:textId="77777777" w:rsidR="00AE648C" w:rsidRPr="000E5236" w:rsidRDefault="00000000">
            <w:pPr>
              <w:pStyle w:val="Compact"/>
              <w:spacing w:before="20" w:after="20"/>
              <w:rPr>
                <w:lang w:val="it-IT"/>
              </w:rPr>
            </w:pPr>
            <w:r>
              <w:rPr>
                <w:b/>
                <w:color w:val="FFFFFF"/>
                <w:sz w:val="17"/>
                <w:lang w:val="it-IT"/>
              </w:rPr>
              <w:t>Data-uncertainty 95% CI (Monte Carlo, n = 500)</w:t>
            </w:r>
          </w:p>
        </w:tc>
        <w:tc>
          <w:tcPr>
            <w:tcW w:w="0" w:type="auto"/>
            <w:shd w:val="clear" w:color="auto" w:fill="1F4E5F"/>
          </w:tcPr>
          <w:p w14:paraId="0FAB56A0" w14:textId="77777777" w:rsidR="00AE648C" w:rsidRPr="000E5236" w:rsidRDefault="00000000">
            <w:pPr>
              <w:pStyle w:val="Compact"/>
              <w:spacing w:before="20" w:after="20"/>
              <w:rPr>
                <w:lang w:val="sv-SE"/>
              </w:rPr>
            </w:pPr>
            <w:r>
              <w:rPr>
                <w:b/>
                <w:color w:val="FFFFFF"/>
                <w:sz w:val="17"/>
                <w:lang w:val="sv-SE"/>
              </w:rPr>
              <w:t>Spatial 95% CI (block bootstrap, n=5,000)</w:t>
            </w:r>
          </w:p>
        </w:tc>
      </w:tr>
      <w:tr w:rsidR="00AE648C" w14:paraId="088A07C6" w14:textId="77777777" w:rsidTr="00AE648C">
        <w:tc>
          <w:tcPr>
            <w:tcW w:w="0" w:type="auto"/>
            <w:shd w:val="clear" w:color="auto" w:fill="FFFFFF"/>
          </w:tcPr>
          <w:p w14:paraId="5DFE5211" w14:textId="77777777" w:rsidR="00AE648C" w:rsidRDefault="00000000">
            <w:pPr>
              <w:pStyle w:val="Compact"/>
              <w:spacing w:before="20" w:after="20"/>
            </w:pPr>
            <w:r>
              <w:rPr>
                <w:sz w:val="17"/>
              </w:rPr>
              <w:t>Now (2022–2024)</w:t>
            </w:r>
          </w:p>
        </w:tc>
        <w:tc>
          <w:tcPr>
            <w:tcW w:w="0" w:type="auto"/>
            <w:shd w:val="clear" w:color="auto" w:fill="FFFFFF"/>
          </w:tcPr>
          <w:p w14:paraId="009F362A" w14:textId="77777777" w:rsidR="00AE648C" w:rsidRDefault="00000000">
            <w:pPr>
              <w:pStyle w:val="Compact"/>
              <w:spacing w:before="20" w:after="20"/>
            </w:pPr>
            <w:r>
              <w:rPr>
                <w:sz w:val="17"/>
              </w:rPr>
              <w:t>43.7%</w:t>
            </w:r>
          </w:p>
        </w:tc>
        <w:tc>
          <w:tcPr>
            <w:tcW w:w="0" w:type="auto"/>
            <w:shd w:val="clear" w:color="auto" w:fill="FFFFFF"/>
          </w:tcPr>
          <w:p w14:paraId="76ED9084" w14:textId="77777777" w:rsidR="00AE648C" w:rsidRDefault="00000000">
            <w:pPr>
              <w:pStyle w:val="Compact"/>
              <w:spacing w:before="20" w:after="20"/>
            </w:pPr>
            <w:r>
              <w:rPr>
                <w:sz w:val="17"/>
              </w:rPr>
              <w:t>43.7–43.9%</w:t>
            </w:r>
          </w:p>
        </w:tc>
        <w:tc>
          <w:tcPr>
            <w:tcW w:w="0" w:type="auto"/>
            <w:shd w:val="clear" w:color="auto" w:fill="FFFFFF"/>
          </w:tcPr>
          <w:p w14:paraId="12CE1F0E" w14:textId="77777777" w:rsidR="00AE648C" w:rsidRDefault="00000000">
            <w:pPr>
              <w:pStyle w:val="Compact"/>
              <w:spacing w:before="20" w:after="20"/>
            </w:pPr>
            <w:r>
              <w:rPr>
                <w:sz w:val="17"/>
              </w:rPr>
              <w:t>39.6–47.8%</w:t>
            </w:r>
          </w:p>
        </w:tc>
      </w:tr>
      <w:tr w:rsidR="00AE648C" w14:paraId="62EEEF0C" w14:textId="77777777" w:rsidTr="00AE648C">
        <w:tc>
          <w:tcPr>
            <w:tcW w:w="0" w:type="auto"/>
            <w:shd w:val="clear" w:color="auto" w:fill="EAF1F5"/>
          </w:tcPr>
          <w:p w14:paraId="3258E66F" w14:textId="77777777" w:rsidR="00AE648C" w:rsidRDefault="00000000">
            <w:pPr>
              <w:pStyle w:val="Compact"/>
              <w:spacing w:before="20" w:after="20"/>
            </w:pPr>
            <w:r>
              <w:rPr>
                <w:sz w:val="17"/>
              </w:rPr>
              <w:t>2035</w:t>
            </w:r>
          </w:p>
        </w:tc>
        <w:tc>
          <w:tcPr>
            <w:tcW w:w="0" w:type="auto"/>
            <w:shd w:val="clear" w:color="auto" w:fill="EAF1F5"/>
          </w:tcPr>
          <w:p w14:paraId="178D104F" w14:textId="77777777" w:rsidR="00AE648C" w:rsidRDefault="00000000">
            <w:pPr>
              <w:pStyle w:val="Compact"/>
              <w:spacing w:before="20" w:after="20"/>
            </w:pPr>
            <w:r>
              <w:rPr>
                <w:sz w:val="17"/>
              </w:rPr>
              <w:t>49.0%</w:t>
            </w:r>
          </w:p>
        </w:tc>
        <w:tc>
          <w:tcPr>
            <w:tcW w:w="0" w:type="auto"/>
            <w:shd w:val="clear" w:color="auto" w:fill="EAF1F5"/>
          </w:tcPr>
          <w:p w14:paraId="19B77454" w14:textId="77777777" w:rsidR="00AE648C" w:rsidRDefault="00000000">
            <w:pPr>
              <w:pStyle w:val="Compact"/>
              <w:spacing w:before="20" w:after="20"/>
            </w:pPr>
            <w:r>
              <w:rPr>
                <w:sz w:val="17"/>
              </w:rPr>
              <w:t>48.8–49.0%</w:t>
            </w:r>
          </w:p>
        </w:tc>
        <w:tc>
          <w:tcPr>
            <w:tcW w:w="0" w:type="auto"/>
            <w:shd w:val="clear" w:color="auto" w:fill="EAF1F5"/>
          </w:tcPr>
          <w:p w14:paraId="2DF674E3" w14:textId="77777777" w:rsidR="00AE648C" w:rsidRDefault="00000000">
            <w:pPr>
              <w:pStyle w:val="Compact"/>
              <w:spacing w:before="20" w:after="20"/>
            </w:pPr>
            <w:r>
              <w:rPr>
                <w:sz w:val="17"/>
              </w:rPr>
              <w:t>44.8–53.2%</w:t>
            </w:r>
          </w:p>
        </w:tc>
      </w:tr>
      <w:tr w:rsidR="00AE648C" w14:paraId="2AAD4B44" w14:textId="77777777" w:rsidTr="00AE648C">
        <w:tc>
          <w:tcPr>
            <w:tcW w:w="0" w:type="auto"/>
            <w:shd w:val="clear" w:color="auto" w:fill="FFFFFF"/>
          </w:tcPr>
          <w:p w14:paraId="03557D40" w14:textId="77777777" w:rsidR="00AE648C" w:rsidRDefault="00000000">
            <w:pPr>
              <w:pStyle w:val="Compact"/>
              <w:spacing w:before="20" w:after="20"/>
            </w:pPr>
            <w:r>
              <w:rPr>
                <w:sz w:val="17"/>
              </w:rPr>
              <w:t>2045</w:t>
            </w:r>
          </w:p>
        </w:tc>
        <w:tc>
          <w:tcPr>
            <w:tcW w:w="0" w:type="auto"/>
            <w:shd w:val="clear" w:color="auto" w:fill="FFFFFF"/>
          </w:tcPr>
          <w:p w14:paraId="01B2A438" w14:textId="77777777" w:rsidR="00AE648C" w:rsidRDefault="00000000">
            <w:pPr>
              <w:pStyle w:val="Compact"/>
              <w:spacing w:before="20" w:after="20"/>
            </w:pPr>
            <w:r>
              <w:rPr>
                <w:sz w:val="17"/>
              </w:rPr>
              <w:t>57.5%</w:t>
            </w:r>
          </w:p>
        </w:tc>
        <w:tc>
          <w:tcPr>
            <w:tcW w:w="0" w:type="auto"/>
            <w:shd w:val="clear" w:color="auto" w:fill="FFFFFF"/>
          </w:tcPr>
          <w:p w14:paraId="3D52B303" w14:textId="77777777" w:rsidR="00AE648C" w:rsidRDefault="00000000">
            <w:pPr>
              <w:pStyle w:val="Compact"/>
              <w:spacing w:before="20" w:after="20"/>
            </w:pPr>
            <w:r>
              <w:rPr>
                <w:sz w:val="17"/>
              </w:rPr>
              <w:t>57.3–57.5%</w:t>
            </w:r>
          </w:p>
        </w:tc>
        <w:tc>
          <w:tcPr>
            <w:tcW w:w="0" w:type="auto"/>
            <w:shd w:val="clear" w:color="auto" w:fill="FFFFFF"/>
          </w:tcPr>
          <w:p w14:paraId="28AA5C8D" w14:textId="77777777" w:rsidR="00AE648C" w:rsidRDefault="00000000">
            <w:pPr>
              <w:pStyle w:val="Compact"/>
              <w:spacing w:before="20" w:after="20"/>
            </w:pPr>
            <w:r>
              <w:rPr>
                <w:sz w:val="17"/>
              </w:rPr>
              <w:t>53.2–61.8%</w:t>
            </w:r>
          </w:p>
        </w:tc>
      </w:tr>
      <w:tr w:rsidR="00AE648C" w14:paraId="68412887" w14:textId="77777777" w:rsidTr="00AE648C">
        <w:tc>
          <w:tcPr>
            <w:tcW w:w="0" w:type="auto"/>
            <w:shd w:val="clear" w:color="auto" w:fill="EAF1F5"/>
          </w:tcPr>
          <w:p w14:paraId="552D3277" w14:textId="77777777" w:rsidR="00AE648C" w:rsidRDefault="00000000">
            <w:pPr>
              <w:pStyle w:val="Compact"/>
              <w:spacing w:before="20" w:after="20"/>
            </w:pPr>
            <w:r>
              <w:rPr>
                <w:sz w:val="17"/>
              </w:rPr>
              <w:t>2055</w:t>
            </w:r>
          </w:p>
        </w:tc>
        <w:tc>
          <w:tcPr>
            <w:tcW w:w="0" w:type="auto"/>
            <w:shd w:val="clear" w:color="auto" w:fill="EAF1F5"/>
          </w:tcPr>
          <w:p w14:paraId="41F5D300" w14:textId="77777777" w:rsidR="00AE648C" w:rsidRDefault="00000000">
            <w:pPr>
              <w:pStyle w:val="Compact"/>
              <w:spacing w:before="20" w:after="20"/>
            </w:pPr>
            <w:r>
              <w:rPr>
                <w:sz w:val="17"/>
              </w:rPr>
              <w:t>64.7%</w:t>
            </w:r>
          </w:p>
        </w:tc>
        <w:tc>
          <w:tcPr>
            <w:tcW w:w="0" w:type="auto"/>
            <w:shd w:val="clear" w:color="auto" w:fill="EAF1F5"/>
          </w:tcPr>
          <w:p w14:paraId="0EAC83B1" w14:textId="77777777" w:rsidR="00AE648C" w:rsidRDefault="00000000">
            <w:pPr>
              <w:pStyle w:val="Compact"/>
              <w:spacing w:before="20" w:after="20"/>
            </w:pPr>
            <w:r>
              <w:rPr>
                <w:sz w:val="17"/>
              </w:rPr>
              <w:t>64.6–64.8%</w:t>
            </w:r>
          </w:p>
        </w:tc>
        <w:tc>
          <w:tcPr>
            <w:tcW w:w="0" w:type="auto"/>
            <w:shd w:val="clear" w:color="auto" w:fill="EAF1F5"/>
          </w:tcPr>
          <w:p w14:paraId="0B44C4DE" w14:textId="77777777" w:rsidR="00AE648C" w:rsidRDefault="00000000">
            <w:pPr>
              <w:pStyle w:val="Compact"/>
              <w:spacing w:before="20" w:after="20"/>
            </w:pPr>
            <w:r>
              <w:rPr>
                <w:sz w:val="17"/>
              </w:rPr>
              <w:t>60.4–69.0%</w:t>
            </w:r>
          </w:p>
        </w:tc>
      </w:tr>
      <w:tr w:rsidR="00AE648C" w14:paraId="48ACC31F" w14:textId="77777777" w:rsidTr="00AE648C">
        <w:tc>
          <w:tcPr>
            <w:tcW w:w="0" w:type="auto"/>
            <w:shd w:val="clear" w:color="auto" w:fill="FFFFFF"/>
          </w:tcPr>
          <w:p w14:paraId="26BC9F82" w14:textId="77777777" w:rsidR="00AE648C" w:rsidRDefault="00000000">
            <w:pPr>
              <w:pStyle w:val="Compact"/>
              <w:spacing w:before="20" w:after="20"/>
            </w:pPr>
            <w:r>
              <w:rPr>
                <w:sz w:val="17"/>
              </w:rPr>
              <w:t>Winter window sensitivity</w:t>
            </w:r>
          </w:p>
        </w:tc>
        <w:tc>
          <w:tcPr>
            <w:tcW w:w="0" w:type="auto"/>
            <w:shd w:val="clear" w:color="auto" w:fill="FFFFFF"/>
          </w:tcPr>
          <w:p w14:paraId="2D3FF740" w14:textId="77777777" w:rsidR="00AE648C" w:rsidRDefault="00000000">
            <w:pPr>
              <w:pStyle w:val="Compact"/>
              <w:spacing w:before="20" w:after="20"/>
            </w:pPr>
            <w:r>
              <w:rPr>
                <w:sz w:val="17"/>
              </w:rPr>
              <w:t>three-month mean in place of the single coldest month</w:t>
            </w:r>
          </w:p>
        </w:tc>
        <w:tc>
          <w:tcPr>
            <w:tcW w:w="0" w:type="auto"/>
            <w:shd w:val="clear" w:color="auto" w:fill="FFFFFF"/>
          </w:tcPr>
          <w:p w14:paraId="09FD0E7F" w14:textId="77777777" w:rsidR="00AE648C" w:rsidRDefault="00000000">
            <w:pPr>
              <w:pStyle w:val="Compact"/>
              <w:spacing w:before="20" w:after="20"/>
            </w:pPr>
            <w:r>
              <w:rPr>
                <w:sz w:val="17"/>
              </w:rPr>
              <w:t>1.1 points lower now; 0.3 points or less at every projected horizon</w:t>
            </w:r>
          </w:p>
        </w:tc>
        <w:tc>
          <w:tcPr>
            <w:tcW w:w="0" w:type="auto"/>
            <w:shd w:val="clear" w:color="auto" w:fill="FFFFFF"/>
          </w:tcPr>
          <w:p w14:paraId="4C21D31C" w14:textId="77777777" w:rsidR="00AE648C" w:rsidRDefault="00AE648C">
            <w:pPr>
              <w:pStyle w:val="Compact"/>
              <w:spacing w:before="20" w:after="20"/>
            </w:pPr>
          </w:p>
        </w:tc>
      </w:tr>
    </w:tbl>
    <w:p w14:paraId="70B53F5A" w14:textId="77777777" w:rsidR="00AE648C" w:rsidRDefault="00000000">
      <w:pPr>
        <w:pStyle w:val="BodyText"/>
      </w:pPr>
      <w:r>
        <w:t>Table S3. Every winter, Ω and pH trends at the seven sites (Iceland Sea, Irminger Sea, Station K2, Drake Passage, Munida, Bermuda and Station ALOHA) are negative and statistically significant: trend statistics, 95% confidence intervals, p-values and reported measurement uncertainty (OceanSODA-ETHZ v2025, 1982–2024, n=43 winters per site).</w:t>
      </w:r>
    </w:p>
    <w:tbl>
      <w:tblPr>
        <w:tblStyle w:val="Table"/>
        <w:tblW w:w="5000" w:type="pct"/>
        <w:tblBorders>
          <w:top w:val="single" w:sz="4" w:space="0" w:color="9FB4BE"/>
          <w:left w:val="single" w:sz="4" w:space="0" w:color="9FB4BE"/>
          <w:bottom w:val="single" w:sz="4" w:space="0" w:color="9FB4BE"/>
          <w:right w:val="single" w:sz="4" w:space="0" w:color="9FB4BE"/>
          <w:insideH w:val="single" w:sz="4" w:space="0" w:color="9FB4BE"/>
          <w:insideV w:val="single" w:sz="4" w:space="0" w:color="9FB4BE"/>
        </w:tblBorders>
        <w:tblCellMar>
          <w:top w:w="40" w:type="dxa"/>
          <w:left w:w="80" w:type="dxa"/>
          <w:bottom w:w="40" w:type="dxa"/>
          <w:right w:w="80" w:type="dxa"/>
        </w:tblCellMar>
        <w:tblLook w:val="0020" w:firstRow="1" w:lastRow="0" w:firstColumn="0" w:lastColumn="0" w:noHBand="0" w:noVBand="0"/>
      </w:tblPr>
      <w:tblGrid>
        <w:gridCol w:w="1091"/>
        <w:gridCol w:w="1139"/>
        <w:gridCol w:w="1795"/>
        <w:gridCol w:w="1841"/>
        <w:gridCol w:w="1719"/>
        <w:gridCol w:w="1765"/>
      </w:tblGrid>
      <w:tr w:rsidR="00AE648C" w14:paraId="2EB4C700" w14:textId="77777777" w:rsidTr="00AE648C">
        <w:trPr>
          <w:cnfStyle w:val="100000000000" w:firstRow="1" w:lastRow="0" w:firstColumn="0" w:lastColumn="0" w:oddVBand="0" w:evenVBand="0" w:oddHBand="0" w:evenHBand="0" w:firstRowFirstColumn="0" w:firstRowLastColumn="0" w:lastRowFirstColumn="0" w:lastRowLastColumn="0"/>
          <w:tblHeader/>
        </w:trPr>
        <w:tc>
          <w:tcPr>
            <w:tcW w:w="0" w:type="auto"/>
            <w:gridSpan w:val="6"/>
            <w:shd w:val="clear" w:color="auto" w:fill="143C4A"/>
          </w:tcPr>
          <w:p w14:paraId="744C5062" w14:textId="77777777" w:rsidR="00AE648C" w:rsidRDefault="00000000">
            <w:pPr>
              <w:spacing w:before="20" w:after="20"/>
            </w:pPr>
            <w:r>
              <w:rPr>
                <w:b/>
                <w:color w:val="FFFFFF"/>
                <w:sz w:val="19"/>
              </w:rPr>
              <w:t>Table S3. Winter Ω and pH trends at the seven sites: all negative, all significant</w:t>
            </w:r>
          </w:p>
        </w:tc>
      </w:tr>
      <w:tr w:rsidR="00AE648C" w14:paraId="7F366447" w14:textId="77777777" w:rsidTr="00AE648C">
        <w:trPr>
          <w:cnfStyle w:val="100000000000" w:firstRow="1" w:lastRow="0" w:firstColumn="0" w:lastColumn="0" w:oddVBand="0" w:evenVBand="0" w:oddHBand="0" w:evenHBand="0" w:firstRowFirstColumn="0" w:firstRowLastColumn="0" w:lastRowFirstColumn="0" w:lastRowLastColumn="0"/>
          <w:tblHeader/>
        </w:trPr>
        <w:tc>
          <w:tcPr>
            <w:tcW w:w="0" w:type="auto"/>
            <w:shd w:val="clear" w:color="auto" w:fill="1F4E5F"/>
          </w:tcPr>
          <w:p w14:paraId="6843072A" w14:textId="77777777" w:rsidR="00AE648C" w:rsidRDefault="00000000">
            <w:pPr>
              <w:pStyle w:val="Compact"/>
              <w:spacing w:before="20" w:after="20"/>
            </w:pPr>
            <w:r>
              <w:rPr>
                <w:b/>
                <w:color w:val="FFFFFF"/>
                <w:sz w:val="17"/>
              </w:rPr>
              <w:t>Site</w:t>
            </w:r>
          </w:p>
        </w:tc>
        <w:tc>
          <w:tcPr>
            <w:tcW w:w="0" w:type="auto"/>
            <w:shd w:val="clear" w:color="auto" w:fill="1F4E5F"/>
          </w:tcPr>
          <w:p w14:paraId="6E76D0FD" w14:textId="77777777" w:rsidR="00AE648C" w:rsidRDefault="00000000">
            <w:pPr>
              <w:pStyle w:val="Compact"/>
              <w:spacing w:before="20" w:after="20"/>
            </w:pPr>
            <w:r>
              <w:rPr>
                <w:b/>
                <w:color w:val="FFFFFF"/>
                <w:sz w:val="17"/>
              </w:rPr>
              <w:t>Grid cell (lat, lon)</w:t>
            </w:r>
          </w:p>
        </w:tc>
        <w:tc>
          <w:tcPr>
            <w:tcW w:w="0" w:type="auto"/>
            <w:shd w:val="clear" w:color="auto" w:fill="1F4E5F"/>
          </w:tcPr>
          <w:p w14:paraId="5F3C67FA" w14:textId="77777777" w:rsidR="00AE648C" w:rsidRDefault="00000000">
            <w:pPr>
              <w:pStyle w:val="Compact"/>
              <w:spacing w:before="20" w:after="20"/>
            </w:pPr>
            <w:r>
              <w:rPr>
                <w:b/>
                <w:color w:val="FFFFFF"/>
                <w:sz w:val="17"/>
              </w:rPr>
              <w:t>Winter Ω trend per decade (95% CI)</w:t>
            </w:r>
          </w:p>
        </w:tc>
        <w:tc>
          <w:tcPr>
            <w:tcW w:w="0" w:type="auto"/>
            <w:shd w:val="clear" w:color="auto" w:fill="1F4E5F"/>
          </w:tcPr>
          <w:p w14:paraId="2B6DDB95" w14:textId="77777777" w:rsidR="00AE648C" w:rsidRDefault="00000000">
            <w:pPr>
              <w:pStyle w:val="Compact"/>
              <w:spacing w:before="20" w:after="20"/>
            </w:pPr>
            <w:r>
              <w:rPr>
                <w:b/>
                <w:color w:val="FFFFFF"/>
                <w:sz w:val="17"/>
              </w:rPr>
              <w:t>Winter pH trend per decade (95% CI)</w:t>
            </w:r>
          </w:p>
        </w:tc>
        <w:tc>
          <w:tcPr>
            <w:tcW w:w="0" w:type="auto"/>
            <w:shd w:val="clear" w:color="auto" w:fill="1F4E5F"/>
          </w:tcPr>
          <w:p w14:paraId="308D9CFA" w14:textId="77777777" w:rsidR="00AE648C" w:rsidRDefault="00000000">
            <w:pPr>
              <w:pStyle w:val="Compact"/>
              <w:spacing w:before="20" w:after="20"/>
            </w:pPr>
            <w:r>
              <w:rPr>
                <w:b/>
                <w:color w:val="FFFFFF"/>
                <w:sz w:val="17"/>
              </w:rPr>
              <w:t>Mean reported Ω uncertainty</w:t>
            </w:r>
          </w:p>
        </w:tc>
        <w:tc>
          <w:tcPr>
            <w:tcW w:w="0" w:type="auto"/>
            <w:shd w:val="clear" w:color="auto" w:fill="1F4E5F"/>
          </w:tcPr>
          <w:p w14:paraId="43CBDEFD" w14:textId="77777777" w:rsidR="00AE648C" w:rsidRDefault="00000000">
            <w:pPr>
              <w:pStyle w:val="Compact"/>
              <w:spacing w:before="20" w:after="20"/>
            </w:pPr>
            <w:r>
              <w:rPr>
                <w:b/>
                <w:color w:val="FFFFFF"/>
                <w:sz w:val="17"/>
              </w:rPr>
              <w:t>Mean reported pH uncertainty</w:t>
            </w:r>
          </w:p>
        </w:tc>
      </w:tr>
      <w:tr w:rsidR="00AE648C" w14:paraId="14F724AF" w14:textId="77777777" w:rsidTr="00AE648C">
        <w:tc>
          <w:tcPr>
            <w:tcW w:w="0" w:type="auto"/>
            <w:shd w:val="clear" w:color="auto" w:fill="FFFFFF"/>
          </w:tcPr>
          <w:p w14:paraId="64B1E5DC" w14:textId="77777777" w:rsidR="00AE648C" w:rsidRDefault="00000000">
            <w:pPr>
              <w:pStyle w:val="Compact"/>
              <w:spacing w:before="20" w:after="20"/>
            </w:pPr>
            <w:r>
              <w:rPr>
                <w:sz w:val="17"/>
              </w:rPr>
              <w:t>Drake Passage</w:t>
            </w:r>
          </w:p>
        </w:tc>
        <w:tc>
          <w:tcPr>
            <w:tcW w:w="0" w:type="auto"/>
            <w:shd w:val="clear" w:color="auto" w:fill="FFFFFF"/>
          </w:tcPr>
          <w:p w14:paraId="17CC22AF" w14:textId="77777777" w:rsidR="00AE648C" w:rsidRDefault="00000000">
            <w:pPr>
              <w:pStyle w:val="Compact"/>
              <w:spacing w:before="20" w:after="20"/>
            </w:pPr>
            <w:r>
              <w:rPr>
                <w:sz w:val="17"/>
              </w:rPr>
              <w:t>59.5°S, 57.5°W</w:t>
            </w:r>
          </w:p>
        </w:tc>
        <w:tc>
          <w:tcPr>
            <w:tcW w:w="0" w:type="auto"/>
            <w:shd w:val="clear" w:color="auto" w:fill="FFFFFF"/>
          </w:tcPr>
          <w:p w14:paraId="0D5B4D6C" w14:textId="77777777" w:rsidR="00AE648C" w:rsidRDefault="00000000">
            <w:pPr>
              <w:pStyle w:val="Compact"/>
              <w:spacing w:before="20" w:after="20"/>
            </w:pPr>
            <w:r>
              <w:rPr>
                <w:sz w:val="17"/>
              </w:rPr>
              <w:t>−0.044 (−0.048 to −0.041)</w:t>
            </w:r>
          </w:p>
        </w:tc>
        <w:tc>
          <w:tcPr>
            <w:tcW w:w="0" w:type="auto"/>
            <w:shd w:val="clear" w:color="auto" w:fill="FFFFFF"/>
          </w:tcPr>
          <w:p w14:paraId="02B5E468" w14:textId="77777777" w:rsidR="00AE648C" w:rsidRDefault="00000000">
            <w:pPr>
              <w:pStyle w:val="Compact"/>
              <w:spacing w:before="20" w:after="20"/>
            </w:pPr>
            <w:r>
              <w:rPr>
                <w:sz w:val="17"/>
              </w:rPr>
              <w:t>−0.018 (−0.018 to −0.017)</w:t>
            </w:r>
          </w:p>
        </w:tc>
        <w:tc>
          <w:tcPr>
            <w:tcW w:w="0" w:type="auto"/>
            <w:shd w:val="clear" w:color="auto" w:fill="FFFFFF"/>
          </w:tcPr>
          <w:p w14:paraId="170817CA" w14:textId="77777777" w:rsidR="00AE648C" w:rsidRDefault="00000000">
            <w:pPr>
              <w:pStyle w:val="Compact"/>
              <w:spacing w:before="20" w:after="20"/>
            </w:pPr>
            <w:r>
              <w:rPr>
                <w:sz w:val="17"/>
              </w:rPr>
              <w:t>±0.018</w:t>
            </w:r>
          </w:p>
        </w:tc>
        <w:tc>
          <w:tcPr>
            <w:tcW w:w="0" w:type="auto"/>
            <w:shd w:val="clear" w:color="auto" w:fill="FFFFFF"/>
          </w:tcPr>
          <w:p w14:paraId="2C856818" w14:textId="77777777" w:rsidR="00AE648C" w:rsidRDefault="00000000">
            <w:pPr>
              <w:pStyle w:val="Compact"/>
              <w:spacing w:before="20" w:after="20"/>
            </w:pPr>
            <w:r>
              <w:rPr>
                <w:sz w:val="17"/>
              </w:rPr>
              <w:t>±0.0062</w:t>
            </w:r>
          </w:p>
        </w:tc>
      </w:tr>
      <w:tr w:rsidR="00AE648C" w14:paraId="6DE8DE96" w14:textId="77777777" w:rsidTr="00AE648C">
        <w:tc>
          <w:tcPr>
            <w:tcW w:w="0" w:type="auto"/>
            <w:shd w:val="clear" w:color="auto" w:fill="EAF1F5"/>
          </w:tcPr>
          <w:p w14:paraId="6846F762" w14:textId="77777777" w:rsidR="00AE648C" w:rsidRDefault="00000000">
            <w:pPr>
              <w:pStyle w:val="Compact"/>
              <w:spacing w:before="20" w:after="20"/>
            </w:pPr>
            <w:r>
              <w:rPr>
                <w:sz w:val="17"/>
              </w:rPr>
              <w:t>Station K2</w:t>
            </w:r>
          </w:p>
        </w:tc>
        <w:tc>
          <w:tcPr>
            <w:tcW w:w="0" w:type="auto"/>
            <w:shd w:val="clear" w:color="auto" w:fill="EAF1F5"/>
          </w:tcPr>
          <w:p w14:paraId="058D5215" w14:textId="77777777" w:rsidR="00AE648C" w:rsidRDefault="00000000">
            <w:pPr>
              <w:pStyle w:val="Compact"/>
              <w:spacing w:before="20" w:after="20"/>
            </w:pPr>
            <w:r>
              <w:rPr>
                <w:sz w:val="17"/>
              </w:rPr>
              <w:t>47.5°N, 160.5°E</w:t>
            </w:r>
          </w:p>
        </w:tc>
        <w:tc>
          <w:tcPr>
            <w:tcW w:w="0" w:type="auto"/>
            <w:shd w:val="clear" w:color="auto" w:fill="EAF1F5"/>
          </w:tcPr>
          <w:p w14:paraId="19929D30" w14:textId="77777777" w:rsidR="00AE648C" w:rsidRDefault="00000000">
            <w:pPr>
              <w:pStyle w:val="Compact"/>
              <w:spacing w:before="20" w:after="20"/>
            </w:pPr>
            <w:r>
              <w:rPr>
                <w:sz w:val="17"/>
              </w:rPr>
              <w:t>−0.046 (−0.053 to −0.039)</w:t>
            </w:r>
          </w:p>
        </w:tc>
        <w:tc>
          <w:tcPr>
            <w:tcW w:w="0" w:type="auto"/>
            <w:shd w:val="clear" w:color="auto" w:fill="EAF1F5"/>
          </w:tcPr>
          <w:p w14:paraId="28A4FEB3" w14:textId="77777777" w:rsidR="00AE648C" w:rsidRDefault="00000000">
            <w:pPr>
              <w:pStyle w:val="Compact"/>
              <w:spacing w:before="20" w:after="20"/>
            </w:pPr>
            <w:r>
              <w:rPr>
                <w:sz w:val="17"/>
              </w:rPr>
              <w:t>−0.019 (−0.020 to −0.018)</w:t>
            </w:r>
          </w:p>
        </w:tc>
        <w:tc>
          <w:tcPr>
            <w:tcW w:w="0" w:type="auto"/>
            <w:shd w:val="clear" w:color="auto" w:fill="EAF1F5"/>
          </w:tcPr>
          <w:p w14:paraId="5CCBDEB6" w14:textId="77777777" w:rsidR="00AE648C" w:rsidRDefault="00000000">
            <w:pPr>
              <w:pStyle w:val="Compact"/>
              <w:spacing w:before="20" w:after="20"/>
            </w:pPr>
            <w:r>
              <w:rPr>
                <w:sz w:val="17"/>
              </w:rPr>
              <w:t>±0.026</w:t>
            </w:r>
          </w:p>
        </w:tc>
        <w:tc>
          <w:tcPr>
            <w:tcW w:w="0" w:type="auto"/>
            <w:shd w:val="clear" w:color="auto" w:fill="EAF1F5"/>
          </w:tcPr>
          <w:p w14:paraId="142BC31D" w14:textId="77777777" w:rsidR="00AE648C" w:rsidRDefault="00000000">
            <w:pPr>
              <w:pStyle w:val="Compact"/>
              <w:spacing w:before="20" w:after="20"/>
            </w:pPr>
            <w:r>
              <w:rPr>
                <w:sz w:val="17"/>
              </w:rPr>
              <w:t>±0.0085</w:t>
            </w:r>
          </w:p>
        </w:tc>
      </w:tr>
      <w:tr w:rsidR="00AE648C" w14:paraId="34622219" w14:textId="77777777" w:rsidTr="00AE648C">
        <w:tc>
          <w:tcPr>
            <w:tcW w:w="0" w:type="auto"/>
            <w:shd w:val="clear" w:color="auto" w:fill="FFFFFF"/>
          </w:tcPr>
          <w:p w14:paraId="19B02365" w14:textId="77777777" w:rsidR="00AE648C" w:rsidRDefault="00000000">
            <w:pPr>
              <w:pStyle w:val="Compact"/>
              <w:spacing w:before="20" w:after="20"/>
            </w:pPr>
            <w:r>
              <w:rPr>
                <w:sz w:val="17"/>
              </w:rPr>
              <w:t>Iceland Sea</w:t>
            </w:r>
          </w:p>
        </w:tc>
        <w:tc>
          <w:tcPr>
            <w:tcW w:w="0" w:type="auto"/>
            <w:shd w:val="clear" w:color="auto" w:fill="FFFFFF"/>
          </w:tcPr>
          <w:p w14:paraId="154A99C2" w14:textId="77777777" w:rsidR="00AE648C" w:rsidRDefault="00000000">
            <w:pPr>
              <w:pStyle w:val="Compact"/>
              <w:spacing w:before="20" w:after="20"/>
            </w:pPr>
            <w:r>
              <w:rPr>
                <w:sz w:val="17"/>
              </w:rPr>
              <w:t>68.5°N, 12.5°W</w:t>
            </w:r>
          </w:p>
        </w:tc>
        <w:tc>
          <w:tcPr>
            <w:tcW w:w="0" w:type="auto"/>
            <w:shd w:val="clear" w:color="auto" w:fill="FFFFFF"/>
          </w:tcPr>
          <w:p w14:paraId="69F96690" w14:textId="77777777" w:rsidR="00AE648C" w:rsidRDefault="00000000">
            <w:pPr>
              <w:pStyle w:val="Compact"/>
              <w:spacing w:before="20" w:after="20"/>
            </w:pPr>
            <w:r>
              <w:rPr>
                <w:sz w:val="17"/>
              </w:rPr>
              <w:t>−0.055 (−0.059 to −0.050)</w:t>
            </w:r>
          </w:p>
        </w:tc>
        <w:tc>
          <w:tcPr>
            <w:tcW w:w="0" w:type="auto"/>
            <w:shd w:val="clear" w:color="auto" w:fill="FFFFFF"/>
          </w:tcPr>
          <w:p w14:paraId="1FE0A045" w14:textId="77777777" w:rsidR="00AE648C" w:rsidRDefault="00000000">
            <w:pPr>
              <w:pStyle w:val="Compact"/>
              <w:spacing w:before="20" w:after="20"/>
            </w:pPr>
            <w:r>
              <w:rPr>
                <w:sz w:val="17"/>
              </w:rPr>
              <w:t>−0.022 (−0.022 to −0.021)</w:t>
            </w:r>
          </w:p>
        </w:tc>
        <w:tc>
          <w:tcPr>
            <w:tcW w:w="0" w:type="auto"/>
            <w:shd w:val="clear" w:color="auto" w:fill="FFFFFF"/>
          </w:tcPr>
          <w:p w14:paraId="07713782" w14:textId="77777777" w:rsidR="00AE648C" w:rsidRDefault="00000000">
            <w:pPr>
              <w:pStyle w:val="Compact"/>
              <w:spacing w:before="20" w:after="20"/>
            </w:pPr>
            <w:r>
              <w:rPr>
                <w:sz w:val="17"/>
              </w:rPr>
              <w:t>±0.022</w:t>
            </w:r>
          </w:p>
        </w:tc>
        <w:tc>
          <w:tcPr>
            <w:tcW w:w="0" w:type="auto"/>
            <w:shd w:val="clear" w:color="auto" w:fill="FFFFFF"/>
          </w:tcPr>
          <w:p w14:paraId="1D6B31CC" w14:textId="77777777" w:rsidR="00AE648C" w:rsidRDefault="00000000">
            <w:pPr>
              <w:pStyle w:val="Compact"/>
              <w:spacing w:before="20" w:after="20"/>
            </w:pPr>
            <w:r>
              <w:rPr>
                <w:sz w:val="17"/>
              </w:rPr>
              <w:t>±0.0067</w:t>
            </w:r>
          </w:p>
        </w:tc>
      </w:tr>
      <w:tr w:rsidR="00AE648C" w14:paraId="6C64D0CA" w14:textId="77777777" w:rsidTr="00AE648C">
        <w:tc>
          <w:tcPr>
            <w:tcW w:w="0" w:type="auto"/>
            <w:shd w:val="clear" w:color="auto" w:fill="EAF1F5"/>
          </w:tcPr>
          <w:p w14:paraId="33C2DB65" w14:textId="77777777" w:rsidR="00AE648C" w:rsidRDefault="00000000">
            <w:pPr>
              <w:pStyle w:val="Compact"/>
              <w:spacing w:before="20" w:after="20"/>
            </w:pPr>
            <w:r>
              <w:rPr>
                <w:sz w:val="17"/>
              </w:rPr>
              <w:t>Irminger Sea</w:t>
            </w:r>
          </w:p>
        </w:tc>
        <w:tc>
          <w:tcPr>
            <w:tcW w:w="0" w:type="auto"/>
            <w:shd w:val="clear" w:color="auto" w:fill="EAF1F5"/>
          </w:tcPr>
          <w:p w14:paraId="55678203" w14:textId="77777777" w:rsidR="00AE648C" w:rsidRDefault="00000000">
            <w:pPr>
              <w:pStyle w:val="Compact"/>
              <w:spacing w:before="20" w:after="20"/>
            </w:pPr>
            <w:r>
              <w:rPr>
                <w:sz w:val="17"/>
              </w:rPr>
              <w:t>64.5°N, 28.5°W</w:t>
            </w:r>
          </w:p>
        </w:tc>
        <w:tc>
          <w:tcPr>
            <w:tcW w:w="0" w:type="auto"/>
            <w:shd w:val="clear" w:color="auto" w:fill="EAF1F5"/>
          </w:tcPr>
          <w:p w14:paraId="7EF3A280" w14:textId="77777777" w:rsidR="00AE648C" w:rsidRDefault="00000000">
            <w:pPr>
              <w:pStyle w:val="Compact"/>
              <w:spacing w:before="20" w:after="20"/>
            </w:pPr>
            <w:r>
              <w:rPr>
                <w:sz w:val="17"/>
              </w:rPr>
              <w:t>−0.056 (−0.064 to −0.049)</w:t>
            </w:r>
          </w:p>
        </w:tc>
        <w:tc>
          <w:tcPr>
            <w:tcW w:w="0" w:type="auto"/>
            <w:shd w:val="clear" w:color="auto" w:fill="EAF1F5"/>
          </w:tcPr>
          <w:p w14:paraId="63ADFA8A" w14:textId="77777777" w:rsidR="00AE648C" w:rsidRDefault="00000000">
            <w:pPr>
              <w:pStyle w:val="Compact"/>
              <w:spacing w:before="20" w:after="20"/>
            </w:pPr>
            <w:r>
              <w:rPr>
                <w:sz w:val="17"/>
              </w:rPr>
              <w:t>−0.019 (−0.020 to −0.019)</w:t>
            </w:r>
          </w:p>
        </w:tc>
        <w:tc>
          <w:tcPr>
            <w:tcW w:w="0" w:type="auto"/>
            <w:shd w:val="clear" w:color="auto" w:fill="EAF1F5"/>
          </w:tcPr>
          <w:p w14:paraId="24716B82" w14:textId="77777777" w:rsidR="00AE648C" w:rsidRDefault="00000000">
            <w:pPr>
              <w:pStyle w:val="Compact"/>
              <w:spacing w:before="20" w:after="20"/>
            </w:pPr>
            <w:r>
              <w:rPr>
                <w:sz w:val="17"/>
              </w:rPr>
              <w:t>±0.018</w:t>
            </w:r>
          </w:p>
        </w:tc>
        <w:tc>
          <w:tcPr>
            <w:tcW w:w="0" w:type="auto"/>
            <w:shd w:val="clear" w:color="auto" w:fill="EAF1F5"/>
          </w:tcPr>
          <w:p w14:paraId="2E3618DE" w14:textId="77777777" w:rsidR="00AE648C" w:rsidRDefault="00000000">
            <w:pPr>
              <w:pStyle w:val="Compact"/>
              <w:spacing w:before="20" w:after="20"/>
            </w:pPr>
            <w:r>
              <w:rPr>
                <w:sz w:val="17"/>
              </w:rPr>
              <w:t>±0.0046</w:t>
            </w:r>
          </w:p>
        </w:tc>
      </w:tr>
      <w:tr w:rsidR="00AE648C" w14:paraId="5DE2B9BE" w14:textId="77777777" w:rsidTr="00AE648C">
        <w:tc>
          <w:tcPr>
            <w:tcW w:w="0" w:type="auto"/>
            <w:shd w:val="clear" w:color="auto" w:fill="FFFFFF"/>
          </w:tcPr>
          <w:p w14:paraId="72AAD4E8" w14:textId="77777777" w:rsidR="00AE648C" w:rsidRDefault="00000000">
            <w:pPr>
              <w:pStyle w:val="Compact"/>
              <w:spacing w:before="20" w:after="20"/>
            </w:pPr>
            <w:r>
              <w:rPr>
                <w:sz w:val="17"/>
              </w:rPr>
              <w:t>Munida</w:t>
            </w:r>
          </w:p>
        </w:tc>
        <w:tc>
          <w:tcPr>
            <w:tcW w:w="0" w:type="auto"/>
            <w:shd w:val="clear" w:color="auto" w:fill="FFFFFF"/>
          </w:tcPr>
          <w:p w14:paraId="1EB6CE55" w14:textId="77777777" w:rsidR="00AE648C" w:rsidRDefault="00000000">
            <w:pPr>
              <w:pStyle w:val="Compact"/>
              <w:spacing w:before="20" w:after="20"/>
            </w:pPr>
            <w:r>
              <w:rPr>
                <w:sz w:val="17"/>
              </w:rPr>
              <w:t>45.5°S, 171.5°E</w:t>
            </w:r>
          </w:p>
        </w:tc>
        <w:tc>
          <w:tcPr>
            <w:tcW w:w="0" w:type="auto"/>
            <w:shd w:val="clear" w:color="auto" w:fill="FFFFFF"/>
          </w:tcPr>
          <w:p w14:paraId="661644B4" w14:textId="77777777" w:rsidR="00AE648C" w:rsidRDefault="00000000">
            <w:pPr>
              <w:pStyle w:val="Compact"/>
              <w:spacing w:before="20" w:after="20"/>
            </w:pPr>
            <w:r>
              <w:rPr>
                <w:sz w:val="17"/>
              </w:rPr>
              <w:t>−0.069 (−0.077 to −0.060)</w:t>
            </w:r>
          </w:p>
        </w:tc>
        <w:tc>
          <w:tcPr>
            <w:tcW w:w="0" w:type="auto"/>
            <w:shd w:val="clear" w:color="auto" w:fill="FFFFFF"/>
          </w:tcPr>
          <w:p w14:paraId="7F56A592" w14:textId="77777777" w:rsidR="00AE648C" w:rsidRDefault="00000000">
            <w:pPr>
              <w:pStyle w:val="Compact"/>
              <w:spacing w:before="20" w:after="20"/>
            </w:pPr>
            <w:r>
              <w:rPr>
                <w:sz w:val="17"/>
              </w:rPr>
              <w:t>−0.018 (−0.018 to −0.017)</w:t>
            </w:r>
          </w:p>
        </w:tc>
        <w:tc>
          <w:tcPr>
            <w:tcW w:w="0" w:type="auto"/>
            <w:shd w:val="clear" w:color="auto" w:fill="FFFFFF"/>
          </w:tcPr>
          <w:p w14:paraId="3A1ADFBB" w14:textId="77777777" w:rsidR="00AE648C" w:rsidRDefault="00000000">
            <w:pPr>
              <w:pStyle w:val="Compact"/>
              <w:spacing w:before="20" w:after="20"/>
            </w:pPr>
            <w:r>
              <w:rPr>
                <w:sz w:val="17"/>
              </w:rPr>
              <w:t>±0.021</w:t>
            </w:r>
          </w:p>
        </w:tc>
        <w:tc>
          <w:tcPr>
            <w:tcW w:w="0" w:type="auto"/>
            <w:shd w:val="clear" w:color="auto" w:fill="FFFFFF"/>
          </w:tcPr>
          <w:p w14:paraId="3405CEFE" w14:textId="77777777" w:rsidR="00AE648C" w:rsidRDefault="00000000">
            <w:pPr>
              <w:pStyle w:val="Compact"/>
              <w:spacing w:before="20" w:after="20"/>
            </w:pPr>
            <w:r>
              <w:rPr>
                <w:sz w:val="17"/>
              </w:rPr>
              <w:t>±0.0042</w:t>
            </w:r>
          </w:p>
        </w:tc>
      </w:tr>
      <w:tr w:rsidR="00AE648C" w14:paraId="4E1E7852" w14:textId="77777777" w:rsidTr="00AE648C">
        <w:tc>
          <w:tcPr>
            <w:tcW w:w="0" w:type="auto"/>
            <w:shd w:val="clear" w:color="auto" w:fill="EAF1F5"/>
          </w:tcPr>
          <w:p w14:paraId="5DFC9533" w14:textId="77777777" w:rsidR="00AE648C" w:rsidRDefault="00000000">
            <w:pPr>
              <w:pStyle w:val="Compact"/>
              <w:spacing w:before="20" w:after="20"/>
            </w:pPr>
            <w:r>
              <w:rPr>
                <w:sz w:val="17"/>
              </w:rPr>
              <w:t>Bermuda / BATS</w:t>
            </w:r>
          </w:p>
        </w:tc>
        <w:tc>
          <w:tcPr>
            <w:tcW w:w="0" w:type="auto"/>
            <w:shd w:val="clear" w:color="auto" w:fill="EAF1F5"/>
          </w:tcPr>
          <w:p w14:paraId="3DF4A3F0" w14:textId="77777777" w:rsidR="00AE648C" w:rsidRDefault="00000000">
            <w:pPr>
              <w:pStyle w:val="Compact"/>
              <w:spacing w:before="20" w:after="20"/>
            </w:pPr>
            <w:r>
              <w:rPr>
                <w:sz w:val="17"/>
              </w:rPr>
              <w:t>31.5°N, 64.5°W</w:t>
            </w:r>
          </w:p>
        </w:tc>
        <w:tc>
          <w:tcPr>
            <w:tcW w:w="0" w:type="auto"/>
            <w:shd w:val="clear" w:color="auto" w:fill="EAF1F5"/>
          </w:tcPr>
          <w:p w14:paraId="6D4202EE" w14:textId="77777777" w:rsidR="00AE648C" w:rsidRDefault="00000000">
            <w:pPr>
              <w:pStyle w:val="Compact"/>
              <w:spacing w:before="20" w:after="20"/>
            </w:pPr>
            <w:r>
              <w:rPr>
                <w:sz w:val="17"/>
              </w:rPr>
              <w:t>−0.059 (−0.072 to −0.046)</w:t>
            </w:r>
          </w:p>
        </w:tc>
        <w:tc>
          <w:tcPr>
            <w:tcW w:w="0" w:type="auto"/>
            <w:shd w:val="clear" w:color="auto" w:fill="EAF1F5"/>
          </w:tcPr>
          <w:p w14:paraId="18774F03" w14:textId="77777777" w:rsidR="00AE648C" w:rsidRDefault="00000000">
            <w:pPr>
              <w:pStyle w:val="Compact"/>
              <w:spacing w:before="20" w:after="20"/>
            </w:pPr>
            <w:r>
              <w:rPr>
                <w:sz w:val="17"/>
              </w:rPr>
              <w:t>−0.016 (−0.016 to −0.015)</w:t>
            </w:r>
          </w:p>
        </w:tc>
        <w:tc>
          <w:tcPr>
            <w:tcW w:w="0" w:type="auto"/>
            <w:shd w:val="clear" w:color="auto" w:fill="EAF1F5"/>
          </w:tcPr>
          <w:p w14:paraId="341EE4CE" w14:textId="77777777" w:rsidR="00AE648C" w:rsidRDefault="00000000">
            <w:pPr>
              <w:pStyle w:val="Compact"/>
              <w:spacing w:before="20" w:after="20"/>
            </w:pPr>
            <w:r>
              <w:rPr>
                <w:sz w:val="17"/>
              </w:rPr>
              <w:t>±0.025</w:t>
            </w:r>
          </w:p>
        </w:tc>
        <w:tc>
          <w:tcPr>
            <w:tcW w:w="0" w:type="auto"/>
            <w:shd w:val="clear" w:color="auto" w:fill="EAF1F5"/>
          </w:tcPr>
          <w:p w14:paraId="203C8DF3" w14:textId="77777777" w:rsidR="00AE648C" w:rsidRDefault="00000000">
            <w:pPr>
              <w:pStyle w:val="Compact"/>
              <w:spacing w:before="20" w:after="20"/>
            </w:pPr>
            <w:r>
              <w:rPr>
                <w:sz w:val="17"/>
              </w:rPr>
              <w:t>±0.0039</w:t>
            </w:r>
          </w:p>
        </w:tc>
      </w:tr>
      <w:tr w:rsidR="00AE648C" w14:paraId="3EE1B44E" w14:textId="77777777" w:rsidTr="00AE648C">
        <w:tc>
          <w:tcPr>
            <w:tcW w:w="0" w:type="auto"/>
            <w:shd w:val="clear" w:color="auto" w:fill="FFFFFF"/>
          </w:tcPr>
          <w:p w14:paraId="01FAC1DA" w14:textId="77777777" w:rsidR="00AE648C" w:rsidRDefault="00000000">
            <w:pPr>
              <w:pStyle w:val="Compact"/>
              <w:spacing w:before="20" w:after="20"/>
            </w:pPr>
            <w:r>
              <w:rPr>
                <w:sz w:val="17"/>
              </w:rPr>
              <w:t>Station ALOHA</w:t>
            </w:r>
          </w:p>
        </w:tc>
        <w:tc>
          <w:tcPr>
            <w:tcW w:w="0" w:type="auto"/>
            <w:shd w:val="clear" w:color="auto" w:fill="FFFFFF"/>
          </w:tcPr>
          <w:p w14:paraId="0BEB766E" w14:textId="77777777" w:rsidR="00AE648C" w:rsidRDefault="00000000">
            <w:pPr>
              <w:pStyle w:val="Compact"/>
              <w:spacing w:before="20" w:after="20"/>
            </w:pPr>
            <w:r>
              <w:rPr>
                <w:sz w:val="17"/>
              </w:rPr>
              <w:t>22.5°N, 158.5°W</w:t>
            </w:r>
          </w:p>
        </w:tc>
        <w:tc>
          <w:tcPr>
            <w:tcW w:w="0" w:type="auto"/>
            <w:shd w:val="clear" w:color="auto" w:fill="FFFFFF"/>
          </w:tcPr>
          <w:p w14:paraId="632B1036" w14:textId="77777777" w:rsidR="00AE648C" w:rsidRDefault="00000000">
            <w:pPr>
              <w:pStyle w:val="Compact"/>
              <w:spacing w:before="20" w:after="20"/>
            </w:pPr>
            <w:r>
              <w:rPr>
                <w:sz w:val="17"/>
              </w:rPr>
              <w:t>−0.095 (−0.104 to −0.086)</w:t>
            </w:r>
          </w:p>
        </w:tc>
        <w:tc>
          <w:tcPr>
            <w:tcW w:w="0" w:type="auto"/>
            <w:shd w:val="clear" w:color="auto" w:fill="FFFFFF"/>
          </w:tcPr>
          <w:p w14:paraId="0619C592" w14:textId="77777777" w:rsidR="00AE648C" w:rsidRDefault="00000000">
            <w:pPr>
              <w:pStyle w:val="Compact"/>
              <w:spacing w:before="20" w:after="20"/>
            </w:pPr>
            <w:r>
              <w:rPr>
                <w:sz w:val="17"/>
              </w:rPr>
              <w:t>−0.017 (−0.018 to −0.016)</w:t>
            </w:r>
          </w:p>
        </w:tc>
        <w:tc>
          <w:tcPr>
            <w:tcW w:w="0" w:type="auto"/>
            <w:shd w:val="clear" w:color="auto" w:fill="FFFFFF"/>
          </w:tcPr>
          <w:p w14:paraId="25BD340E" w14:textId="77777777" w:rsidR="00AE648C" w:rsidRDefault="00000000">
            <w:pPr>
              <w:pStyle w:val="Compact"/>
              <w:spacing w:before="20" w:after="20"/>
            </w:pPr>
            <w:r>
              <w:rPr>
                <w:sz w:val="17"/>
              </w:rPr>
              <w:t>±0.027</w:t>
            </w:r>
          </w:p>
        </w:tc>
        <w:tc>
          <w:tcPr>
            <w:tcW w:w="0" w:type="auto"/>
            <w:shd w:val="clear" w:color="auto" w:fill="FFFFFF"/>
          </w:tcPr>
          <w:p w14:paraId="6682B189" w14:textId="77777777" w:rsidR="00AE648C" w:rsidRDefault="00000000">
            <w:pPr>
              <w:pStyle w:val="Compact"/>
              <w:spacing w:before="20" w:after="20"/>
            </w:pPr>
            <w:r>
              <w:rPr>
                <w:sz w:val="17"/>
              </w:rPr>
              <w:t>±0.0041</w:t>
            </w:r>
          </w:p>
        </w:tc>
      </w:tr>
    </w:tbl>
    <w:p w14:textId="2563A35F" w:rsidR="00AE648C" w:rsidRDefault="00A15407">
      <w:pPr>
        <w:pStyle w:val="Heading2"/>
      </w:pPr>
      <w:r>
        <w:t xml:space="preserve">Note S1: How the Figure 1 graphs were constructed</w:t>
      </w:r>
    </w:p>
    <w:p w14:paraId="072F7236" w14:textId="77777777" w:rsidR="00AE648C" w:rsidRDefault="00000000">
      <w:pPr>
        <w:pStyle w:val="FirstParagraph"/>
      </w:pPr>
      <w:r>
        <w:t>Each panel shows the discrete winter surface casts as dots, their ordinary least squares trend and its 95% confidence band (computed from the cast residuals), and the mapped OceanSODA-ETHZ v2025 winter and annual-mean values, the winter line carrying a 95% band derived from the product’s own per-cell reported uncertainty. Mapped values are taken from the 1×1° cell nearest each site; the winter mean is the January–March mean in the Northern Hemisphere and the July–September mean in the Southern, so that each panel shows its own hemisphere’s cold season. The Drake Passage panel shows the mapped product only, having no sustained discrete DIC+TA record. Neighbouring one-degree cells were used only as a verification check and are not plotted.</w:t>
      </w:r>
    </w:p>
    <w:p w14:paraId="423D317F" w14:textId="77777777" w:rsidR="00AE648C" w:rsidRDefault="00000000">
      <w:pPr>
        <w:pStyle w:val="BodyText"/>
      </w:pPr>
      <w:r>
        <w:t xml:space="preserve">The discrete points are measurements, not estimates. For each cast, aragonite saturation was computed with PyCO2SYS </w:t>
      </w:r>
      <w:r>
        <w:rPr>
          <w:vertAlign w:val="superscript"/>
        </w:rPr>
        <w:t>7</w:t>
      </w:r>
      <w:r>
        <w:t xml:space="preserve"> from two measured carbonate-system quantities, dissolved inorganic carbon with total alkalinity or, before 2014, with the partial pressure of carbon dioxide, together with measured temperature, salinity, silicate and phosphate at the sea surface. The carbonate-system constants were those of Lueker et al. </w:t>
      </w:r>
      <w:r>
        <w:rPr>
          <w:vertAlign w:val="superscript"/>
        </w:rPr>
        <w:t>2</w:t>
      </w:r>
      <w:r>
        <w:t xml:space="preserve"> for the dissociation constants, Dickson for bisulphate and Uppström for boron. The measurements come from the SPOTS time-series synthesis </w:t>
      </w:r>
      <w:r>
        <w:rPr>
          <w:vertAlign w:val="superscript"/>
        </w:rPr>
        <w:t>1</w:t>
      </w:r>
      <w:r>
        <w:t>, which compiles the original station records under common quality control.</w:t>
      </w:r>
    </w:p>
    <w:p w14:paraId="40A0B199" w14:textId="77777777" w:rsidR="00AE648C" w:rsidRDefault="00000000">
      <w:pPr>
        <w:pStyle w:val="BodyText"/>
      </w:pPr>
      <w:r>
        <w:t xml:space="preserve">Two measurement pairs are used, and the reason is a limitation of the record rather than a choice. Total alkalinity was not measured at either station before 2014: across 1,886 Iceland Sea and 1,689 Irminger Sea sample rows in the compilation, there is not a single alkalinity value, whereas from 2014 alkalinity is measured routinely. Before 2014, therefore, Ω can only be obtained from dissolved inorganic carbon together with the partial pressure of carbon dioxide, and from 2014 it is obtained from dissolved inorganic carbon with measured alkalinity. The two pairs yield Ω values that are not fully consistent, with the largest disagreement in cold water </w:t>
      </w:r>
      <w:r>
        <w:rPr>
          <w:vertAlign w:val="superscript"/>
        </w:rPr>
        <w:t>8,9</w:t>
      </w:r>
      <w:r>
        <w:t>, so the step visible at 2014 is a change in the analysis and not in the ocean, and no slope is fitted across that step.</w:t>
      </w:r>
    </w:p>
    <w:p w14:paraId="6FCA19F7" w14:textId="77777777" w:rsidR="00AE648C" w:rsidRDefault="00000000">
      <w:pPr>
        <w:pStyle w:val="BodyText"/>
      </w:pPr>
      <w:r>
        <w:t xml:space="preserve">For this revision we recomputed Ω for every discrete cast directly from the primary measurements rather than relying on the previously derived values, and doing so identified and removed a processing error that had affected the earlier version of this figure. From 1995 the archived partial pressure of carbon dioxide at these stations is reported at a fixed 4°C rather than at in-situ temperature. If that fixed value is treated as the measurement temperature and converted to in situ conditions, the resulting Ω is inflated where the water is colder than 4 °C and deflated where it is warmer, which introduced an apparent discontinuity at 1995 of about +0.28 Ω at the Iceland Sea, whose winter water is near −0.2 °C, and about −0.22 Ω at the Irminger Sea, whose winter water is near 7 °C. Taking the archived value at in-situ temperature instead removes the discontinuity. Three independent checks support that treatment. It brings the implied total alkalinity into agreement with the alkalinity actually measured at these stations from 2014, giving an alkalinity-to-salinity ratio of 65.9 at the Iceland Sea against a measured 65.7, where the alternative gives 66.8. It brings the discrete winter casts into agreement with the independently constructed gridded field across the whole record, the mean difference falling within 0.08 Ω in every period at both stations. And it reproduces the published winter trend for the Iceland Sea station: over the window and season used by Ólafsson et al. </w:t>
      </w:r>
      <w:r>
        <w:rPr>
          <w:vertAlign w:val="superscript"/>
        </w:rPr>
        <w:t>10</w:t>
      </w:r>
      <w:r>
        <w:t>, our recomputation gives −0.0059 ± 0.0010 Ω per year from 23 winter surface observations, against their published −0.0072 ± 0.0007 Ω per year from 21, agreeing within the combined uncertainty.</w:t>
      </w:r>
    </w:p>
    <w:p w14:paraId="0580ED95" w14:textId="77777777" w:rsidR="00AE648C" w:rsidRDefault="00000000">
      <w:pPr>
        <w:pStyle w:val="BodyText"/>
      </w:pPr>
      <w:r>
        <w:t xml:space="preserve">The recomputed record is therefore internally consistent and consistent with the published station analyses, and it supports a fitted trend. Over the pre-2014 winter record, the Iceland Sea declines at −0.0046 ± 0.0007 Ω per year (n=57, p&lt;10⁻⁸), which is consistent with the published winter rate of −0.0072 ± 0.0007 Ω per year for 1985 to 2008 </w:t>
      </w:r>
      <w:r>
        <w:rPr>
          <w:vertAlign w:val="superscript"/>
        </w:rPr>
        <w:t>10</w:t>
      </w:r>
      <w:r>
        <w:t xml:space="preserve"> and with the all-season rate of about −0.006 Ω per year for 1985 to 2020 </w:t>
      </w:r>
      <w:r>
        <w:rPr>
          <w:vertAlign w:val="superscript"/>
        </w:rPr>
        <w:t>11</w:t>
      </w:r>
      <w:r>
        <w:t xml:space="preserve">. The Irminger Sea winter subset is statistically indistinguishable from flat (−0.0014 ± 0.0009 Ω per year, n=51, p=0.13). That last result differs from the all-season deseasonalised Irminger Sea trend of about −0.012 Ω per year reported by OSPAR </w:t>
      </w:r>
      <w:r>
        <w:rPr>
          <w:vertAlign w:val="superscript"/>
        </w:rPr>
        <w:t>11</w:t>
      </w:r>
      <w:r>
        <w:t>, a difference that follows from the restriction here to winter casts computed from the carbon dioxide pair before 2014. Surface values are taken as the shallowest 25 dbar; the result does not depend on that choice, since cutoffs from 10 to 30 dbar give Iceland Sea winter means between 1.533 and 1.547 Ω and trends between −0.0045 and −0.0049 Ω per year, all significant at p &lt; 10⁻⁴ (scripts/depth_cutoff_sensitivity.py in the deposit). Carbon dioxide-pair casts are drawn as circles with a grey edge, and alkalinity-pair casts as squares with a black edge (Figure 1). A small residual offset remains at 2014 after the correction: −0.07 Ω at Iceland and −0.13 Ω at Irminger, relative to the extrapolated pre-2014 trend; it is now the same sign at both stations, as expected for the known inconsistency between the two computation pairs, whereas before the correction, the two stations stepped in opposite directions.</w:t>
      </w:r>
    </w:p>
    <w:p w14:paraId="3E2730B7" w14:textId="77777777" w:rsidR="00AE648C" w:rsidRDefault="00000000">
      <w:pPr>
        <w:pStyle w:val="BodyText"/>
      </w:pPr>
      <w:r>
        <w:t xml:space="preserve">Cast counts and coverage, after recomputation and restricting to surface samples within 25 dbar: Iceland Sea, 302 samples, 1985–2019, of which 66 are winter (57 before 2014, 9 after); Irminger Sea, 286, 1983–2019, of which 62 are winter (51 before 2014, 11 after); Station K2, 248, of which 31 are winter, falling in only four distinct years between 2003 and 2011 with two-thirds in a single year, too uneven to define a winter trend alone </w:t>
      </w:r>
      <w:r>
        <w:rPr>
          <w:vertAlign w:val="superscript"/>
        </w:rPr>
        <w:t>1</w:t>
      </w:r>
      <w:r>
        <w:t xml:space="preserve">; Munida, 18, of which 7 are winter, spanning 2016–2019 in July and September; the transect is sampled about every two months </w:t>
      </w:r>
      <w:r>
        <w:rPr>
          <w:vertAlign w:val="superscript"/>
        </w:rPr>
        <w:t>12</w:t>
      </w:r>
      <w:r>
        <w:t xml:space="preserve">, and the compiled casts contain no August sample. The published Iceland winter decline is about −0.007 Ω per year over 1985–2008 </w:t>
      </w:r>
      <w:r>
        <w:rPr>
          <w:vertAlign w:val="superscript"/>
        </w:rPr>
        <w:t>10</w:t>
      </w:r>
      <w:r>
        <w:t xml:space="preserve">, which the recomputed record reproduces within the combined uncertainty (above). K2’s long-term decline comes from the mapped record and the measured dissolved inorganic carbon and pH series </w:t>
      </w:r>
      <w:r>
        <w:rPr>
          <w:vertAlign w:val="superscript"/>
        </w:rPr>
        <w:t>13</w:t>
      </w:r>
      <w:r>
        <w:t>, and Munida’s record is too short for a reliable trend, so its context comes from the mapped product.</w:t>
      </w:r>
    </w:p>
    <w:p w14:paraId="0084B02E" w14:textId="77777777" w:rsidR="00AE648C" w:rsidRDefault="00000000">
      <w:pPr>
        <w:pStyle w:val="BodyText"/>
      </w:pPr>
      <w:r>
        <w:t>The Southern Ocean panel (Drake Passage) has no sustained discrete record of dissolved inorganic carbon and total alkalinity; the programme measures only the underway partial pressure of carbon dioxide, from which aragonite saturation cannot be obtained without assuming an alkalinity value, so that panel shows the mapped product alone, with the single field observation of dissolving pteropods marked for context.</w:t>
      </w:r>
    </w:p>
    <w:p w14:paraId="7D678410" w14:textId="77777777" w:rsidR="00AE648C" w:rsidRDefault="00000000">
      <w:pPr>
        <w:pStyle w:val="BodyText"/>
      </w:pPr>
      <w:r>
        <w:t xml:space="preserve">The mapped values were taken directly from OceanSODA-ETHZ v2025, a one-degree monthly gridded reconstruction of the surface carbonate system covering 1982 to 2024 (NOAA NCEI OCADS accession 0220059, https://doi.org/10.25921/m5wx-ja34). One grid cell was chosen at each site, the cell centres being those listed in Table S3, and the site positions are Iceland (68.0° N, 12.7° W), Irminger Sea (64.5° N, 28.5° W), Station K2 (47.0° N, 160.0° E), Drake Passage (60.0° S, 58.0° W) and Munida (45.85° S, 171.5° E). The winter value is the January to March mean in the Northern Hemisphere and the July to September mean in the Southern, as stated above; *Munida* was not sampled in August, so its July and September casts were used. </w:t>
        <w:lastRenderedPageBreak/>
        <w:t>The winter line is that month's value each year and the annual-mean line the average of all twelve. Because aragonite saturation falls with temperature, omitting the coldest month raises the reported value, so at Munida, the July and September casts give a slightly higher Ω than mid-winter August would. Both trends are straight-line fits, and only the published product was used.</w:t>
      </w:r>
    </w:p>
    <w:p w14:paraId="0742523A" w14:textId="77777777" w:rsidR="00AE648C" w:rsidRDefault="00000000">
      <w:pPr>
        <w:pStyle w:val="BodyText"/>
      </w:pPr>
      <w:r>
        <w:t>As a check, the winter value was read from every one-degree cell within three degrees north–south and four degrees east–west of each site, about sixty cells. The spread was moderate at the cold sites (aragonite saturation was about 1.44–1.72 at Iceland, 1.28–1.61 at Station K2, and 1.26–1.64 at Drake Passage) and wider at Munida (1.93–2.61), whose end station lies in subantarctic water just beyond the Subtropical Front, where conditions change sharply over a short distance. Central-cell winter temperatures are about 0 °C at Iceland, 2 °C at Station K2, −1 °C at Drake Passage and 9 °C at Munida. Across all neighbouring cells aragonite saturation rises with temperature at about 0.08 Ω per degree Celsius (correlation 0.94), so the low saturation of the cold basins follows from their low temperature, and the warm Munida water reads higher without being safer for shell-forming life. Where a like-for-like mapped cell exists, the discrete winter casts agree with the mapped winter values to within about 0.01–0.12 Ω once the discrete values are computed with the partial pressure of carbon dioxide taken at in-situ temperature (above). These values were used only as this check and are not plotted.</w:t>
      </w:r>
    </w:p>
    <w:p w14:paraId="547907A7" w14:textId="77777777" w:rsidR="00AE648C" w:rsidRDefault="00000000">
      <w:pPr>
        <w:pStyle w:val="BodyText"/>
      </w:pPr>
      <w:r>
        <w:t>No forward projections are drawn: each mapped and measured line runs only over the years for which it has data, ending at the present.</w:t>
      </w:r>
    </w:p>
    <w:p w14:textId="2563A35F" w:rsidR="00AE648C" w:rsidRDefault="00A15407">
      <w:pPr>
        <w:pStyle w:val="Heading2"/>
      </w:pPr>
      <w:r>
        <w:t xml:space="preserve">Note S2: Calculated versus actual saturation, analytical and seasonal detail</w:t>
      </w:r>
    </w:p>
    <w:p w14:paraId="005C48FC" w14:textId="77777777" w:rsidR="00AE648C" w:rsidRDefault="00000000">
      <w:pPr>
        <w:pStyle w:val="FirstParagraph"/>
      </w:pPr>
      <w:r>
        <w:t xml:space="preserve">Two reasons explain why the commonly quoted values exceed those marine life encounters. The first is analytical: the index reads too high in cold water. Aragonite </w:t>
        <w:lastRenderedPageBreak/>
        <w:t xml:space="preserve">saturation is computed from any two carbonate variables, and the result depends on the pair used and the constants applied. The Lueker refit of the Mehrbach dissociation constants, the set recommended by the best-practice guides and preferred in ocean acidification work, overestimates K₁* and K₂* below about 8°C; Sulpis, Lauvset and Hagens </w:t>
      </w:r>
      <w:r>
        <w:rPr>
          <w:vertAlign w:val="superscript"/>
        </w:rPr>
        <w:t>9</w:t>
      </w:r>
      <w:r>
        <w:t xml:space="preserve"> show this makes the computed partial pressure of carbon dioxide too low by up to 55 ± 17 µatm and the computed calcite saturation too high by about 0.06–0.07 near freezing. A larger effect comes from the choice of variable pair: the pre-2014 subpolar North Atlantic series used dissolved inorganic carbon with the partial pressure of carbon dioxide </w:t>
      </w:r>
      <w:r>
        <w:rPr>
          <w:vertAlign w:val="superscript"/>
        </w:rPr>
        <w:t>1</w:t>
      </w:r>
      <w:r>
        <w:t xml:space="preserve">, whereas the traceable reference pair is dissolved inorganic carbon with total alkalinity; the computed values depend on the pair that is used </w:t>
      </w:r>
      <w:r>
        <w:rPr>
          <w:vertAlign w:val="superscript"/>
        </w:rPr>
        <w:t>8</w:t>
      </w:r>
      <w:r>
        <w:t xml:space="preserve">, and the carbonic acid constants are least reliable in cold water </w:t>
      </w:r>
      <w:r>
        <w:rPr>
          <w:vertAlign w:val="superscript"/>
        </w:rPr>
        <w:t>9</w:t>
      </w:r>
      <w:r>
        <w:t>. This is the analytical part of the winter step seen when the total-alkalinity pair takes over in 2014, which after recomputation is −0.07 Ω at Iceland and −0.13 Ω at Irminger relative to the extrapolated pre-2014 trend (Note S1; Figure 1, panels A and B, where it is annotated on both); the primary records should be recomputed on the total-alkalinity pair. The direction is not in doubt: the commonly quoted historical saturation of these cold basins is an overestimation, and the true index there is lower.</w:t>
      </w:r>
    </w:p>
    <w:p w14:paraId="6F689E6C" w14:textId="77777777" w:rsidR="00AE648C" w:rsidRDefault="00000000">
      <w:pPr>
        <w:pStyle w:val="BodyText"/>
      </w:pPr>
      <w:r>
        <w:t xml:space="preserve">The second reason is more substantial: organisms experience seasonal upwelling and depth minima, whereas the quoted values are annual means for open surface water. Moored sensors record an annual Ω amplitude of 0.71 at Iceland and 0.49 at Station Papa, against only 0.13–0.17 at the two oligotrophic subtropical gyre moorings, Stratus and WHOTS </w:t>
      </w:r>
      <w:r>
        <w:rPr>
          <w:vertAlign w:val="superscript"/>
        </w:rPr>
        <w:t>14</w:t>
      </w:r>
      <w:r>
        <w:t xml:space="preserve">. Taking half of that amplitude, the subpolar winter minimum sits roughly 0.25–0.35 Ω below the annual mean, and the mooring records show the low persisting for several months rather than for a single day. The same seasonality appears in the polar oceans through biological drawdown and winter mixing </w:t>
      </w:r>
      <w:r>
        <w:rPr>
          <w:vertAlign w:val="superscript"/>
        </w:rPr>
        <w:t>15–17</w:t>
      </w:r>
      <w:r>
        <w:t xml:space="preserve">. Feely et al. </w:t>
      </w:r>
      <w:r>
        <w:rPr>
          <w:vertAlign w:val="superscript"/>
        </w:rPr>
        <w:t>18</w:t>
      </w:r>
      <w:r>
        <w:t xml:space="preserve"> observed upwelling push shelf surface Ω below 1.0, a condition not expected in open surface water before 2050; the same corrosive, oxygen-poor upwelling feeds the Humboldt Current off Peru and Chile, home to the anchoveta, the largest single-species fishery on Earth, whose abundance swings with climate regimes and has collapsed in the past </w:t>
      </w:r>
      <w:r>
        <w:rPr>
          <w:vertAlign w:val="superscript"/>
        </w:rPr>
        <w:t>19</w:t>
      </w:r>
      <w:r>
        <w:t xml:space="preserve">, so acidification and warming now press on an already fully exploited base. Hofmann Elizondo et al. </w:t>
      </w:r>
      <w:r>
        <w:rPr>
          <w:vertAlign w:val="superscript"/>
        </w:rPr>
        <w:t>20</w:t>
      </w:r>
      <w:r>
        <w:t xml:space="preserve"> attribute most pteropod shell loss to the low-Ω water that migrating animals meet at depth, which the surface mean misses, and McNeil &amp; Matear </w:t>
      </w:r>
      <w:r>
        <w:rPr>
          <w:vertAlign w:val="superscript"/>
        </w:rPr>
        <w:t>21</w:t>
      </w:r>
      <w:r>
        <w:t xml:space="preserve"> find Southern Ocean winter undersaturation begins decades earlier than annual-mean projections suggest.</w:t>
      </w:r>
    </w:p>
    <w:p w14:paraId="1B927BE4" w14:textId="77777777" w:rsidR="00AE648C" w:rsidRDefault="00000000">
      <w:pPr>
        <w:pStyle w:val="BodyText"/>
      </w:pPr>
      <w:r>
        <w:t xml:space="preserve">The basin-mean reconstruction </w:t>
      </w:r>
      <w:r>
        <w:rPr>
          <w:vertAlign w:val="superscript"/>
        </w:rPr>
        <w:t>22,23</w:t>
      </w:r>
      <w:r>
        <w:t xml:space="preserve"> sits at Ω ≈ 2.0, above both the measured cold-water line and the 1.6 threshold, because it averages over the whole year and over warmer basin water. The difference that matters is one of reporting, not technique: averaged over the year, the mapped value is high, but averaged over the winter months alone (Figure 1), it falls to within about 0.1–0.3 Ω of the discrete winter measurements. Of the three numbers in play – a high annual mean and a low winter mean from the mapped product and a low winter mean from discrete samples – the last two agree, and the first stands apart only through how it was averaged. The Irminger Sea shows this phenomenon in one place: the basin-mean product places it near Ω 2.0, above the threshold, whereas its measured winter surface value sits just above the marginal zone and is still falling, so the map alone would not flag the site. The mapped product for United States waters </w:t>
      </w:r>
      <w:r>
        <w:rPr>
          <w:vertAlign w:val="superscript"/>
        </w:rPr>
        <w:t>24</w:t>
      </w:r>
      <w:r>
        <w:t xml:space="preserve"> agrees; surface pH there fell by 0.0014 ± 0.0004 units per year between 1998 and 2022 and, resolved month by month, provides the seasonal minimum directly. This is why discrete samples matter </w:t>
        <w:lastRenderedPageBreak/>
        <w:t>beyond their coverage: each is a direct, standards-referenced measurement, the yardstick against which the mapped and automated products are checked.</w:t>
      </w:r>
    </w:p>
    <w:p w14:paraId="5DA795D8" w14:textId="77777777" w:rsidR="00AE648C" w:rsidRDefault="00000000">
      <w:pPr>
        <w:pStyle w:val="BodyText"/>
      </w:pPr>
      <w:r>
        <w:t>The practice is partly habit, the annual mean being the figure that reports and assessments request, yet the mapped products are most unreliable at exactly the winter minimum's time and place. Few ships sample high-latitude seas in the stormy winter months</w:t>
      </w:r>
      <w:r>
        <w:rPr>
          <w:vertAlign w:val="superscript"/>
        </w:rPr>
        <w:t>25</w:t>
      </w:r>
      <w:r>
        <w:t>, and in the Southern Ocean a sampling simulation indicates that the summer bias of the sampling is likely to bias the reconstructed winter partial pressure fields</w:t>
      </w:r>
      <w:r>
        <w:rPr>
          <w:vertAlign w:val="superscript"/>
        </w:rPr>
        <w:t>26</w:t>
      </w:r>
      <w:r>
        <w:t>; the alkalinity is estimated from salinity rather than measured; and the cold-water bias in the constants is at its largest. Direct winter sampling settles the question, and where it exists, it shows the cold, productive surface already at or below the ecological reference threshold.</w:t>
      </w:r>
    </w:p>
    <w:p w14:textId="2563A35F" w:rsidR="00AE648C" w:rsidRDefault="00A15407">
      <w:pPr>
        <w:pStyle w:val="Heading2"/>
      </w:pPr>
      <w:r>
        <w:t xml:space="preserve">Note S3: The biocurve composite, an importance-weighted index</w:t>
      </w:r>
    </w:p>
    <w:p w14:paraId="20423CA7" w14:textId="77777777" w:rsidR="00AE648C" w:rsidRDefault="00000000">
      <w:pPr>
        <w:pStyle w:val="FirstParagraph"/>
      </w:pPr>
      <w:r>
        <w:t>The marine-life curve in Figure 3 and the biocurve column of Table 2 are a reproducible weighted mean of the fraction of each animal group remaining against an 1850 baseline of 100%: Nature(t) = Σ(wᵢ·rᵢ) / Σwᵢ × 100%, with every rᵢ = 1 in 1850.</w:t>
      </w:r>
    </w:p>
    <w:p w14:paraId="281DA53E" w14:textId="77777777" w:rsidR="00AE648C" w:rsidRDefault="00000000">
      <w:pPr>
        <w:pStyle w:val="BodyText"/>
      </w:pPr>
      <w:r>
        <w:t xml:space="preserve">One boundary of the index should be stated explicitly. It covers animal life in the sunlit surface layer, the upper 200 m, because that is where the carbonate chemistry described here acts, where photosynthesis and oxygen production occur, and where the ocean exchanges gases and aerosols with the atmosphere. It excludes the mesopelagic zone below, whose fish biomass has been estimated acoustically at 11 to 15 billion tonnes wet weight, an order of magnitude above earlier trawl-based figures and larger than the surface stocks counted here, and which has so far been far less directly exploited </w:t>
      </w:r>
      <w:r>
        <w:rPr>
          <w:vertAlign w:val="superscript"/>
        </w:rPr>
        <w:t>27</w:t>
      </w:r>
      <w:r>
        <w:t>. That exclusion is deliberate and it runs in one direction, because counting the deep layer would raise the index rather than lower the index.</w:t>
      </w:r>
    </w:p>
    <w:p w14:paraId="145900F3" w14:textId="77777777" w:rsidR="00AE648C" w:rsidRDefault="00000000">
      <w:pPr>
        <w:pStyle w:val="BodyText"/>
      </w:pPr>
      <w:r>
        <w:t xml:space="preserve">It is not a claim that the mesopelagic is unaffected or independent. Apart from the chemosynthetic communities of hydrothermal vents and cold seeps, which are locally productive but globally small, the animals of the deep ocean ultimately consume material fixed by photosynthesis in the surface layer and delivered downward as sinking organic matter and by vertically migrating animals. The deep layer is therefore downstream of the layer measured in this paper, with a lag determined by export flux, and its size warrants caution rather than reassurance. The aragonite saturation horizon is also shoaling </w:t>
      </w:r>
      <w:r>
        <w:rPr>
          <w:vertAlign w:val="superscript"/>
        </w:rPr>
        <w:t>28</w:t>
      </w:r>
      <w:r>
        <w:t xml:space="preserve">, and mesopelagic fish are now under consideration as a commercial resource </w:t>
      </w:r>
      <w:r>
        <w:rPr>
          <w:vertAlign w:val="superscript"/>
        </w:rPr>
        <w:t>29</w:t>
      </w:r>
      <w:r>
        <w:t>.</w:t>
      </w:r>
    </w:p>
    <w:p w14:paraId="358615B3" w14:textId="77777777" w:rsidR="00AE648C" w:rsidRDefault="00000000">
      <w:pPr>
        <w:pStyle w:val="BodyText"/>
      </w:pPr>
      <w:r>
        <w:t xml:space="preserve">Two things about this index should be stated plainly. The 1850 value of 100 is definitional rather than measured, and the present value is the only point computed directly from data: it uses the group fractions in Table S4, each referenced to its own source, and it evaluates to 35.4% on the importance weighting with a band of 28.5–44.7%. The intermediate values shown for 1900, 1950 and 1985 are not independently computed, because the underlying sources give a change over an interval rather than a fraction remaining at each of those dates. They are an interpolation between the 1850 baseline and the present index, positioned using the periods over which the documented declines in Table 2 occurred, and they should be read as indicating the shape of the trajectory rather than as measurements. The interpolation is drawn with the rate of decline increasing towards the present, consistent with the later, larger declines documented in Table 2, and the 1985 </w:t>
        <w:lastRenderedPageBreak/>
        <w:t>value of 57 follows from that curvature. For reproducibility, the curve plotted in Figure 3 from 1950 onwards is R(t) = 69 − 33.6 × ((t − 1950)/73)</w:t>
      </w:r>
      <w:r>
        <w:rPr>
          <w:vertAlign w:val="superscript"/>
        </w:rPr>
        <w:t>1.4</w:t>
      </w:r>
      <w:r>
        <w:t xml:space="preserve">, which returns 69% at 1950, 57% at 1985 and 35.4% at 2023; the exponent 1.4 is the stated choice that sets the curvature and is not fitted to the era values, since no independent census exists at those dates against which to fit; its influence is tested in Table S5, where varying it from 1.2 to 1.8 moves the 1985 value only between 55 and 60. Every point on that curve other than the 2023 endpoint is therefore an output of the chosen functional form rather than a measurement, and Figure 3 marks the era anchors with open squares to keep that distinction visible. The descriptive labels attached to them follow the account of marine defaunation given by McCauley et al. </w:t>
      </w:r>
      <w:r>
        <w:rPr>
          <w:vertAlign w:val="superscript"/>
        </w:rPr>
        <w:t>30</w:t>
      </w:r>
      <w:r>
        <w:t xml:space="preserve">, which is cited for that narrative and not as a source of the numbers. The index is comprehensive, as it includes every group for which a documented change exists, encompassing both losses and the few increases. The headline weight is an ecological-importance weight placed hardest on apex predators (marine mammals; large predatory fish; sharks and rays; seabirds), structural systems (coral reefs; coastal and estuarine systems) and calcifiers, with the productive base down-weighted: forage fish and jellyfish, which have held up or increased, and zooplankton, which has declined by about half against two-thirds or more for the apex and structural groups. As a conservative bound, we also report a production weight </w:t>
      </w:r>
      <w:r>
        <w:rPr>
          <w:vertAlign w:val="superscript"/>
        </w:rPr>
        <w:t>31</w:t>
      </w:r>
      <w:r>
        <w:t>, dominated by zooplankton, which measures total living tonnage rather than functional structure. The fraction remaining is from the documented declines in Table 2.</w:t>
      </w:r>
    </w:p>
    <w:p w14:paraId="73FB44AF" w14:textId="77777777" w:rsidR="00AE648C" w:rsidRDefault="00000000">
      <w:pPr>
        <w:pStyle w:val="BodyText"/>
      </w:pPr>
      <w:r>
        <w:t>Table S4. What each animal group contributes to the biocurve: its documented change, its ecological-importance weight and the fraction remaining relative to the 1850 baseline (with range), each with its source. Declines as in Table 2.</w:t>
      </w:r>
    </w:p>
    <w:tbl>
      <w:tblPr>
        <w:tblStyle w:val="Table"/>
        <w:tblW w:w="5000" w:type="pct"/>
        <w:tblBorders>
          <w:top w:val="single" w:sz="4" w:space="0" w:color="9FB4BE"/>
          <w:left w:val="single" w:sz="4" w:space="0" w:color="9FB4BE"/>
          <w:bottom w:val="single" w:sz="4" w:space="0" w:color="9FB4BE"/>
          <w:right w:val="single" w:sz="4" w:space="0" w:color="9FB4BE"/>
          <w:insideH w:val="single" w:sz="4" w:space="0" w:color="9FB4BE"/>
          <w:insideV w:val="single" w:sz="4" w:space="0" w:color="9FB4BE"/>
        </w:tblBorders>
        <w:tblCellMar>
          <w:top w:w="40" w:type="dxa"/>
          <w:left w:w="80" w:type="dxa"/>
          <w:bottom w:w="40" w:type="dxa"/>
          <w:right w:w="80" w:type="dxa"/>
        </w:tblCellMar>
        <w:tblLook w:val="0020" w:firstRow="1" w:lastRow="0" w:firstColumn="0" w:lastColumn="0" w:noHBand="0" w:noVBand="0"/>
      </w:tblPr>
      <w:tblGrid>
        <w:gridCol w:w="2677"/>
        <w:gridCol w:w="1471"/>
        <w:gridCol w:w="2204"/>
        <w:gridCol w:w="2998"/>
      </w:tblGrid>
      <w:tr w:rsidR="00AE648C" w14:paraId="18935A83" w14:textId="77777777" w:rsidTr="00AE648C">
        <w:trPr>
          <w:cnfStyle w:val="100000000000" w:firstRow="1" w:lastRow="0" w:firstColumn="0" w:lastColumn="0" w:oddVBand="0" w:evenVBand="0" w:oddHBand="0" w:evenHBand="0" w:firstRowFirstColumn="0" w:firstRowLastColumn="0" w:lastRowFirstColumn="0" w:lastRowLastColumn="0"/>
          <w:tblHeader/>
        </w:trPr>
        <w:tc>
          <w:tcPr>
            <w:tcW w:w="0" w:type="auto"/>
            <w:gridSpan w:val="4"/>
            <w:shd w:val="clear" w:color="auto" w:fill="143C4A"/>
          </w:tcPr>
          <w:p w14:paraId="0986EF34" w14:textId="77777777" w:rsidR="00AE648C" w:rsidRDefault="00000000">
            <w:pPr>
              <w:spacing w:before="20" w:after="20"/>
            </w:pPr>
            <w:r>
              <w:rPr>
                <w:b/>
                <w:color w:val="FFFFFF"/>
                <w:sz w:val="19"/>
              </w:rPr>
              <w:t>Table S4. Biocurve inputs: what each animal group contributes</w:t>
            </w:r>
          </w:p>
        </w:tc>
      </w:tr>
      <w:tr w:rsidR="00AE648C" w14:paraId="7A1F33B0" w14:textId="77777777" w:rsidTr="00AE648C">
        <w:trPr>
          <w:cnfStyle w:val="100000000000" w:firstRow="1" w:lastRow="0" w:firstColumn="0" w:lastColumn="0" w:oddVBand="0" w:evenVBand="0" w:oddHBand="0" w:evenHBand="0" w:firstRowFirstColumn="0" w:firstRowLastColumn="0" w:lastRowFirstColumn="0" w:lastRowLastColumn="0"/>
          <w:tblHeader/>
        </w:trPr>
        <w:tc>
          <w:tcPr>
            <w:tcW w:w="0" w:type="auto"/>
            <w:shd w:val="clear" w:color="auto" w:fill="1F4E5F"/>
          </w:tcPr>
          <w:p w14:paraId="6804050A" w14:textId="77777777" w:rsidR="00AE648C" w:rsidRDefault="00000000">
            <w:pPr>
              <w:pStyle w:val="Compact"/>
              <w:spacing w:before="20" w:after="20"/>
            </w:pPr>
            <w:r>
              <w:rPr>
                <w:b/>
                <w:bCs/>
                <w:color w:val="FFFFFF"/>
                <w:sz w:val="17"/>
              </w:rPr>
              <w:t>Group</w:t>
            </w:r>
          </w:p>
        </w:tc>
        <w:tc>
          <w:tcPr>
            <w:tcW w:w="0" w:type="auto"/>
            <w:shd w:val="clear" w:color="auto" w:fill="1F4E5F"/>
          </w:tcPr>
          <w:p w14:paraId="7D424C56" w14:textId="77777777" w:rsidR="00AE648C" w:rsidRDefault="00000000">
            <w:pPr>
              <w:pStyle w:val="Compact"/>
              <w:spacing w:before="20" w:after="20"/>
            </w:pPr>
            <w:r>
              <w:rPr>
                <w:b/>
                <w:bCs/>
                <w:color w:val="FFFFFF"/>
                <w:sz w:val="17"/>
              </w:rPr>
              <w:t>Importance weight</w:t>
            </w:r>
          </w:p>
        </w:tc>
        <w:tc>
          <w:tcPr>
            <w:tcW w:w="0" w:type="auto"/>
            <w:shd w:val="clear" w:color="auto" w:fill="1F4E5F"/>
          </w:tcPr>
          <w:p w14:paraId="73777B2C" w14:textId="77777777" w:rsidR="00AE648C" w:rsidRDefault="00000000">
            <w:pPr>
              <w:pStyle w:val="Compact"/>
              <w:spacing w:before="20" w:after="20"/>
            </w:pPr>
            <w:r>
              <w:rPr>
                <w:b/>
                <w:bCs/>
                <w:color w:val="FFFFFF"/>
                <w:sz w:val="17"/>
              </w:rPr>
              <w:t>Fraction remaining, 2023 (band)</w:t>
            </w:r>
          </w:p>
        </w:tc>
        <w:tc>
          <w:tcPr>
            <w:tcW w:w="0" w:type="auto"/>
            <w:shd w:val="clear" w:color="auto" w:fill="1F4E5F"/>
          </w:tcPr>
          <w:p w14:paraId="49BD3175" w14:textId="77777777" w:rsidR="00AE648C" w:rsidRDefault="00000000">
            <w:pPr>
              <w:pStyle w:val="Compact"/>
              <w:spacing w:before="20" w:after="20"/>
            </w:pPr>
            <w:r>
              <w:rPr>
                <w:b/>
                <w:bCs/>
                <w:color w:val="FFFFFF"/>
                <w:sz w:val="17"/>
              </w:rPr>
              <w:t>Source</w:t>
            </w:r>
          </w:p>
        </w:tc>
      </w:tr>
      <w:tr w:rsidR="00AE648C" w14:paraId="3FFA921F" w14:textId="77777777" w:rsidTr="00AE648C">
        <w:tc>
          <w:tcPr>
            <w:tcW w:w="0" w:type="auto"/>
            <w:shd w:val="clear" w:color="auto" w:fill="FFFFFF"/>
          </w:tcPr>
          <w:p w14:paraId="1A0ECD24" w14:textId="77777777" w:rsidR="00AE648C" w:rsidRDefault="00000000">
            <w:pPr>
              <w:pStyle w:val="Compact"/>
              <w:spacing w:before="20" w:after="20"/>
            </w:pPr>
            <w:r>
              <w:rPr>
                <w:sz w:val="17"/>
              </w:rPr>
              <w:t>Marine mammals</w:t>
            </w:r>
          </w:p>
        </w:tc>
        <w:tc>
          <w:tcPr>
            <w:tcW w:w="0" w:type="auto"/>
            <w:shd w:val="clear" w:color="auto" w:fill="FFFFFF"/>
          </w:tcPr>
          <w:p w14:paraId="44E0AEA0" w14:textId="77777777" w:rsidR="00AE648C" w:rsidRDefault="00000000">
            <w:pPr>
              <w:pStyle w:val="Compact"/>
              <w:spacing w:before="20" w:after="20"/>
            </w:pPr>
            <w:r>
              <w:rPr>
                <w:sz w:val="17"/>
              </w:rPr>
              <w:t>13%</w:t>
            </w:r>
          </w:p>
        </w:tc>
        <w:tc>
          <w:tcPr>
            <w:tcW w:w="0" w:type="auto"/>
            <w:shd w:val="clear" w:color="auto" w:fill="FFFFFF"/>
          </w:tcPr>
          <w:p w14:paraId="7A981413" w14:textId="77777777" w:rsidR="00AE648C" w:rsidRDefault="00000000">
            <w:pPr>
              <w:pStyle w:val="Compact"/>
              <w:spacing w:before="20" w:after="20"/>
            </w:pPr>
            <w:r>
              <w:rPr>
                <w:sz w:val="17"/>
              </w:rPr>
              <w:t>0.31 (0.27–0.35)</w:t>
            </w:r>
          </w:p>
        </w:tc>
        <w:tc>
          <w:tcPr>
            <w:tcW w:w="0" w:type="auto"/>
            <w:shd w:val="clear" w:color="auto" w:fill="FFFFFF"/>
          </w:tcPr>
          <w:p w14:paraId="374728F2" w14:textId="77777777" w:rsidR="00AE648C" w:rsidRDefault="00000000">
            <w:pPr>
              <w:pStyle w:val="Compact"/>
              <w:spacing w:before="20" w:after="20"/>
            </w:pPr>
            <w:r>
              <w:rPr>
                <w:sz w:val="17"/>
                <w:vertAlign w:val="superscript"/>
              </w:rPr>
              <w:t>32</w:t>
            </w:r>
            <w:r>
              <w:rPr>
                <w:sz w:val="17"/>
              </w:rPr>
              <w:t xml:space="preserve"> (-69%, since 1850)</w:t>
            </w:r>
          </w:p>
        </w:tc>
      </w:tr>
      <w:tr w:rsidR="00AE648C" w14:paraId="3BA6AB32" w14:textId="77777777" w:rsidTr="00AE648C">
        <w:tc>
          <w:tcPr>
            <w:tcW w:w="0" w:type="auto"/>
            <w:shd w:val="clear" w:color="auto" w:fill="EAF1F5"/>
          </w:tcPr>
          <w:p w14:paraId="0AC490AC" w14:textId="77777777" w:rsidR="00AE648C" w:rsidRDefault="00000000">
            <w:pPr>
              <w:pStyle w:val="Compact"/>
              <w:spacing w:before="20" w:after="20"/>
            </w:pPr>
            <w:r>
              <w:rPr>
                <w:sz w:val="17"/>
              </w:rPr>
              <w:t>Predatory fish (TL ≥3.5)</w:t>
            </w:r>
          </w:p>
        </w:tc>
        <w:tc>
          <w:tcPr>
            <w:tcW w:w="0" w:type="auto"/>
            <w:shd w:val="clear" w:color="auto" w:fill="EAF1F5"/>
          </w:tcPr>
          <w:p w14:paraId="31EECF0E" w14:textId="77777777" w:rsidR="00AE648C" w:rsidRDefault="00000000">
            <w:pPr>
              <w:pStyle w:val="Compact"/>
              <w:spacing w:before="20" w:after="20"/>
            </w:pPr>
            <w:r>
              <w:rPr>
                <w:sz w:val="17"/>
              </w:rPr>
              <w:t>13%</w:t>
            </w:r>
          </w:p>
        </w:tc>
        <w:tc>
          <w:tcPr>
            <w:tcW w:w="0" w:type="auto"/>
            <w:shd w:val="clear" w:color="auto" w:fill="EAF1F5"/>
          </w:tcPr>
          <w:p w14:paraId="318A2B3F" w14:textId="77777777" w:rsidR="00AE648C" w:rsidRDefault="00000000">
            <w:pPr>
              <w:pStyle w:val="Compact"/>
              <w:spacing w:before="20" w:after="20"/>
            </w:pPr>
            <w:r>
              <w:rPr>
                <w:sz w:val="17"/>
              </w:rPr>
              <w:t>0.31 (0.26–0.38)</w:t>
            </w:r>
          </w:p>
        </w:tc>
        <w:tc>
          <w:tcPr>
            <w:tcW w:w="0" w:type="auto"/>
            <w:shd w:val="clear" w:color="auto" w:fill="EAF1F5"/>
          </w:tcPr>
          <w:p w14:paraId="1CA9DD97" w14:textId="77777777" w:rsidR="00AE648C" w:rsidRDefault="00000000">
            <w:pPr>
              <w:pStyle w:val="Compact"/>
              <w:spacing w:before="20" w:after="20"/>
            </w:pPr>
            <w:r>
              <w:rPr>
                <w:sz w:val="17"/>
                <w:vertAlign w:val="superscript"/>
              </w:rPr>
              <w:t>33</w:t>
            </w:r>
            <w:r>
              <w:rPr>
                <w:sz w:val="17"/>
              </w:rPr>
              <w:t xml:space="preserve"> (-67%, 1880-2007)</w:t>
            </w:r>
          </w:p>
        </w:tc>
      </w:tr>
      <w:tr w:rsidR="00AE648C" w14:paraId="48D26263" w14:textId="77777777" w:rsidTr="00AE648C">
        <w:tc>
          <w:tcPr>
            <w:tcW w:w="0" w:type="auto"/>
            <w:shd w:val="clear" w:color="auto" w:fill="FFFFFF"/>
          </w:tcPr>
          <w:p w14:paraId="04025FA1" w14:textId="77777777" w:rsidR="00AE648C" w:rsidRDefault="00000000">
            <w:pPr>
              <w:pStyle w:val="Compact"/>
              <w:spacing w:before="20" w:after="20"/>
            </w:pPr>
            <w:r>
              <w:rPr>
                <w:sz w:val="17"/>
              </w:rPr>
              <w:t>Oceanic sharks &amp; rays</w:t>
            </w:r>
          </w:p>
        </w:tc>
        <w:tc>
          <w:tcPr>
            <w:tcW w:w="0" w:type="auto"/>
            <w:shd w:val="clear" w:color="auto" w:fill="FFFFFF"/>
          </w:tcPr>
          <w:p w14:paraId="6A1B5B62" w14:textId="77777777" w:rsidR="00AE648C" w:rsidRDefault="00000000">
            <w:pPr>
              <w:pStyle w:val="Compact"/>
              <w:spacing w:before="20" w:after="20"/>
            </w:pPr>
            <w:r>
              <w:rPr>
                <w:sz w:val="17"/>
              </w:rPr>
              <w:t>13%</w:t>
            </w:r>
          </w:p>
        </w:tc>
        <w:tc>
          <w:tcPr>
            <w:tcW w:w="0" w:type="auto"/>
            <w:shd w:val="clear" w:color="auto" w:fill="FFFFFF"/>
          </w:tcPr>
          <w:p w14:paraId="368DABC6" w14:textId="77777777" w:rsidR="00AE648C" w:rsidRDefault="00000000">
            <w:pPr>
              <w:pStyle w:val="Compact"/>
              <w:spacing w:before="20" w:after="20"/>
            </w:pPr>
            <w:r>
              <w:rPr>
                <w:sz w:val="17"/>
              </w:rPr>
              <w:t>0.26 (0.21–0.33)</w:t>
            </w:r>
          </w:p>
        </w:tc>
        <w:tc>
          <w:tcPr>
            <w:tcW w:w="0" w:type="auto"/>
            <w:shd w:val="clear" w:color="auto" w:fill="FFFFFF"/>
          </w:tcPr>
          <w:p w14:paraId="7403975B" w14:textId="77777777" w:rsidR="00AE648C" w:rsidRDefault="00000000">
            <w:pPr>
              <w:pStyle w:val="Compact"/>
              <w:spacing w:before="20" w:after="20"/>
            </w:pPr>
            <w:r>
              <w:rPr>
                <w:sz w:val="17"/>
                <w:vertAlign w:val="superscript"/>
              </w:rPr>
              <w:t>34</w:t>
            </w:r>
            <w:r>
              <w:rPr>
                <w:sz w:val="17"/>
              </w:rPr>
              <w:t xml:space="preserve"> (-71%, since 1970)</w:t>
            </w:r>
          </w:p>
        </w:tc>
      </w:tr>
      <w:tr w:rsidR="00AE648C" w14:paraId="0385AB36" w14:textId="77777777" w:rsidTr="00AE648C">
        <w:tc>
          <w:tcPr>
            <w:tcW w:w="0" w:type="auto"/>
            <w:shd w:val="clear" w:color="auto" w:fill="EAF1F5"/>
          </w:tcPr>
          <w:p w14:paraId="4A155232" w14:textId="77777777" w:rsidR="00AE648C" w:rsidRDefault="00000000">
            <w:pPr>
              <w:pStyle w:val="Compact"/>
              <w:spacing w:before="20" w:after="20"/>
            </w:pPr>
            <w:r>
              <w:rPr>
                <w:sz w:val="17"/>
              </w:rPr>
              <w:t>Seabirds</w:t>
            </w:r>
          </w:p>
        </w:tc>
        <w:tc>
          <w:tcPr>
            <w:tcW w:w="0" w:type="auto"/>
            <w:shd w:val="clear" w:color="auto" w:fill="EAF1F5"/>
          </w:tcPr>
          <w:p w14:paraId="2EFF2706" w14:textId="77777777" w:rsidR="00AE648C" w:rsidRDefault="00000000">
            <w:pPr>
              <w:pStyle w:val="Compact"/>
              <w:spacing w:before="20" w:after="20"/>
            </w:pPr>
            <w:r>
              <w:rPr>
                <w:sz w:val="17"/>
              </w:rPr>
              <w:t>11%</w:t>
            </w:r>
          </w:p>
        </w:tc>
        <w:tc>
          <w:tcPr>
            <w:tcW w:w="0" w:type="auto"/>
            <w:shd w:val="clear" w:color="auto" w:fill="EAF1F5"/>
          </w:tcPr>
          <w:p w14:paraId="0D88E960" w14:textId="77777777" w:rsidR="00AE648C" w:rsidRDefault="00000000">
            <w:pPr>
              <w:pStyle w:val="Compact"/>
              <w:spacing w:before="20" w:after="20"/>
            </w:pPr>
            <w:r>
              <w:rPr>
                <w:sz w:val="17"/>
              </w:rPr>
              <w:t>0.28 (0.23–0.35)</w:t>
            </w:r>
          </w:p>
        </w:tc>
        <w:tc>
          <w:tcPr>
            <w:tcW w:w="0" w:type="auto"/>
            <w:shd w:val="clear" w:color="auto" w:fill="EAF1F5"/>
          </w:tcPr>
          <w:p w14:paraId="586DB355" w14:textId="77777777" w:rsidR="00AE648C" w:rsidRDefault="00000000">
            <w:pPr>
              <w:pStyle w:val="Compact"/>
              <w:spacing w:before="20" w:after="20"/>
            </w:pPr>
            <w:r>
              <w:rPr>
                <w:sz w:val="17"/>
                <w:vertAlign w:val="superscript"/>
              </w:rPr>
              <w:t>35</w:t>
            </w:r>
            <w:r>
              <w:rPr>
                <w:sz w:val="17"/>
              </w:rPr>
              <w:t xml:space="preserve"> (-70%, 1950-2010)</w:t>
            </w:r>
          </w:p>
        </w:tc>
      </w:tr>
      <w:tr w:rsidR="00AE648C" w14:paraId="12D92383" w14:textId="77777777" w:rsidTr="00AE648C">
        <w:tc>
          <w:tcPr>
            <w:tcW w:w="0" w:type="auto"/>
            <w:shd w:val="clear" w:color="auto" w:fill="FFFFFF"/>
          </w:tcPr>
          <w:p w14:paraId="3A05D63D" w14:textId="77777777" w:rsidR="00AE648C" w:rsidRDefault="00000000">
            <w:pPr>
              <w:pStyle w:val="Compact"/>
              <w:spacing w:before="20" w:after="20"/>
            </w:pPr>
            <w:r>
              <w:rPr>
                <w:sz w:val="17"/>
              </w:rPr>
              <w:t>Reef-building corals</w:t>
            </w:r>
          </w:p>
        </w:tc>
        <w:tc>
          <w:tcPr>
            <w:tcW w:w="0" w:type="auto"/>
            <w:shd w:val="clear" w:color="auto" w:fill="FFFFFF"/>
          </w:tcPr>
          <w:p w14:paraId="0CF8AEAA" w14:textId="77777777" w:rsidR="00AE648C" w:rsidRDefault="00000000">
            <w:pPr>
              <w:pStyle w:val="Compact"/>
              <w:spacing w:before="20" w:after="20"/>
            </w:pPr>
            <w:r>
              <w:rPr>
                <w:sz w:val="17"/>
              </w:rPr>
              <w:t>13%</w:t>
            </w:r>
          </w:p>
        </w:tc>
        <w:tc>
          <w:tcPr>
            <w:tcW w:w="0" w:type="auto"/>
            <w:shd w:val="clear" w:color="auto" w:fill="FFFFFF"/>
          </w:tcPr>
          <w:p w14:paraId="3B5174B1" w14:textId="77777777" w:rsidR="00AE648C" w:rsidRDefault="00000000">
            <w:pPr>
              <w:pStyle w:val="Compact"/>
              <w:spacing w:before="20" w:after="20"/>
            </w:pPr>
            <w:r>
              <w:rPr>
                <w:sz w:val="17"/>
              </w:rPr>
              <w:t>0.44 (0.34–0.54)</w:t>
            </w:r>
          </w:p>
        </w:tc>
        <w:tc>
          <w:tcPr>
            <w:tcW w:w="0" w:type="auto"/>
            <w:shd w:val="clear" w:color="auto" w:fill="FFFFFF"/>
          </w:tcPr>
          <w:p w14:paraId="3EF68856" w14:textId="77777777" w:rsidR="00AE648C" w:rsidRDefault="00000000">
            <w:pPr>
              <w:pStyle w:val="Compact"/>
              <w:spacing w:before="20" w:after="20"/>
            </w:pPr>
            <w:r>
              <w:rPr>
                <w:sz w:val="17"/>
                <w:vertAlign w:val="superscript"/>
              </w:rPr>
              <w:t>36</w:t>
            </w:r>
            <w:r>
              <w:rPr>
                <w:sz w:val="17"/>
              </w:rPr>
              <w:t xml:space="preserve"> (coral cover ~halved since 1950s; source value 0.50)</w:t>
            </w:r>
          </w:p>
        </w:tc>
      </w:tr>
      <w:tr w:rsidR="00AE648C" w14:paraId="60841848" w14:textId="77777777" w:rsidTr="00AE648C">
        <w:tc>
          <w:tcPr>
            <w:tcW w:w="0" w:type="auto"/>
            <w:shd w:val="clear" w:color="auto" w:fill="EAF1F5"/>
          </w:tcPr>
          <w:p w14:paraId="2F340B05" w14:textId="77777777" w:rsidR="00AE648C" w:rsidRDefault="00000000">
            <w:pPr>
              <w:pStyle w:val="Compact"/>
              <w:spacing w:before="20" w:after="20"/>
            </w:pPr>
            <w:r>
              <w:rPr>
                <w:sz w:val="17"/>
              </w:rPr>
              <w:t>Coastal/estuarine + oyster reef + seagrass</w:t>
            </w:r>
          </w:p>
        </w:tc>
        <w:tc>
          <w:tcPr>
            <w:tcW w:w="0" w:type="auto"/>
            <w:shd w:val="clear" w:color="auto" w:fill="EAF1F5"/>
          </w:tcPr>
          <w:p w14:paraId="7A977BA8" w14:textId="77777777" w:rsidR="00AE648C" w:rsidRDefault="00000000">
            <w:pPr>
              <w:pStyle w:val="Compact"/>
              <w:spacing w:before="20" w:after="20"/>
            </w:pPr>
            <w:r>
              <w:rPr>
                <w:sz w:val="17"/>
              </w:rPr>
              <w:t>13%</w:t>
            </w:r>
          </w:p>
        </w:tc>
        <w:tc>
          <w:tcPr>
            <w:tcW w:w="0" w:type="auto"/>
            <w:shd w:val="clear" w:color="auto" w:fill="EAF1F5"/>
          </w:tcPr>
          <w:p w14:paraId="206FC8C1" w14:textId="77777777" w:rsidR="00AE648C" w:rsidRDefault="00000000">
            <w:pPr>
              <w:pStyle w:val="Compact"/>
              <w:spacing w:before="20" w:after="20"/>
            </w:pPr>
            <w:r>
              <w:rPr>
                <w:sz w:val="17"/>
              </w:rPr>
              <w:t>0.14 (0.09–0.24)</w:t>
            </w:r>
          </w:p>
        </w:tc>
        <w:tc>
          <w:tcPr>
            <w:tcW w:w="0" w:type="auto"/>
            <w:shd w:val="clear" w:color="auto" w:fill="EAF1F5"/>
          </w:tcPr>
          <w:p w14:paraId="7B755D2A" w14:textId="77777777" w:rsidR="00AE648C" w:rsidRDefault="00000000">
            <w:pPr>
              <w:pStyle w:val="Compact"/>
              <w:spacing w:before="20" w:after="20"/>
            </w:pPr>
            <w:r>
              <w:rPr>
                <w:sz w:val="17"/>
                <w:vertAlign w:val="superscript"/>
              </w:rPr>
              <w:t>37</w:t>
            </w:r>
            <w:r>
              <w:rPr>
                <w:sz w:val="17"/>
              </w:rPr>
              <w:t xml:space="preserve"> (species ~90%, habitat -65%); </w:t>
            </w:r>
            <w:r>
              <w:rPr>
                <w:sz w:val="17"/>
                <w:vertAlign w:val="superscript"/>
              </w:rPr>
              <w:t>38</w:t>
            </w:r>
            <w:r>
              <w:rPr>
                <w:sz w:val="17"/>
              </w:rPr>
              <w:t xml:space="preserve"> (oyster -85%)</w:t>
            </w:r>
          </w:p>
        </w:tc>
      </w:tr>
      <w:tr w:rsidR="00AE648C" w14:paraId="013CE27B" w14:textId="77777777" w:rsidTr="00AE648C">
        <w:tc>
          <w:tcPr>
            <w:tcW w:w="0" w:type="auto"/>
            <w:shd w:val="clear" w:color="auto" w:fill="FFFFFF"/>
          </w:tcPr>
          <w:p w14:paraId="46A45DF1" w14:textId="77777777" w:rsidR="00AE648C" w:rsidRDefault="00000000">
            <w:pPr>
              <w:pStyle w:val="Compact"/>
              <w:spacing w:before="20" w:after="20"/>
            </w:pPr>
            <w:r>
              <w:rPr>
                <w:sz w:val="17"/>
              </w:rPr>
              <w:t>Shelled molluscs / pteropods</w:t>
            </w:r>
          </w:p>
        </w:tc>
        <w:tc>
          <w:tcPr>
            <w:tcW w:w="0" w:type="auto"/>
            <w:shd w:val="clear" w:color="auto" w:fill="FFFFFF"/>
          </w:tcPr>
          <w:p w14:paraId="2AB4D3F3" w14:textId="77777777" w:rsidR="00AE648C" w:rsidRDefault="00000000">
            <w:pPr>
              <w:pStyle w:val="Compact"/>
              <w:spacing w:before="20" w:after="20"/>
            </w:pPr>
            <w:r>
              <w:rPr>
                <w:sz w:val="17"/>
              </w:rPr>
              <w:t>11%</w:t>
            </w:r>
          </w:p>
        </w:tc>
        <w:tc>
          <w:tcPr>
            <w:tcW w:w="0" w:type="auto"/>
            <w:shd w:val="clear" w:color="auto" w:fill="FFFFFF"/>
          </w:tcPr>
          <w:p w14:paraId="7633CC3E" w14:textId="77777777" w:rsidR="00AE648C" w:rsidRDefault="00000000">
            <w:pPr>
              <w:pStyle w:val="Compact"/>
              <w:spacing w:before="20" w:after="20"/>
            </w:pPr>
            <w:r>
              <w:rPr>
                <w:sz w:val="17"/>
              </w:rPr>
              <w:t>0.47 (0.37–0.62)</w:t>
            </w:r>
          </w:p>
        </w:tc>
        <w:tc>
          <w:tcPr>
            <w:tcW w:w="0" w:type="auto"/>
            <w:shd w:val="clear" w:color="auto" w:fill="FFFFFF"/>
          </w:tcPr>
          <w:p w14:paraId="3C2F64DA" w14:textId="77777777" w:rsidR="00AE648C" w:rsidRDefault="00000000">
            <w:pPr>
              <w:pStyle w:val="Compact"/>
              <w:spacing w:before="20" w:after="20"/>
            </w:pPr>
            <w:r>
              <w:rPr>
                <w:sz w:val="17"/>
                <w:vertAlign w:val="superscript"/>
              </w:rPr>
              <w:t>20</w:t>
            </w:r>
            <w:r>
              <w:rPr>
                <w:sz w:val="17"/>
              </w:rPr>
              <w:t xml:space="preserve"> (California Current model hindcast: exposure to Ω&lt;1.5 rose from 9% to 49%; used here as a habitat proxy)</w:t>
            </w:r>
          </w:p>
        </w:tc>
      </w:tr>
      <w:tr w:rsidR="00AE648C" w14:paraId="40BEEACE" w14:textId="77777777" w:rsidTr="00AE648C">
        <w:tc>
          <w:tcPr>
            <w:tcW w:w="0" w:type="auto"/>
            <w:shd w:val="clear" w:color="auto" w:fill="EAF1F5"/>
          </w:tcPr>
          <w:p w14:paraId="17C92FA6" w14:textId="77777777" w:rsidR="00AE648C" w:rsidRDefault="00000000">
            <w:pPr>
              <w:pStyle w:val="Compact"/>
              <w:spacing w:before="20" w:after="20"/>
            </w:pPr>
            <w:r>
              <w:rPr>
                <w:sz w:val="17"/>
              </w:rPr>
              <w:t>Zooplankton / krill</w:t>
            </w:r>
          </w:p>
        </w:tc>
        <w:tc>
          <w:tcPr>
            <w:tcW w:w="0" w:type="auto"/>
            <w:shd w:val="clear" w:color="auto" w:fill="EAF1F5"/>
          </w:tcPr>
          <w:p w14:paraId="1C35B82B" w14:textId="77777777" w:rsidR="00AE648C" w:rsidRDefault="00000000">
            <w:pPr>
              <w:pStyle w:val="Compact"/>
              <w:spacing w:before="20" w:after="20"/>
            </w:pPr>
            <w:r>
              <w:rPr>
                <w:sz w:val="17"/>
              </w:rPr>
              <w:t>3%</w:t>
            </w:r>
          </w:p>
        </w:tc>
        <w:tc>
          <w:tcPr>
            <w:tcW w:w="0" w:type="auto"/>
            <w:shd w:val="clear" w:color="auto" w:fill="EAF1F5"/>
          </w:tcPr>
          <w:p w14:paraId="53E705D3" w14:textId="77777777" w:rsidR="00AE648C" w:rsidRDefault="00000000">
            <w:pPr>
              <w:pStyle w:val="Compact"/>
              <w:spacing w:before="20" w:after="20"/>
            </w:pPr>
            <w:r>
              <w:rPr>
                <w:sz w:val="17"/>
              </w:rPr>
              <w:t>0.52 (0.42–0.72)</w:t>
            </w:r>
          </w:p>
        </w:tc>
        <w:tc>
          <w:tcPr>
            <w:tcW w:w="0" w:type="auto"/>
            <w:shd w:val="clear" w:color="auto" w:fill="EAF1F5"/>
          </w:tcPr>
          <w:p w14:paraId="60D75AB0" w14:textId="77777777" w:rsidR="00AE648C" w:rsidRDefault="00000000">
            <w:pPr>
              <w:pStyle w:val="Compact"/>
              <w:spacing w:before="20" w:after="20"/>
            </w:pPr>
            <w:r>
              <w:rPr>
                <w:sz w:val="17"/>
                <w:vertAlign w:val="superscript"/>
              </w:rPr>
              <w:t>39</w:t>
            </w:r>
            <w:r>
              <w:rPr>
                <w:sz w:val="17"/>
              </w:rPr>
              <w:t xml:space="preserve"> (North Atlantic surface krill −50%, 1958–2017; extrapolated to zooplankton)</w:t>
            </w:r>
          </w:p>
        </w:tc>
      </w:tr>
      <w:tr w:rsidR="00AE648C" w14:paraId="1E52FA74" w14:textId="77777777" w:rsidTr="00AE648C">
        <w:tc>
          <w:tcPr>
            <w:tcW w:w="0" w:type="auto"/>
            <w:shd w:val="clear" w:color="auto" w:fill="FFFFFF"/>
          </w:tcPr>
          <w:p w14:paraId="7742A4A5" w14:textId="77777777" w:rsidR="00AE648C" w:rsidRDefault="00000000">
            <w:pPr>
              <w:pStyle w:val="Compact"/>
              <w:spacing w:before="20" w:after="20"/>
            </w:pPr>
            <w:r>
              <w:rPr>
                <w:sz w:val="17"/>
              </w:rPr>
              <w:t>Forage/prey fish</w:t>
            </w:r>
          </w:p>
        </w:tc>
        <w:tc>
          <w:tcPr>
            <w:tcW w:w="0" w:type="auto"/>
            <w:shd w:val="clear" w:color="auto" w:fill="FFFFFF"/>
          </w:tcPr>
          <w:p w14:paraId="52B3368A" w14:textId="77777777" w:rsidR="00AE648C" w:rsidRDefault="00000000">
            <w:pPr>
              <w:pStyle w:val="Compact"/>
              <w:spacing w:before="20" w:after="20"/>
            </w:pPr>
            <w:r>
              <w:rPr>
                <w:sz w:val="17"/>
              </w:rPr>
              <w:t>2%</w:t>
            </w:r>
          </w:p>
        </w:tc>
        <w:tc>
          <w:tcPr>
            <w:tcW w:w="0" w:type="auto"/>
            <w:shd w:val="clear" w:color="auto" w:fill="FFFFFF"/>
          </w:tcPr>
          <w:p w14:paraId="40403BDA" w14:textId="77777777" w:rsidR="00AE648C" w:rsidRDefault="00000000">
            <w:pPr>
              <w:pStyle w:val="Compact"/>
              <w:spacing w:before="20" w:after="20"/>
            </w:pPr>
            <w:r>
              <w:rPr>
                <w:sz w:val="17"/>
              </w:rPr>
              <w:t>1.08 (0.93–1.18)</w:t>
            </w:r>
          </w:p>
        </w:tc>
        <w:tc>
          <w:tcPr>
            <w:tcW w:w="0" w:type="auto"/>
            <w:shd w:val="clear" w:color="auto" w:fill="FFFFFF"/>
          </w:tcPr>
          <w:p w14:paraId="7B44ED5D" w14:textId="77777777" w:rsidR="00AE648C" w:rsidRDefault="00000000">
            <w:pPr>
              <w:pStyle w:val="Compact"/>
              <w:spacing w:before="20" w:after="20"/>
            </w:pPr>
            <w:r>
              <w:rPr>
                <w:sz w:val="17"/>
                <w:vertAlign w:val="superscript"/>
              </w:rPr>
              <w:t>33</w:t>
            </w:r>
            <w:r>
              <w:rPr>
                <w:sz w:val="17"/>
              </w:rPr>
              <w:t xml:space="preserve"> (increased, predator release)</w:t>
            </w:r>
          </w:p>
        </w:tc>
      </w:tr>
      <w:tr w:rsidR="00AE648C" w14:paraId="6CED36BF" w14:textId="77777777" w:rsidTr="00AE648C">
        <w:tc>
          <w:tcPr>
            <w:tcW w:w="0" w:type="auto"/>
            <w:shd w:val="clear" w:color="auto" w:fill="EAF1F5"/>
          </w:tcPr>
          <w:p w14:paraId="705EFCBE" w14:textId="77777777" w:rsidR="00AE648C" w:rsidRDefault="00000000">
            <w:pPr>
              <w:pStyle w:val="Compact"/>
              <w:spacing w:before="20" w:after="20"/>
            </w:pPr>
            <w:r>
              <w:rPr>
                <w:sz w:val="17"/>
              </w:rPr>
              <w:t>Jellyfish / cnidarians</w:t>
            </w:r>
          </w:p>
        </w:tc>
        <w:tc>
          <w:tcPr>
            <w:tcW w:w="0" w:type="auto"/>
            <w:shd w:val="clear" w:color="auto" w:fill="EAF1F5"/>
          </w:tcPr>
          <w:p w14:paraId="0713059B" w14:textId="77777777" w:rsidR="00AE648C" w:rsidRDefault="00000000">
            <w:pPr>
              <w:pStyle w:val="Compact"/>
              <w:spacing w:before="20" w:after="20"/>
            </w:pPr>
            <w:r>
              <w:rPr>
                <w:sz w:val="17"/>
              </w:rPr>
              <w:t>1%</w:t>
            </w:r>
          </w:p>
        </w:tc>
        <w:tc>
          <w:tcPr>
            <w:tcW w:w="0" w:type="auto"/>
            <w:shd w:val="clear" w:color="auto" w:fill="EAF1F5"/>
          </w:tcPr>
          <w:p w14:paraId="7FCAB318" w14:textId="77777777" w:rsidR="00AE648C" w:rsidRDefault="00000000">
            <w:pPr>
              <w:pStyle w:val="Compact"/>
              <w:spacing w:before="20" w:after="20"/>
            </w:pPr>
            <w:r>
              <w:rPr>
                <w:sz w:val="17"/>
              </w:rPr>
              <w:t>1.06 (0.95–1.20)</w:t>
            </w:r>
          </w:p>
        </w:tc>
        <w:tc>
          <w:tcPr>
            <w:tcW w:w="0" w:type="auto"/>
            <w:shd w:val="clear" w:color="auto" w:fill="EAF1F5"/>
          </w:tcPr>
          <w:p w14:paraId="1E458ADE" w14:textId="77777777" w:rsidR="00AE648C" w:rsidRDefault="00000000">
            <w:pPr>
              <w:pStyle w:val="Compact"/>
              <w:spacing w:before="20" w:after="20"/>
            </w:pPr>
            <w:r>
              <w:rPr>
                <w:sz w:val="17"/>
                <w:vertAlign w:val="superscript"/>
              </w:rPr>
              <w:t>40</w:t>
            </w:r>
            <w:r>
              <w:rPr>
                <w:sz w:val="17"/>
              </w:rPr>
              <w:t xml:space="preserve"> (no substantiated global trend in the cited synthesis; value assumed)</w:t>
            </w:r>
          </w:p>
        </w:tc>
      </w:tr>
      <w:tr w:rsidR="00AE648C" w14:paraId="3E647AE4" w14:textId="77777777" w:rsidTr="00AE648C">
        <w:tc>
          <w:tcPr>
            <w:tcW w:w="0" w:type="auto"/>
            <w:shd w:val="clear" w:color="auto" w:fill="FFFFFF"/>
          </w:tcPr>
          <w:p w14:paraId="635A1DE4" w14:textId="77777777" w:rsidR="00AE648C" w:rsidRDefault="00000000">
            <w:pPr>
              <w:pStyle w:val="Compact"/>
              <w:spacing w:before="20" w:after="20"/>
            </w:pPr>
            <w:r>
              <w:rPr>
                <w:sz w:val="17"/>
              </w:rPr>
              <w:t>Foraminifera (calcite)</w:t>
            </w:r>
          </w:p>
        </w:tc>
        <w:tc>
          <w:tcPr>
            <w:tcW w:w="0" w:type="auto"/>
            <w:shd w:val="clear" w:color="auto" w:fill="FFFFFF"/>
          </w:tcPr>
          <w:p w14:paraId="1339B23C" w14:textId="77777777" w:rsidR="00AE648C" w:rsidRDefault="00000000">
            <w:pPr>
              <w:pStyle w:val="Compact"/>
              <w:spacing w:before="20" w:after="20"/>
            </w:pPr>
            <w:r>
              <w:rPr>
                <w:sz w:val="17"/>
              </w:rPr>
              <w:t>2%</w:t>
            </w:r>
          </w:p>
        </w:tc>
        <w:tc>
          <w:tcPr>
            <w:tcW w:w="0" w:type="auto"/>
            <w:shd w:val="clear" w:color="auto" w:fill="FFFFFF"/>
          </w:tcPr>
          <w:p w14:paraId="27776BAF" w14:textId="77777777" w:rsidR="00AE648C" w:rsidRDefault="00000000">
            <w:pPr>
              <w:pStyle w:val="Compact"/>
              <w:spacing w:before="20" w:after="20"/>
            </w:pPr>
            <w:r>
              <w:rPr>
                <w:sz w:val="17"/>
              </w:rPr>
              <w:t>0.22 (0.16–0.33)</w:t>
            </w:r>
          </w:p>
        </w:tc>
        <w:tc>
          <w:tcPr>
            <w:tcW w:w="0" w:type="auto"/>
            <w:shd w:val="clear" w:color="auto" w:fill="FFFFFF"/>
          </w:tcPr>
          <w:p w14:paraId="2B6AE1C8" w14:textId="77777777" w:rsidR="00AE648C" w:rsidRDefault="00000000">
            <w:pPr>
              <w:pStyle w:val="Compact"/>
              <w:spacing w:before="20" w:after="20"/>
            </w:pPr>
            <w:r>
              <w:rPr>
                <w:sz w:val="17"/>
                <w:vertAlign w:val="superscript"/>
              </w:rPr>
              <w:t>41</w:t>
            </w:r>
            <w:r>
              <w:rPr>
                <w:sz w:val="17"/>
              </w:rPr>
              <w:t xml:space="preserve"> (shell up to -76%, one species) [indicator]</w:t>
            </w:r>
          </w:p>
        </w:tc>
      </w:tr>
      <w:tr w:rsidR="00AE648C" w14:paraId="7B4E324E" w14:textId="77777777" w:rsidTr="00AE648C">
        <w:tc>
          <w:tcPr>
            <w:tcW w:w="0" w:type="auto"/>
            <w:shd w:val="clear" w:color="auto" w:fill="EAF1F5"/>
          </w:tcPr>
          <w:p w14:paraId="2FCB5060" w14:textId="77777777" w:rsidR="00AE648C" w:rsidRDefault="00000000">
            <w:pPr>
              <w:pStyle w:val="Compact"/>
              <w:spacing w:before="20" w:after="20"/>
            </w:pPr>
            <w:r>
              <w:rPr>
                <w:sz w:val="17"/>
              </w:rPr>
              <w:t>Coccolithophore calcification</w:t>
            </w:r>
          </w:p>
        </w:tc>
        <w:tc>
          <w:tcPr>
            <w:tcW w:w="0" w:type="auto"/>
            <w:shd w:val="clear" w:color="auto" w:fill="EAF1F5"/>
          </w:tcPr>
          <w:p w14:paraId="25D73AA9" w14:textId="77777777" w:rsidR="00AE648C" w:rsidRDefault="00000000">
            <w:pPr>
              <w:pStyle w:val="Compact"/>
              <w:spacing w:before="20" w:after="20"/>
            </w:pPr>
            <w:r>
              <w:rPr>
                <w:sz w:val="17"/>
              </w:rPr>
              <w:t>2%</w:t>
            </w:r>
          </w:p>
        </w:tc>
        <w:tc>
          <w:tcPr>
            <w:tcW w:w="0" w:type="auto"/>
            <w:shd w:val="clear" w:color="auto" w:fill="EAF1F5"/>
          </w:tcPr>
          <w:p w14:paraId="4CF21952" w14:textId="77777777" w:rsidR="00AE648C" w:rsidRDefault="00000000">
            <w:pPr>
              <w:pStyle w:val="Compact"/>
              <w:spacing w:before="20" w:after="20"/>
            </w:pPr>
            <w:r>
              <w:rPr>
                <w:sz w:val="17"/>
              </w:rPr>
              <w:t>0.58 (0.43–0.78)</w:t>
            </w:r>
          </w:p>
        </w:tc>
        <w:tc>
          <w:tcPr>
            <w:tcW w:w="0" w:type="auto"/>
            <w:shd w:val="clear" w:color="auto" w:fill="EAF1F5"/>
          </w:tcPr>
          <w:p w14:paraId="7EC233E7" w14:textId="77777777" w:rsidR="00AE648C" w:rsidRDefault="00000000">
            <w:pPr>
              <w:pStyle w:val="Compact"/>
              <w:spacing w:before="20" w:after="20"/>
            </w:pPr>
            <w:r>
              <w:rPr>
                <w:sz w:val="17"/>
                <w:vertAlign w:val="superscript"/>
              </w:rPr>
              <w:t>42</w:t>
            </w:r>
            <w:r>
              <w:rPr>
                <w:sz w:val="17"/>
              </w:rPr>
              <w:t xml:space="preserve"> (Gulf of Maine 2001–2018, calcification rate about halved, attributed by its authors to a change of source water) [indicator]</w:t>
            </w:r>
          </w:p>
        </w:tc>
      </w:tr>
      <w:tr w:rsidR="00AE648C" w14:paraId="55B3D63C" w14:textId="77777777" w:rsidTr="00AE648C">
        <w:tc>
          <w:tcPr>
            <w:tcW w:w="0" w:type="auto"/>
            <w:shd w:val="clear" w:color="auto" w:fill="FFFFFF"/>
          </w:tcPr>
          <w:p w14:paraId="01ECD140" w14:textId="77777777" w:rsidR="00AE648C" w:rsidRDefault="00000000">
            <w:pPr>
              <w:pStyle w:val="Compact"/>
              <w:spacing w:before="20" w:after="20"/>
            </w:pPr>
            <w:r>
              <w:rPr>
                <w:sz w:val="17"/>
              </w:rPr>
              <w:t>Benthic invertebrates</w:t>
            </w:r>
          </w:p>
        </w:tc>
        <w:tc>
          <w:tcPr>
            <w:tcW w:w="0" w:type="auto"/>
            <w:shd w:val="clear" w:color="auto" w:fill="FFFFFF"/>
          </w:tcPr>
          <w:p w14:paraId="752441EA" w14:textId="77777777" w:rsidR="00AE648C" w:rsidRDefault="00000000">
            <w:pPr>
              <w:pStyle w:val="Compact"/>
              <w:spacing w:before="20" w:after="20"/>
            </w:pPr>
            <w:r>
              <w:rPr>
                <w:sz w:val="17"/>
              </w:rPr>
              <w:t>3%</w:t>
            </w:r>
          </w:p>
        </w:tc>
        <w:tc>
          <w:tcPr>
            <w:tcW w:w="0" w:type="auto"/>
            <w:shd w:val="clear" w:color="auto" w:fill="FFFFFF"/>
          </w:tcPr>
          <w:p w14:paraId="0B019AA9" w14:textId="77777777" w:rsidR="00AE648C" w:rsidRDefault="00000000">
            <w:pPr>
              <w:pStyle w:val="Compact"/>
              <w:spacing w:before="20" w:after="20"/>
            </w:pPr>
            <w:r>
              <w:rPr>
                <w:sz w:val="17"/>
              </w:rPr>
              <w:t>0.58 (0.48–0.73)</w:t>
            </w:r>
          </w:p>
        </w:tc>
        <w:tc>
          <w:tcPr>
            <w:tcW w:w="0" w:type="auto"/>
            <w:shd w:val="clear" w:color="auto" w:fill="FFFFFF"/>
          </w:tcPr>
          <w:p w14:paraId="5796F7F8" w14:textId="77777777" w:rsidR="00AE648C" w:rsidRDefault="00000000">
            <w:pPr>
              <w:pStyle w:val="Compact"/>
              <w:spacing w:before="20" w:after="20"/>
            </w:pPr>
            <w:r>
              <w:rPr>
                <w:sz w:val="17"/>
              </w:rPr>
              <w:t>partial data</w:t>
            </w:r>
          </w:p>
        </w:tc>
      </w:tr>
    </w:tbl>
    <w:p w14:paraId="6F2EA046" w14:textId="77777777" w:rsidR="00AE648C" w:rsidRDefault="00000000">
      <w:pPr>
        <w:pStyle w:val="BodyText"/>
      </w:pPr>
      <w:r>
        <w:lastRenderedPageBreak/>
        <w:t>Result. The comprehensive index stands at approximately 35–54% of the 1850 level, indicating a documented loss of 46–65% across the groups it covers. The lower end is the convergence of seven independent large-animal records, marine mammals, large predatory fish, oceanic sharks and rays and seabirds, together with coastal-system collapse and reef loss, whose magnitudes and sources are given in Table 2; because the index also carries at low weight the groups that held up or increased, it cannot be dismissed as counting only the losers. The upper end is higher because the fast-turnover zooplankton pool, which dominates tonnage but not ecological function, has declined less steeply than the apex and structural groups, to about half its 1850 level rather than to a quarter or a third. The gap between the two ends is itself a finding: the ocean's raw biomass is more intact than its functional structure. The result holds under all three weighting schemes tested (Table S5).</w:t>
      </w:r>
    </w:p>
    <w:p w14:paraId="6AC78D85" w14:textId="77777777" w:rsidR="00AE648C" w:rsidRDefault="00000000">
      <w:pPr>
        <w:pStyle w:val="BodyText"/>
      </w:pPr>
      <w:r>
        <w:t>Table S5. The biocurve result does not depend on the choice of weighting, on the inclusion of the coastal compartment, or on the curvature of the interpolation: the index spans about 35–54% remaining across the weightings tested (same-source declines, Table 2). Headline = importance-weighted; production = conservative bound. The final two rows are the sensitivity tests described below.</w:t>
      </w:r>
    </w:p>
    <w:tbl>
      <w:tblPr>
        <w:tblStyle w:val="Table"/>
        <w:tblW w:w="5000" w:type="pct"/>
        <w:tblBorders>
          <w:top w:val="single" w:sz="4" w:space="0" w:color="9FB4BE"/>
          <w:left w:val="single" w:sz="4" w:space="0" w:color="9FB4BE"/>
          <w:bottom w:val="single" w:sz="4" w:space="0" w:color="9FB4BE"/>
          <w:right w:val="single" w:sz="4" w:space="0" w:color="9FB4BE"/>
          <w:insideH w:val="single" w:sz="4" w:space="0" w:color="9FB4BE"/>
          <w:insideV w:val="single" w:sz="4" w:space="0" w:color="9FB4BE"/>
        </w:tblBorders>
        <w:tblCellMar>
          <w:top w:w="40" w:type="dxa"/>
          <w:left w:w="80" w:type="dxa"/>
          <w:bottom w:w="40" w:type="dxa"/>
          <w:right w:w="80" w:type="dxa"/>
        </w:tblCellMar>
        <w:tblLook w:val="0020" w:firstRow="1" w:lastRow="0" w:firstColumn="0" w:lastColumn="0" w:noHBand="0" w:noVBand="0"/>
      </w:tblPr>
      <w:tblGrid>
        <w:gridCol w:w="2798"/>
        <w:gridCol w:w="5327"/>
        <w:gridCol w:w="1225"/>
      </w:tblGrid>
      <w:tr w:rsidR="00AE648C" w14:paraId="34AAFCA7" w14:textId="77777777" w:rsidTr="00AE648C">
        <w:trPr>
          <w:cnfStyle w:val="100000000000" w:firstRow="1" w:lastRow="0" w:firstColumn="0" w:lastColumn="0" w:oddVBand="0" w:evenVBand="0" w:oddHBand="0" w:evenHBand="0" w:firstRowFirstColumn="0" w:firstRowLastColumn="0" w:lastRowFirstColumn="0" w:lastRowLastColumn="0"/>
          <w:tblHeader/>
        </w:trPr>
        <w:tc>
          <w:tcPr>
            <w:tcW w:w="0" w:type="auto"/>
            <w:gridSpan w:val="3"/>
            <w:shd w:val="clear" w:color="auto" w:fill="143C4A"/>
          </w:tcPr>
          <w:p w14:paraId="048D1D55" w14:textId="77777777" w:rsidR="00AE648C" w:rsidRDefault="00000000">
            <w:pPr>
              <w:spacing w:before="20" w:after="20"/>
            </w:pPr>
            <w:r>
              <w:rPr>
                <w:b/>
                <w:color w:val="FFFFFF"/>
                <w:sz w:val="19"/>
              </w:rPr>
              <w:t>Table S5. The biocurve under three weightings: the result stands under all of them</w:t>
            </w:r>
          </w:p>
        </w:tc>
      </w:tr>
      <w:tr w:rsidR="00AE648C" w14:paraId="6EC28339" w14:textId="77777777" w:rsidTr="00AE648C">
        <w:trPr>
          <w:cnfStyle w:val="100000000000" w:firstRow="1" w:lastRow="0" w:firstColumn="0" w:lastColumn="0" w:oddVBand="0" w:evenVBand="0" w:oddHBand="0" w:evenHBand="0" w:firstRowFirstColumn="0" w:firstRowLastColumn="0" w:lastRowFirstColumn="0" w:lastRowLastColumn="0"/>
          <w:tblHeader/>
        </w:trPr>
        <w:tc>
          <w:tcPr>
            <w:tcW w:w="0" w:type="auto"/>
            <w:shd w:val="clear" w:color="auto" w:fill="1F4E5F"/>
          </w:tcPr>
          <w:p w14:paraId="1EAB640B" w14:textId="77777777" w:rsidR="00AE648C" w:rsidRDefault="00000000">
            <w:pPr>
              <w:pStyle w:val="Compact"/>
              <w:spacing w:before="20" w:after="20"/>
            </w:pPr>
            <w:r>
              <w:rPr>
                <w:b/>
                <w:bCs/>
                <w:color w:val="FFFFFF"/>
                <w:sz w:val="17"/>
              </w:rPr>
              <w:t>Weighting</w:t>
            </w:r>
          </w:p>
        </w:tc>
        <w:tc>
          <w:tcPr>
            <w:tcW w:w="0" w:type="auto"/>
            <w:shd w:val="clear" w:color="auto" w:fill="1F4E5F"/>
          </w:tcPr>
          <w:p w14:paraId="3029B783" w14:textId="77777777" w:rsidR="00AE648C" w:rsidRDefault="00000000">
            <w:pPr>
              <w:pStyle w:val="Compact"/>
              <w:spacing w:before="20" w:after="20"/>
            </w:pPr>
            <w:r>
              <w:rPr>
                <w:b/>
                <w:bCs/>
                <w:color w:val="FFFFFF"/>
                <w:sz w:val="17"/>
              </w:rPr>
              <w:t>What it measures</w:t>
            </w:r>
          </w:p>
        </w:tc>
        <w:tc>
          <w:tcPr>
            <w:tcW w:w="0" w:type="auto"/>
            <w:shd w:val="clear" w:color="auto" w:fill="1F4E5F"/>
          </w:tcPr>
          <w:p w14:paraId="4B71FB4D" w14:textId="77777777" w:rsidR="00AE648C" w:rsidRDefault="00000000">
            <w:pPr>
              <w:pStyle w:val="Compact"/>
              <w:spacing w:before="20" w:after="20"/>
            </w:pPr>
            <w:r>
              <w:rPr>
                <w:b/>
                <w:bCs/>
                <w:color w:val="FFFFFF"/>
                <w:sz w:val="17"/>
              </w:rPr>
              <w:t>Present % of 1850</w:t>
            </w:r>
          </w:p>
        </w:tc>
      </w:tr>
      <w:tr w:rsidR="00AE648C" w14:paraId="3590DDC3" w14:textId="77777777" w:rsidTr="00AE648C">
        <w:tc>
          <w:tcPr>
            <w:tcW w:w="0" w:type="auto"/>
            <w:shd w:val="clear" w:color="auto" w:fill="FFFFFF"/>
          </w:tcPr>
          <w:p w14:paraId="37312223" w14:textId="77777777" w:rsidR="00AE648C" w:rsidRDefault="00000000">
            <w:pPr>
              <w:pStyle w:val="Compact"/>
              <w:spacing w:before="20" w:after="20"/>
            </w:pPr>
            <w:r>
              <w:rPr>
                <w:sz w:val="17"/>
              </w:rPr>
              <w:t>Importance (apex/structural), RANGE LOWER END</w:t>
            </w:r>
          </w:p>
        </w:tc>
        <w:tc>
          <w:tcPr>
            <w:tcW w:w="0" w:type="auto"/>
            <w:shd w:val="clear" w:color="auto" w:fill="FFFFFF"/>
          </w:tcPr>
          <w:p w14:paraId="72F758ED" w14:textId="77777777" w:rsidR="00AE648C" w:rsidRDefault="00000000">
            <w:pPr>
              <w:pStyle w:val="Compact"/>
              <w:spacing w:before="20" w:after="20"/>
            </w:pPr>
            <w:r>
              <w:rPr>
                <w:sz w:val="17"/>
              </w:rPr>
              <w:t>Functional loss, weighted to the top of the food web and calcifiers.</w:t>
            </w:r>
          </w:p>
        </w:tc>
        <w:tc>
          <w:tcPr>
            <w:tcW w:w="0" w:type="auto"/>
            <w:shd w:val="clear" w:color="auto" w:fill="FFFFFF"/>
          </w:tcPr>
          <w:p w14:paraId="161B6F7D" w14:textId="77777777" w:rsidR="00AE648C" w:rsidRDefault="00000000">
            <w:pPr>
              <w:pStyle w:val="Compact"/>
              <w:spacing w:before="20" w:after="20"/>
            </w:pPr>
            <w:r>
              <w:rPr>
                <w:sz w:val="17"/>
              </w:rPr>
              <w:t>35 (band 28–44)</w:t>
            </w:r>
          </w:p>
        </w:tc>
      </w:tr>
      <w:tr w:rsidR="00AE648C" w14:paraId="311DE34A" w14:textId="77777777" w:rsidTr="00AE648C">
        <w:tc>
          <w:tcPr>
            <w:tcW w:w="0" w:type="auto"/>
            <w:shd w:val="clear" w:color="auto" w:fill="EAF1F5"/>
          </w:tcPr>
          <w:p w14:paraId="11984308" w14:textId="77777777" w:rsidR="00AE648C" w:rsidRDefault="00000000">
            <w:pPr>
              <w:pStyle w:val="Compact"/>
              <w:spacing w:before="20" w:after="20"/>
            </w:pPr>
            <w:r>
              <w:rPr>
                <w:sz w:val="17"/>
              </w:rPr>
              <w:t>Equal per group</w:t>
            </w:r>
          </w:p>
        </w:tc>
        <w:tc>
          <w:tcPr>
            <w:tcW w:w="0" w:type="auto"/>
            <w:shd w:val="clear" w:color="auto" w:fill="EAF1F5"/>
          </w:tcPr>
          <w:p w14:paraId="19503E6F" w14:textId="77777777" w:rsidR="00AE648C" w:rsidRDefault="00000000">
            <w:pPr>
              <w:pStyle w:val="Compact"/>
              <w:spacing w:before="20" w:after="20"/>
            </w:pPr>
            <w:r>
              <w:rPr>
                <w:sz w:val="17"/>
              </w:rPr>
              <w:t>unweighted average of all groups</w:t>
            </w:r>
          </w:p>
        </w:tc>
        <w:tc>
          <w:tcPr>
            <w:tcW w:w="0" w:type="auto"/>
            <w:shd w:val="clear" w:color="auto" w:fill="EAF1F5"/>
          </w:tcPr>
          <w:p w14:paraId="3677E877" w14:textId="77777777" w:rsidR="00AE648C" w:rsidRDefault="00000000">
            <w:pPr>
              <w:pStyle w:val="Compact"/>
              <w:spacing w:before="20" w:after="20"/>
            </w:pPr>
            <w:r>
              <w:rPr>
                <w:sz w:val="17"/>
              </w:rPr>
              <w:t>48</w:t>
            </w:r>
          </w:p>
        </w:tc>
      </w:tr>
      <w:tr w:rsidR="00AE648C" w14:paraId="0D9528FB" w14:textId="77777777" w:rsidTr="00AE648C">
        <w:tc>
          <w:tcPr>
            <w:tcW w:w="0" w:type="auto"/>
            <w:shd w:val="clear" w:color="auto" w:fill="FFFFFF"/>
          </w:tcPr>
          <w:p w14:paraId="62A5615A" w14:textId="77777777" w:rsidR="00AE648C" w:rsidRDefault="00000000">
            <w:pPr>
              <w:pStyle w:val="Compact"/>
              <w:spacing w:before="20" w:after="20"/>
            </w:pPr>
            <w:r>
              <w:rPr>
                <w:sz w:val="17"/>
              </w:rPr>
              <w:t>Production (throughput), RANGE UPPER END</w:t>
            </w:r>
          </w:p>
        </w:tc>
        <w:tc>
          <w:tcPr>
            <w:tcW w:w="0" w:type="auto"/>
            <w:shd w:val="clear" w:color="auto" w:fill="FFFFFF"/>
          </w:tcPr>
          <w:p w14:paraId="7D94A0DE" w14:textId="77777777" w:rsidR="00AE648C" w:rsidRDefault="00000000">
            <w:pPr>
              <w:pStyle w:val="Compact"/>
              <w:spacing w:before="20" w:after="20"/>
            </w:pPr>
            <w:r>
              <w:rPr>
                <w:sz w:val="17"/>
              </w:rPr>
              <w:t>total living tonnage per year</w:t>
            </w:r>
          </w:p>
        </w:tc>
        <w:tc>
          <w:tcPr>
            <w:tcW w:w="0" w:type="auto"/>
            <w:shd w:val="clear" w:color="auto" w:fill="FFFFFF"/>
          </w:tcPr>
          <w:p w14:paraId="49EC696C" w14:textId="77777777" w:rsidR="00AE648C" w:rsidRDefault="00000000">
            <w:pPr>
              <w:pStyle w:val="Compact"/>
              <w:spacing w:before="20" w:after="20"/>
            </w:pPr>
            <w:r>
              <w:rPr>
                <w:sz w:val="17"/>
              </w:rPr>
              <w:t>54</w:t>
            </w:r>
          </w:p>
        </w:tc>
      </w:tr>
      <w:tr w:rsidR="00AE648C" w14:paraId="0DCF5C1F" w14:textId="77777777" w:rsidTr="00AE648C">
        <w:tc>
          <w:tcPr>
            <w:tcW w:w="0" w:type="auto"/>
            <w:shd w:val="clear" w:color="auto" w:fill="EAF1F5"/>
          </w:tcPr>
          <w:p w14:paraId="2E51E95F" w14:textId="77777777" w:rsidR="00AE648C" w:rsidRDefault="00000000">
            <w:pPr>
              <w:pStyle w:val="Compact"/>
              <w:spacing w:before="20" w:after="20"/>
            </w:pPr>
            <w:r>
              <w:rPr>
                <w:sz w:val="17"/>
              </w:rPr>
              <w:t>Importance, coastal compartment excluded</w:t>
            </w:r>
          </w:p>
        </w:tc>
        <w:tc>
          <w:tcPr>
            <w:tcW w:w="0" w:type="auto"/>
            <w:shd w:val="clear" w:color="auto" w:fill="EAF1F5"/>
          </w:tcPr>
          <w:p w14:paraId="1772A03B" w14:textId="77777777" w:rsidR="00AE648C" w:rsidRDefault="00000000">
            <w:pPr>
              <w:pStyle w:val="Compact"/>
              <w:spacing w:before="20" w:after="20"/>
            </w:pPr>
            <w:r>
              <w:rPr>
                <w:sz w:val="17"/>
              </w:rPr>
              <w:t>as headline, but with the coastal and estuarine group removed and the remaining weights renormalised</w:t>
            </w:r>
          </w:p>
        </w:tc>
        <w:tc>
          <w:tcPr>
            <w:tcW w:w="0" w:type="auto"/>
            <w:shd w:val="clear" w:color="auto" w:fill="EAF1F5"/>
          </w:tcPr>
          <w:p w14:paraId="2379AC2F" w14:textId="77777777" w:rsidR="00AE648C" w:rsidRDefault="00000000">
            <w:pPr>
              <w:pStyle w:val="Compact"/>
              <w:spacing w:before="20" w:after="20"/>
            </w:pPr>
            <w:r>
              <w:rPr>
                <w:sz w:val="17"/>
              </w:rPr>
              <w:t>38.5</w:t>
            </w:r>
          </w:p>
        </w:tc>
      </w:tr>
      <w:tr w:rsidR="00AE648C" w14:paraId="30AABC1F" w14:textId="77777777" w:rsidTr="00AE648C">
        <w:tc>
          <w:tcPr>
            <w:tcW w:w="0" w:type="auto"/>
            <w:shd w:val="clear" w:color="auto" w:fill="FFFFFF"/>
          </w:tcPr>
          <w:p w14:paraId="670DCAF4" w14:textId="77777777" w:rsidR="00AE648C" w:rsidRDefault="00000000">
            <w:pPr>
              <w:pStyle w:val="Compact"/>
              <w:spacing w:before="20" w:after="20"/>
            </w:pPr>
            <w:r>
              <w:rPr>
                <w:sz w:val="17"/>
              </w:rPr>
              <w:t>Interpolation curvature, exponent 1.2 to 1.8</w:t>
            </w:r>
          </w:p>
        </w:tc>
        <w:tc>
          <w:tcPr>
            <w:tcW w:w="0" w:type="auto"/>
            <w:shd w:val="clear" w:color="auto" w:fill="FFFFFF"/>
          </w:tcPr>
          <w:p w14:paraId="172FED9A" w14:textId="77777777" w:rsidR="00AE648C" w:rsidRDefault="00000000">
            <w:pPr>
              <w:pStyle w:val="Compact"/>
              <w:spacing w:before="20" w:after="20"/>
            </w:pPr>
            <w:r>
              <w:rPr>
                <w:sz w:val="17"/>
              </w:rPr>
              <w:t>1985 value under alternative curvatures, both ends held fixed</w:t>
            </w:r>
          </w:p>
        </w:tc>
        <w:tc>
          <w:tcPr>
            <w:tcW w:w="0" w:type="auto"/>
            <w:shd w:val="clear" w:color="auto" w:fill="FFFFFF"/>
          </w:tcPr>
          <w:p w14:paraId="24BAE332" w14:textId="77777777" w:rsidR="00AE648C" w:rsidRDefault="00000000">
            <w:pPr>
              <w:pStyle w:val="Compact"/>
              <w:spacing w:before="20" w:after="20"/>
            </w:pPr>
            <w:r>
              <w:rPr>
                <w:sz w:val="17"/>
              </w:rPr>
              <w:t>1985 = 55 to 60</w:t>
            </w:r>
          </w:p>
        </w:tc>
      </w:tr>
      <w:tr w:rsidR="00AE648C" w14:paraId="075CB488" w14:textId="77777777" w:rsidTr="00AE648C">
        <w:tc>
          <w:tcPr>
            <w:tcW w:w="0" w:type="auto"/>
            <w:shd w:val="clear" w:color="auto" w:fill="EAF1F5"/>
          </w:tcPr>
          <w:p w14:paraId="20FFCBA1" w14:textId="77777777" w:rsidR="00AE648C" w:rsidRDefault="00000000">
            <w:pPr>
              <w:pStyle w:val="Compact"/>
              <w:spacing w:before="20" w:after="20"/>
            </w:pPr>
            <w:r>
              <w:rPr>
                <w:sz w:val="17"/>
              </w:rPr>
              <w:t>Interpolation functional form, linear</w:t>
            </w:r>
          </w:p>
        </w:tc>
        <w:tc>
          <w:tcPr>
            <w:tcW w:w="0" w:type="auto"/>
            <w:shd w:val="clear" w:color="auto" w:fill="EAF1F5"/>
          </w:tcPr>
          <w:p w14:paraId="10339537" w14:textId="77777777" w:rsidR="00AE648C" w:rsidRDefault="00000000">
            <w:pPr>
              <w:pStyle w:val="Compact"/>
              <w:spacing w:before="20" w:after="20"/>
            </w:pPr>
            <w:r>
              <w:rPr>
                <w:sz w:val="17"/>
              </w:rPr>
              <w:t>1985 value with a straight line between the same two ends, testing the choice of curve family rather than its parameter</w:t>
            </w:r>
          </w:p>
        </w:tc>
        <w:tc>
          <w:tcPr>
            <w:tcW w:w="0" w:type="auto"/>
            <w:shd w:val="clear" w:color="auto" w:fill="EAF1F5"/>
          </w:tcPr>
          <w:p w14:paraId="25F01B86" w14:textId="77777777" w:rsidR="00AE648C" w:rsidRDefault="00000000">
            <w:pPr>
              <w:pStyle w:val="Compact"/>
              <w:spacing w:before="20" w:after="20"/>
            </w:pPr>
            <w:r>
              <w:rPr>
                <w:sz w:val="17"/>
              </w:rPr>
              <w:t>1985 = 53</w:t>
            </w:r>
          </w:p>
        </w:tc>
      </w:tr>
    </w:tbl>
    <w:p w14:paraId="0A867883" w14:textId="77777777" w:rsidR="00AE648C" w:rsidRDefault="00000000">
      <w:pPr>
        <w:pStyle w:val="BodyText"/>
      </w:pPr>
      <w:r>
        <w:t xml:space="preserve">*Caveats. This approach makes the composite transparent and reproducible, not precise. The importance weights are a stated scheme, not a measured quantity, and the headline is deliberately weighted towards the apex and structural tier; the production-weighted bound shows how tonnage-based weighting differs. Several fractions (molluscs, annelids, and benthos) are assumed where global time series are absent, and the coastal figure </w:t>
      </w:r>
      <w:r>
        <w:rPr>
          <w:vertAlign w:val="superscript"/>
        </w:rPr>
        <w:t>37</w:t>
      </w:r>
      <w:r>
        <w:t xml:space="preserve"> is anchored in estuarine and coastal systems, so applying it ocean-wide leans on the best-documented and most-degraded compartment. The groups also enter with different reference periods: marine mammals are measured from 1850, but sharks and rays from 1970, seabirds from 1950 and reef corals from the 1950s, and each group’s published fraction is applied here as though it ran from the 1850 baseline. That approximation biases the index in one direction only, and it is the conservative one. If a group was already depleted when its record began, then treating its later decline as the whole decline since 1850 assumes a pristine start that did not exist, and the true fraction remaining is smaller than the value used. Oceanic sharks and rays are the clearest case: a 71% loss since 1970 </w:t>
        <w:lastRenderedPageBreak/>
        <w:t>gives 0.29 remaining relative to 1970, and the fraction relative to 1850 must be lower still by whatever amount pre-1970 fishing had already taken. The index therefore overstates what remains for every group whose record starts late, and the headline value should be read as an upper bound on surviving structure rather than a central estimate.</w:t>
      </w:r>
    </w:p>
    <w:p w14:paraId="63C9E86B" w14:textId="77777777" w:rsidR="00AE648C" w:rsidRDefault="00000000">
      <w:pPr>
        <w:pStyle w:val="BodyText"/>
      </w:pPr>
      <w:r>
        <w:t xml:space="preserve">Because that compartment carries the lowest fraction remaining in Table S4 and is the least representative of the open ocean, we tested what happens without it: removing the coastal and estuarine group entirely and renormalising the remaining weights moves the present value from 35.4% to 38.5%, a shift of three percentage points that leaves it well inside the stated 35 to 54% range. The index is therefore not driven by the coastal compartment. We tested the interpolation in the same way. Holding the 1950 and 2023 ends fixed and varying the exponent that sets the curvature from 1.2 to 1.8 moves the 1985 value between 55 and 60, against 57 at the stated exponent of 1.4. Varying the exponent tests a parameter within one family of curves and not the choice of family itself, so we also replaced the power law with simple linear interpolation between the same two ends: that gives a 1985 value of 53, four points below the stated curve. The shape of the trajectory is therefore insensitive both to the curvature parameter and to the choice of functional form, and no conclusion in this paper turns on either. The Arctic Species Trend Index of the Conservation of Arctic Flora and Fauna shows Arctic marine vertebrate abundance mixed to rising against a 1970 baseline </w:t>
      </w:r>
      <w:r>
        <w:rPr>
          <w:vertAlign w:val="superscript"/>
        </w:rPr>
        <w:t>43</w:t>
      </w:r>
      <w:r>
        <w:t xml:space="preserve">, so the loss is presented as concentrated in the apex, structural, calcifier and coastal tiers and in the productive cold zones, not as uniform across all marine animals. The projected decline beyond 2023 is a conditional scenario (Sections 3.5 to 3.7) that requires the productive base itself to fail.*</w:t>
      </w:r>
    </w:p>
    <w:p w14:textId="2563A35F" w:rsidR="00AE648C" w:rsidRDefault="00A15407">
      <w:pPr>
        <w:pStyle w:val="Heading2"/>
      </w:pPr>
      <w:r>
        <w:t xml:space="preserve">Note S4: Authors’ field observations</w:t>
      </w:r>
    </w:p>
    <w:p w14:paraId="43069700" w14:textId="77777777" w:rsidR="00AE648C" w:rsidRDefault="00000000">
      <w:pPr>
        <w:pStyle w:val="FirstParagraph"/>
      </w:pPr>
      <w:r>
        <w:t>The observations in this note are anecdotal. They are recorded because they prompted the work, not because they support it, and no quantitative claim in this paper relies on them.</w:t>
      </w:r>
    </w:p>
    <w:p w14:paraId="6EDBB85C" w14:textId="77777777" w:rsidR="00AE648C" w:rsidRDefault="00000000">
      <w:pPr>
        <w:pStyle w:val="BodyText"/>
      </w:pPr>
      <w:r>
        <w:t xml:space="preserve">Sailing our own boat, Copepod, across the tropical North Atlantic over eighteen days in the winter of 2022, we saw no birds, whales or fish. We encountered extensive mats of Sargassum weed, which the published record places as a post-2010 phenomenon </w:t>
      </w:r>
      <w:r>
        <w:rPr>
          <w:vertAlign w:val="superscript"/>
        </w:rPr>
        <w:t>44</w:t>
      </w:r>
      <w:r>
        <w:t>. Passing through Caribbean fishing ports on the same voyage, our impression was that fresh, locally caught fish had become scarce and that farmed Atlantic salmon, imported from outside the region, was often more readily available. That is an impression formed in a small number of ports and is not a trade or catch statistic, although it runs in the same direction as the documented declines in artisanal catch discussed in Section 2.</w:t>
      </w:r>
    </w:p>
    <w:p w14:paraId="7E3C87B2" w14:textId="77777777" w:rsidR="00AE648C" w:rsidRDefault="00000000">
      <w:pPr>
        <w:pStyle w:val="BodyText"/>
      </w:pPr>
      <w:r>
        <w:t xml:space="preserve">None of this is evidence of the kind used elsewhere in this paper. An absence of sightings is not an absence of animals, a single track is not a survey, and the ports we visited were not sampled systematically. We report the observations because a reader is entitled to know what led two authors to attempt a baseline index in the first place, and because the shifting-baseline problem described in Section 4.4 applies to us as much as to anyone. The quantitative counterpart to the first observation, a multi-vessel transect finding surface zooplankton absent from the great majority of its stations, is reported separately </w:t>
      </w:r>
      <w:r>
        <w:rPr>
          <w:vertAlign w:val="superscript"/>
        </w:rPr>
        <w:t>45</w:t>
      </w:r>
      <w:r>
        <w:t xml:space="preserve"> and is cited in the main text on its own merits.</w:t>
      </w:r>
    </w:p>
    <w:p w14:textId="2563A35F" w:rsidR="00AE648C" w:rsidRDefault="00A15407">
      <w:pPr>
        <w:pStyle w:val="Heading2"/>
      </w:pPr>
      <w:r>
        <w:t xml:space="preserve">References for Additional file 1</w:t>
      </w:r>
    </w:p>
    <w:p w14:paraId="607671D1" w14:textId="77777777" w:rsidR="00AE648C" w:rsidRDefault="00000000">
      <w:pPr>
        <w:numPr>
          <w:ilvl w:val="0"/>
          <w:numId w:val="3"/>
        </w:numPr>
      </w:pPr>
      <w:r>
        <w:t xml:space="preserve">Lange, N. et al. Synthesis Product for Ocean Time Series (SPOTS) – a ship-based biogeochemical pilot. </w:t>
      </w:r>
      <w:r>
        <w:rPr>
          <w:i/>
          <w:iCs/>
        </w:rPr>
        <w:t>Earth System Science Data</w:t>
      </w:r>
      <w:r>
        <w:t xml:space="preserve"> </w:t>
      </w:r>
      <w:r>
        <w:rPr>
          <w:b/>
          <w:bCs/>
        </w:rPr>
        <w:t>16</w:t>
      </w:r>
      <w:r>
        <w:t>, 1901–1931 (2024). https://doi.org/10.5194/essd-16-1901-2024</w:t>
      </w:r>
    </w:p>
    <w:p w14:paraId="10D7BC64" w14:textId="77777777" w:rsidR="00AE648C" w:rsidRDefault="00000000">
      <w:pPr>
        <w:numPr>
          <w:ilvl w:val="0"/>
          <w:numId w:val="3"/>
        </w:numPr>
      </w:pPr>
      <w:r>
        <w:t xml:space="preserve">Lueker, T. J., Dickson, A. G. &amp; Keeling, C. D. Ocean pCO₂ calculated from dissolved inorganic carbon, alkalinity, and equations for K₁ and K₂: validation based on laboratory measurements of CO₂ in gas and seawater at equilibrium. </w:t>
      </w:r>
      <w:r>
        <w:rPr>
          <w:i/>
          <w:iCs/>
        </w:rPr>
        <w:t>Marine Chemistry</w:t>
      </w:r>
      <w:r>
        <w:t xml:space="preserve"> </w:t>
      </w:r>
      <w:r>
        <w:rPr>
          <w:b/>
          <w:bCs/>
        </w:rPr>
        <w:t>70</w:t>
      </w:r>
      <w:r>
        <w:t>, 105–119 (2000). https://doi.org/10.1016/S0304-4203(00)00022-0</w:t>
      </w:r>
    </w:p>
    <w:p w14:paraId="3F630253" w14:textId="77777777" w:rsidR="00AE648C" w:rsidRDefault="00000000">
      <w:pPr>
        <w:numPr>
          <w:ilvl w:val="0"/>
          <w:numId w:val="3"/>
        </w:numPr>
      </w:pPr>
      <w:r>
        <w:t xml:space="preserve">Dickson, A. G. Standard potential of the reaction: AgCl(s) + 0.5H2(g) = Ag(s) + HCl(aq), and the standard acidity constant of the ion HSO4- in synthetic sea water from 273.15 to 318.15 K. </w:t>
      </w:r>
      <w:r>
        <w:rPr>
          <w:i/>
          <w:iCs/>
        </w:rPr>
        <w:t>Journal of Chemical Thermodynamics</w:t>
      </w:r>
      <w:r>
        <w:t xml:space="preserve"> </w:t>
      </w:r>
      <w:r>
        <w:rPr>
          <w:b/>
          <w:bCs/>
        </w:rPr>
        <w:t>22</w:t>
      </w:r>
      <w:r>
        <w:t>, 113–127 (1990). https://doi.org/10.1016/0021-9614(90)90074-Z</w:t>
      </w:r>
    </w:p>
    <w:p w14:paraId="545CF441" w14:textId="77777777" w:rsidR="00AE648C" w:rsidRDefault="00000000">
      <w:pPr>
        <w:numPr>
          <w:ilvl w:val="0"/>
          <w:numId w:val="3"/>
        </w:numPr>
      </w:pPr>
      <w:r>
        <w:t xml:space="preserve">Uppström, L. R. The boron/chlorinity ratio of deep-sea water from the Pacific Ocean. </w:t>
      </w:r>
      <w:r>
        <w:rPr>
          <w:i/>
          <w:iCs/>
        </w:rPr>
        <w:t>Deep-Sea Research and Oceanographic Abstracts</w:t>
      </w:r>
      <w:r>
        <w:t xml:space="preserve"> </w:t>
      </w:r>
      <w:r>
        <w:rPr>
          <w:b/>
          <w:bCs/>
        </w:rPr>
        <w:t>21</w:t>
      </w:r>
      <w:r>
        <w:t>, 161–162 (1974). https://doi.org/10.1016/0011-7471(74)90074-6</w:t>
      </w:r>
    </w:p>
    <w:p w14:paraId="3AF95829" w14:textId="77777777" w:rsidR="00AE648C" w:rsidRDefault="00000000">
      <w:pPr>
        <w:numPr>
          <w:ilvl w:val="0"/>
          <w:numId w:val="3"/>
        </w:numPr>
      </w:pPr>
      <w:r>
        <w:rPr>
          <w:lang w:val="da-DK"/>
        </w:rPr>
        <w:t xml:space="preserve">Lauvset, S. K. et al. </w:t>
      </w:r>
      <w:r>
        <w:t xml:space="preserve">GLODAPv2.2022: the latest version of the global interior ocean biogeochemical data product. </w:t>
      </w:r>
      <w:r>
        <w:rPr>
          <w:i/>
          <w:iCs/>
        </w:rPr>
        <w:t>Earth System Science Data</w:t>
      </w:r>
      <w:r>
        <w:t xml:space="preserve"> </w:t>
      </w:r>
      <w:r>
        <w:rPr>
          <w:b/>
          <w:bCs/>
        </w:rPr>
        <w:t>14</w:t>
      </w:r>
      <w:r>
        <w:t>, 5543–5572 (2022). https://doi.org/10.5194/essd-14-5543-2022</w:t>
      </w:r>
    </w:p>
    <w:p w14:paraId="0AB7F2B1" w14:textId="77777777" w:rsidR="00AE648C" w:rsidRDefault="00000000">
      <w:pPr>
        <w:numPr>
          <w:ilvl w:val="0"/>
          <w:numId w:val="3"/>
        </w:numPr>
      </w:pPr>
      <w:r>
        <w:lastRenderedPageBreak/>
        <w:t xml:space="preserve">Jiang, L.-Q. et al. Coastal Ocean Data Analysis Product in North America (CODAP-NA) – an internally consistent data product for discrete inorganic carbon, oxygen, and nutrients on the North American ocean margins. </w:t>
      </w:r>
      <w:r>
        <w:rPr>
          <w:i/>
          <w:iCs/>
        </w:rPr>
        <w:t>Earth System Science Data</w:t>
      </w:r>
      <w:r>
        <w:t xml:space="preserve"> </w:t>
      </w:r>
      <w:r>
        <w:rPr>
          <w:b/>
          <w:bCs/>
        </w:rPr>
        <w:t>13</w:t>
      </w:r>
      <w:r>
        <w:t>, 2777–2799 (2021). https://doi.org/10.5194/essd-13-2777-2021</w:t>
      </w:r>
    </w:p>
    <w:p w14:paraId="4DE622F4" w14:textId="77777777" w:rsidR="00AE648C" w:rsidRDefault="00000000">
      <w:pPr>
        <w:numPr>
          <w:ilvl w:val="0"/>
          <w:numId w:val="3"/>
        </w:numPr>
      </w:pPr>
      <w:r>
        <w:t xml:space="preserve">Humphreys, M. P., Lewis, E. R., Sharp, J. D. &amp; Pierrot, D. PyCO₂SYS v1.8: marine carbonate system calculations in Python. </w:t>
      </w:r>
      <w:r>
        <w:rPr>
          <w:i/>
          <w:iCs/>
        </w:rPr>
        <w:t>Geoscientific Model Development</w:t>
      </w:r>
      <w:r>
        <w:t xml:space="preserve"> </w:t>
      </w:r>
      <w:r>
        <w:rPr>
          <w:b/>
          <w:bCs/>
        </w:rPr>
        <w:t>15</w:t>
      </w:r>
      <w:r>
        <w:t>, 15–43 (2022). https://doi.org/10.5194/gmd-15-15-2022</w:t>
      </w:r>
    </w:p>
    <w:p w14:paraId="1D22E276" w14:textId="77777777" w:rsidR="00AE648C" w:rsidRDefault="00000000">
      <w:pPr>
        <w:numPr>
          <w:ilvl w:val="0"/>
          <w:numId w:val="3"/>
        </w:numPr>
      </w:pPr>
      <w:r>
        <w:t xml:space="preserve">Orr, J. C., Epitalon, J.-M., Dickson, A. G. &amp; Gattuso, J.-P. Routine uncertainty propagation for the marine carbon dioxide system. </w:t>
      </w:r>
      <w:r>
        <w:rPr>
          <w:i/>
          <w:iCs/>
        </w:rPr>
        <w:t>Marine Chemistry</w:t>
      </w:r>
      <w:r>
        <w:t xml:space="preserve"> </w:t>
      </w:r>
      <w:r>
        <w:rPr>
          <w:b/>
          <w:bCs/>
        </w:rPr>
        <w:t>207</w:t>
      </w:r>
      <w:r>
        <w:t>, 84–107 (2018). https://doi.org/10.1016/j.marchem.2018.10.006</w:t>
      </w:r>
    </w:p>
    <w:p w14:paraId="5E568901" w14:textId="77777777" w:rsidR="00AE648C" w:rsidRDefault="00000000">
      <w:pPr>
        <w:numPr>
          <w:ilvl w:val="0"/>
          <w:numId w:val="3"/>
        </w:numPr>
      </w:pPr>
      <w:r>
        <w:t xml:space="preserve">Sulpis, O., Lauvset, S. K. &amp; Hagens, M. Current estimates of K₁* and K₂* appear inconsistent with measured CO₂ system parameters in cold oceanic regions. </w:t>
      </w:r>
      <w:r>
        <w:rPr>
          <w:i/>
          <w:iCs/>
        </w:rPr>
        <w:t>Ocean Science</w:t>
      </w:r>
      <w:r>
        <w:t xml:space="preserve"> </w:t>
      </w:r>
      <w:r>
        <w:rPr>
          <w:b/>
          <w:bCs/>
        </w:rPr>
        <w:t>16</w:t>
      </w:r>
      <w:r>
        <w:t>, 847–862 (2020). https://doi.org/10.5194/os-16-847-2020</w:t>
      </w:r>
    </w:p>
    <w:p w14:paraId="0D13541B" w14:textId="77777777" w:rsidR="00AE648C" w:rsidRDefault="00000000">
      <w:pPr>
        <w:numPr>
          <w:ilvl w:val="0"/>
          <w:numId w:val="3"/>
        </w:numPr>
      </w:pPr>
      <w:r>
        <w:t xml:space="preserve">Ólafsson, J. et al. Rate of Iceland Sea acidification from time-series measurements. </w:t>
      </w:r>
      <w:r>
        <w:rPr>
          <w:i/>
          <w:iCs/>
        </w:rPr>
        <w:t>Biogeosciences</w:t>
      </w:r>
      <w:r>
        <w:t xml:space="preserve"> </w:t>
      </w:r>
      <w:r>
        <w:rPr>
          <w:b/>
          <w:bCs/>
        </w:rPr>
        <w:t>6</w:t>
      </w:r>
      <w:r>
        <w:t>, 2661–2668 (2009). https://doi.org/10.5194/bg-6-2661-2009</w:t>
      </w:r>
    </w:p>
    <w:p w14:paraId="38D2E349" w14:textId="77777777" w:rsidR="00AE648C" w:rsidRDefault="00000000">
      <w:pPr>
        <w:numPr>
          <w:ilvl w:val="0"/>
          <w:numId w:val="3"/>
        </w:numPr>
      </w:pPr>
      <w:r>
        <w:t>OSPAR. Ocean Acidification thematic assessment. OSPAR Quality Status Report 2023 (OSPAR Commission, London); https://oap.ospar.org/en/ospar-assessments/quality-status-reports/qsr-2023/other-assessments/ocean-acidification/ (2023).</w:t>
      </w:r>
    </w:p>
    <w:p w14:paraId="0FC322D9" w14:textId="77777777" w:rsidR="00AE648C" w:rsidRDefault="00000000">
      <w:pPr>
        <w:numPr>
          <w:ilvl w:val="0"/>
          <w:numId w:val="3"/>
        </w:numPr>
      </w:pPr>
      <w:r>
        <w:t xml:space="preserve">Vance, J. M., Currie, K. C., Suanda, S. H. &amp; Law, C. S. Drivers of seasonal to decadal mixed layer carbon cycle variability in subantarctic water in the Munida Time Series. </w:t>
      </w:r>
      <w:r>
        <w:rPr>
          <w:i/>
          <w:iCs/>
        </w:rPr>
        <w:t>Frontiers in Marine Science</w:t>
      </w:r>
      <w:r>
        <w:t xml:space="preserve"> </w:t>
      </w:r>
      <w:r>
        <w:rPr>
          <w:b/>
          <w:bCs/>
        </w:rPr>
        <w:t>11</w:t>
      </w:r>
      <w:r>
        <w:t>, 1309560 (2024). https://doi.org/10.3389/fmars.2024.1309560</w:t>
      </w:r>
    </w:p>
    <w:p w14:paraId="774AE86A" w14:textId="77777777" w:rsidR="00AE648C" w:rsidRDefault="00000000">
      <w:pPr>
        <w:numPr>
          <w:ilvl w:val="0"/>
          <w:numId w:val="3"/>
        </w:numPr>
      </w:pPr>
      <w:r>
        <w:t xml:space="preserve">Honda, M. C. et al. Comparison of carbon cycle between the western Pacific subarctic and subtropical time-series stations: highlights of the K2S1 project. </w:t>
      </w:r>
      <w:r>
        <w:rPr>
          <w:i/>
          <w:iCs/>
        </w:rPr>
        <w:t>Journal of Oceanography</w:t>
      </w:r>
      <w:r>
        <w:t xml:space="preserve"> </w:t>
      </w:r>
      <w:r>
        <w:rPr>
          <w:b/>
          <w:bCs/>
        </w:rPr>
        <w:t>73</w:t>
      </w:r>
      <w:r>
        <w:t>, 647–667 (2017). https://doi.org/10.1007/s10872-017-0423-3</w:t>
      </w:r>
    </w:p>
    <w:p w14:paraId="398E5844" w14:textId="77777777" w:rsidR="00AE648C" w:rsidRDefault="00000000">
      <w:pPr>
        <w:numPr>
          <w:ilvl w:val="0"/>
          <w:numId w:val="3"/>
        </w:numPr>
      </w:pPr>
      <w:r>
        <w:t xml:space="preserve">Sutton, A. J. et al. Using present-day observations to detect when anthropogenic change forces surface ocean carbonate chemistry outside preindustrial bounds. </w:t>
      </w:r>
      <w:r>
        <w:rPr>
          <w:i/>
          <w:iCs/>
        </w:rPr>
        <w:t>Biogeosciences</w:t>
      </w:r>
      <w:r>
        <w:t xml:space="preserve"> </w:t>
      </w:r>
      <w:r>
        <w:rPr>
          <w:b/>
          <w:bCs/>
        </w:rPr>
        <w:t>13</w:t>
      </w:r>
      <w:r>
        <w:t>, 5065–5083 (2016). https://doi.org/10.5194/bg-13-5065-2016</w:t>
      </w:r>
    </w:p>
    <w:p w14:paraId="24DCF4FB" w14:textId="77777777" w:rsidR="00AE648C" w:rsidRDefault="00000000">
      <w:pPr>
        <w:numPr>
          <w:ilvl w:val="0"/>
          <w:numId w:val="3"/>
        </w:numPr>
      </w:pPr>
      <w:r>
        <w:t xml:space="preserve">Bates, N. R. &amp; Mathis, J. T. The Arctic Ocean marine carbon cycle: evaluation of air-sea CO₂ exchanges, ocean acidification impacts and potential feedbacks. </w:t>
      </w:r>
      <w:r>
        <w:rPr>
          <w:i/>
          <w:iCs/>
        </w:rPr>
        <w:t>Biogeosciences</w:t>
      </w:r>
      <w:r>
        <w:t xml:space="preserve"> </w:t>
      </w:r>
      <w:r>
        <w:rPr>
          <w:b/>
          <w:bCs/>
        </w:rPr>
        <w:t>6</w:t>
      </w:r>
      <w:r>
        <w:t>, 2433–2459 (2009). https://doi.org/10.5194/bg-6-2433-2009</w:t>
      </w:r>
    </w:p>
    <w:p w14:paraId="4BAF1793" w14:textId="77777777" w:rsidR="00AE648C" w:rsidRDefault="00000000">
      <w:pPr>
        <w:numPr>
          <w:ilvl w:val="0"/>
          <w:numId w:val="3"/>
        </w:numPr>
      </w:pPr>
      <w:r>
        <w:t xml:space="preserve">Bates, N. R., Mathis, J. T. &amp; Cooper, L. W. Ocean acidification and biologically induced seasonality of carbonate mineral saturation states in the western Arctic Ocean. </w:t>
      </w:r>
      <w:r>
        <w:rPr>
          <w:i/>
          <w:iCs/>
        </w:rPr>
        <w:t>Journal of Geophysical Research: Oceans</w:t>
      </w:r>
      <w:r>
        <w:t xml:space="preserve"> </w:t>
      </w:r>
      <w:r>
        <w:rPr>
          <w:b/>
          <w:bCs/>
        </w:rPr>
        <w:t>114</w:t>
      </w:r>
      <w:r>
        <w:t>, C11007 (2009). https://doi.org/10.1029/2008JC004862</w:t>
      </w:r>
    </w:p>
    <w:p w14:paraId="17284CCE" w14:textId="77777777" w:rsidR="00AE648C" w:rsidRDefault="00000000">
      <w:pPr>
        <w:numPr>
          <w:ilvl w:val="0"/>
          <w:numId w:val="3"/>
        </w:numPr>
      </w:pPr>
      <w:r>
        <w:t xml:space="preserve">Shadwick, E. H., Trull, T. W., Thomas, H. &amp; Gibson, J. A. E. Vulnerability of polar oceans to anthropogenic acidification: comparison of Arctic and Antarctic seasonal cycles. </w:t>
      </w:r>
      <w:r>
        <w:rPr>
          <w:i/>
          <w:iCs/>
        </w:rPr>
        <w:t>Scientific Reports</w:t>
      </w:r>
      <w:r>
        <w:t xml:space="preserve"> </w:t>
      </w:r>
      <w:r>
        <w:rPr>
          <w:b/>
          <w:bCs/>
        </w:rPr>
        <w:t>3</w:t>
      </w:r>
      <w:r>
        <w:t>, 2339 (2013). https://doi.org/10.1038/srep02339</w:t>
      </w:r>
    </w:p>
    <w:p w14:paraId="00172B9E" w14:textId="77777777" w:rsidR="00AE648C" w:rsidRDefault="00000000">
      <w:pPr>
        <w:numPr>
          <w:ilvl w:val="0"/>
          <w:numId w:val="3"/>
        </w:numPr>
      </w:pPr>
      <w:r>
        <w:t xml:space="preserve">Feely, R. A. et al. Evidence for upwelling of corrosive “acidified” water onto the continental shelf. </w:t>
      </w:r>
      <w:r>
        <w:rPr>
          <w:i/>
          <w:iCs/>
        </w:rPr>
        <w:t>Science</w:t>
      </w:r>
      <w:r>
        <w:t xml:space="preserve"> </w:t>
      </w:r>
      <w:r>
        <w:rPr>
          <w:b/>
          <w:bCs/>
        </w:rPr>
        <w:t>320</w:t>
      </w:r>
      <w:r>
        <w:t>, 1490–1492 (2008). https://doi.org/10.1126/science.1155676</w:t>
      </w:r>
    </w:p>
    <w:p w14:paraId="13F10965" w14:textId="77777777" w:rsidR="00AE648C" w:rsidRDefault="00000000">
      <w:pPr>
        <w:numPr>
          <w:ilvl w:val="0"/>
          <w:numId w:val="3"/>
        </w:numPr>
      </w:pPr>
      <w:r>
        <w:lastRenderedPageBreak/>
        <w:t xml:space="preserve">Chavez, F. P., Ryan, J., Lluch-Cota, S. E. &amp; Ñiquen, M. From anchovies to sardines and back: multidecadal change in the Pacific Ocean. </w:t>
      </w:r>
      <w:r>
        <w:rPr>
          <w:i/>
          <w:iCs/>
        </w:rPr>
        <w:t>Science</w:t>
      </w:r>
      <w:r>
        <w:t xml:space="preserve"> </w:t>
      </w:r>
      <w:r>
        <w:rPr>
          <w:b/>
          <w:bCs/>
        </w:rPr>
        <w:t>299</w:t>
      </w:r>
      <w:r>
        <w:t>, 217–221 (2003). https://doi.org/10.1126/science.1075880</w:t>
      </w:r>
    </w:p>
    <w:p w14:paraId="004DFE0B" w14:textId="77777777" w:rsidR="00AE648C" w:rsidRDefault="00000000">
      <w:pPr>
        <w:numPr>
          <w:ilvl w:val="0"/>
          <w:numId w:val="3"/>
        </w:numPr>
      </w:pPr>
      <w:r>
        <w:t xml:space="preserve">Hofmann Elizondo, U. et al. The impact of aragonite saturation variability on shelled pteropods: an attribution study in the California Current System. </w:t>
      </w:r>
      <w:r>
        <w:rPr>
          <w:i/>
          <w:iCs/>
        </w:rPr>
        <w:t>Global Change Biology</w:t>
      </w:r>
      <w:r>
        <w:t xml:space="preserve"> </w:t>
      </w:r>
      <w:r>
        <w:rPr>
          <w:b/>
          <w:bCs/>
        </w:rPr>
        <w:t>30</w:t>
      </w:r>
      <w:r>
        <w:t>, e17345 (2024). https://doi.org/10.1111/gcb.17345</w:t>
      </w:r>
    </w:p>
    <w:p w14:paraId="210215A0" w14:textId="77777777" w:rsidR="00AE648C" w:rsidRDefault="00000000">
      <w:pPr>
        <w:numPr>
          <w:ilvl w:val="0"/>
          <w:numId w:val="3"/>
        </w:numPr>
      </w:pPr>
      <w:r>
        <w:t xml:space="preserve">McNeil, B. I. &amp; Matear, R. J. Southern Ocean acidification: a tipping point at 450-ppm atmospheric CO₂. </w:t>
      </w:r>
      <w:r>
        <w:rPr>
          <w:i/>
          <w:iCs/>
        </w:rPr>
        <w:t>Proc. Natl Acad. Sci. USA</w:t>
      </w:r>
      <w:r>
        <w:t xml:space="preserve"> </w:t>
      </w:r>
      <w:r>
        <w:rPr>
          <w:b/>
          <w:bCs/>
        </w:rPr>
        <w:t>105</w:t>
      </w:r>
      <w:r>
        <w:t>, 18860–18864 (2008). https://doi.org/10.1073/pnas.0806318105</w:t>
      </w:r>
    </w:p>
    <w:p w14:paraId="398AB3F9" w14:textId="77777777" w:rsidR="00AE648C" w:rsidRDefault="00000000">
      <w:pPr>
        <w:numPr>
          <w:ilvl w:val="0"/>
          <w:numId w:val="3"/>
        </w:numPr>
      </w:pPr>
      <w:r>
        <w:t xml:space="preserve">Ma, D., Gregor, L. &amp; Gruber, N. Four decades of trends and drivers of global surface ocean acidification. </w:t>
      </w:r>
      <w:r>
        <w:rPr>
          <w:i/>
          <w:iCs/>
        </w:rPr>
        <w:t>Global Biogeochemical Cycles</w:t>
      </w:r>
      <w:r>
        <w:t xml:space="preserve"> </w:t>
      </w:r>
      <w:r>
        <w:rPr>
          <w:b/>
          <w:bCs/>
        </w:rPr>
        <w:t>37</w:t>
      </w:r>
      <w:r>
        <w:t>, e2023GB007765 (2023). https://doi.org/10.1029/2023GB007765</w:t>
      </w:r>
    </w:p>
    <w:p w14:paraId="00105BDE" w14:textId="77777777" w:rsidR="00AE648C" w:rsidRDefault="00000000">
      <w:pPr>
        <w:numPr>
          <w:ilvl w:val="0"/>
          <w:numId w:val="3"/>
        </w:numPr>
      </w:pPr>
      <w:r>
        <w:t xml:space="preserve">Gregor, L. &amp; Gruber, N. OceanSODA-ETHZ: a global gridded data set of the surface ocean carbonate system for seasonal to decadal studies of ocean acidification. </w:t>
      </w:r>
      <w:r>
        <w:rPr>
          <w:i/>
          <w:iCs/>
        </w:rPr>
        <w:t>Earth System Science Data</w:t>
      </w:r>
      <w:r>
        <w:t xml:space="preserve"> </w:t>
      </w:r>
      <w:r>
        <w:rPr>
          <w:b/>
          <w:bCs/>
        </w:rPr>
        <w:t>13</w:t>
      </w:r>
      <w:r>
        <w:t>, 777–808 (2021). https://doi.org/10.5194/essd-13-777-2021</w:t>
      </w:r>
    </w:p>
    <w:p w14:paraId="68046984" w14:textId="77777777" w:rsidR="00AE648C" w:rsidRDefault="00000000">
      <w:pPr>
        <w:numPr>
          <w:ilvl w:val="0"/>
          <w:numId w:val="3"/>
        </w:numPr>
      </w:pPr>
      <w:r>
        <w:t xml:space="preserve">Sharp, J. D. et al. A mapped dataset of surface ocean acidification indicators in large marine ecosystems of the United States. </w:t>
      </w:r>
      <w:r>
        <w:rPr>
          <w:i/>
          <w:iCs/>
        </w:rPr>
        <w:t>Scientific Data</w:t>
      </w:r>
      <w:r>
        <w:t xml:space="preserve"> </w:t>
      </w:r>
      <w:r>
        <w:rPr>
          <w:b/>
          <w:bCs/>
        </w:rPr>
        <w:t>11</w:t>
      </w:r>
      <w:r>
        <w:t>, 715 (2024). https://doi.org/10.1038/s41597-024-03530-7</w:t>
      </w:r>
    </w:p>
    <w:p w14:paraId="0C50E52E" w14:textId="77777777" w:rsidR="00AE648C" w:rsidRDefault="00000000">
      <w:pPr>
        <w:numPr>
          <w:ilvl w:val="0"/>
          <w:numId w:val="3"/>
        </w:numPr>
      </w:pPr>
      <w:r>
        <w:rPr>
          <w:lang w:val="da-DK"/>
        </w:rPr>
        <w:t xml:space="preserve">Bakker, D. C. E. et al. </w:t>
      </w:r>
      <w:r>
        <w:t xml:space="preserve">A multi-decade record of high-quality fCO₂ data in version 3 of the Surface Ocean CO₂ Atlas (SOCAT). </w:t>
      </w:r>
      <w:r>
        <w:rPr>
          <w:i/>
          <w:iCs/>
        </w:rPr>
        <w:t>Earth System Science Data</w:t>
      </w:r>
      <w:r>
        <w:t xml:space="preserve"> </w:t>
      </w:r>
      <w:r>
        <w:rPr>
          <w:b/>
          <w:bCs/>
        </w:rPr>
        <w:t>8</w:t>
      </w:r>
      <w:r>
        <w:t>, 383–413 (2016). https://doi.org/10.5194/essd-8-383-2016</w:t>
      </w:r>
    </w:p>
    <w:p w14:paraId="1674C704" w14:textId="77777777" w:rsidR="00AE648C" w:rsidRDefault="00000000">
      <w:pPr>
        <w:numPr>
          <w:ilvl w:val="0"/>
          <w:numId w:val="3"/>
        </w:numPr>
      </w:pPr>
      <w:r>
        <w:t xml:space="preserve">Djeutchouang, L. M., Chang, N., Gregor, L., Vichi, M. &amp; Monteiro, P. M. S. The sensitivity of pCO₂ reconstructions to sampling scales across a Southern Ocean sub-domain: a semi-idealized ocean sampling simulation approach. </w:t>
      </w:r>
      <w:r>
        <w:rPr>
          <w:i/>
          <w:iCs/>
        </w:rPr>
        <w:t>Biogeosciences</w:t>
      </w:r>
      <w:r>
        <w:t xml:space="preserve"> </w:t>
      </w:r>
      <w:r>
        <w:rPr>
          <w:b/>
          <w:bCs/>
        </w:rPr>
        <w:t>19</w:t>
      </w:r>
      <w:r>
        <w:t>, 4171–4195 (2022). https://doi.org/10.5194/bg-19-4171-2022</w:t>
      </w:r>
    </w:p>
    <w:p w14:paraId="1903ABDD" w14:textId="77777777" w:rsidR="00AE648C" w:rsidRDefault="00000000">
      <w:pPr>
        <w:numPr>
          <w:ilvl w:val="0"/>
          <w:numId w:val="3"/>
        </w:numPr>
      </w:pPr>
      <w:r>
        <w:t xml:space="preserve">Irigoien, X. et al. Large mesopelagic fishes biomass and trophic efficiency in the open ocean. </w:t>
      </w:r>
      <w:r>
        <w:rPr>
          <w:i/>
          <w:iCs/>
        </w:rPr>
        <w:t>Nature Communications</w:t>
      </w:r>
      <w:r>
        <w:t xml:space="preserve"> </w:t>
      </w:r>
      <w:r>
        <w:rPr>
          <w:b/>
          <w:bCs/>
        </w:rPr>
        <w:t>5</w:t>
      </w:r>
      <w:r>
        <w:t>, 3271 (2014). https://doi.org/10.1038/ncomms4271</w:t>
      </w:r>
    </w:p>
    <w:p w14:textId="77777777" w:rsidR="00AE648C" w:rsidRDefault="00000000">
      <w:pPr>
        <w:numPr>
          <w:ilvl w:val="0"/>
          <w:numId w:val="3"/>
        </w:numPr>
      </w:pPr>
      <w:r>
        <w:t xml:space="preserve">Feely, R. A. et al. Impact of anthropogenic CO2 on the CaCO3 system in the oceans. Science 305, 362–366 (2004). https://doi.org/10.1126/science.1097329</w:t>
      </w:r>
    </w:p>
    <w:p w14:textId="77777777" w:rsidR="00AE648C" w:rsidRDefault="00000000">
      <w:pPr>
        <w:numPr>
          <w:ilvl w:val="0"/>
          <w:numId w:val="3"/>
        </w:numPr>
      </w:pPr>
      <w:r>
        <w:t xml:space="preserve">Hidalgo, M. &amp; Browman, H. I. Developing the knowledge base needed to sustainably manage mesopelagic resources. ICES Journal of Marine Science 76, 609–615 (2019). https://doi.org/10.1093/icesjms/fsz067</w:t>
      </w:r>
    </w:p>
    <w:p w14:paraId="3131F74F" w14:textId="77777777" w:rsidR="00AE648C" w:rsidRDefault="00000000">
      <w:pPr>
        <w:numPr>
          <w:ilvl w:val="0"/>
          <w:numId w:val="3"/>
        </w:numPr>
      </w:pPr>
      <w:r>
        <w:t xml:space="preserve">McCauley, D. J., Pinsky, M. L., Palumbi, S. R., Estes, J. A., Joyce, F. H. &amp; Warner, R. R. Marine defaunation: animal loss in the global ocean. </w:t>
      </w:r>
      <w:r>
        <w:rPr>
          <w:i/>
          <w:iCs/>
        </w:rPr>
        <w:t>Science</w:t>
      </w:r>
      <w:r>
        <w:t xml:space="preserve"> </w:t>
      </w:r>
      <w:r>
        <w:rPr>
          <w:b/>
          <w:bCs/>
        </w:rPr>
        <w:t>347</w:t>
      </w:r>
      <w:r>
        <w:t>, 1255641 (2015). https://doi.org/10.1126/science.1255641</w:t>
      </w:r>
    </w:p>
    <w:p w14:paraId="6A6A97D2" w14:textId="77777777" w:rsidR="00AE648C" w:rsidRDefault="00000000">
      <w:pPr>
        <w:numPr>
          <w:ilvl w:val="0"/>
          <w:numId w:val="3"/>
        </w:numPr>
      </w:pPr>
      <w:r>
        <w:lastRenderedPageBreak/>
        <w:t xml:space="preserve">Bar-On, Y. M., Phillips, R. &amp; Milo, R. The biomass distribution on Earth. </w:t>
      </w:r>
      <w:r>
        <w:rPr>
          <w:i/>
          <w:iCs/>
        </w:rPr>
        <w:t>Proc. Natl Acad. Sci. USA</w:t>
      </w:r>
      <w:r>
        <w:t xml:space="preserve"> </w:t>
      </w:r>
      <w:r>
        <w:rPr>
          <w:b/>
          <w:bCs/>
        </w:rPr>
        <w:t>115</w:t>
      </w:r>
      <w:r>
        <w:t>, 6506–6511 (2018). https://doi.org/10.1073/pnas.1711842115</w:t>
      </w:r>
    </w:p>
    <w:p w14:paraId="552E5545" w14:textId="77777777" w:rsidR="00AE648C" w:rsidRPr="000E5236" w:rsidRDefault="00000000">
      <w:pPr>
        <w:numPr>
          <w:ilvl w:val="0"/>
          <w:numId w:val="3"/>
        </w:numPr>
        <w:rPr>
          <w:lang w:val="fr-FR"/>
        </w:rPr>
      </w:pPr>
      <w:r>
        <w:t xml:space="preserve">Greenspoon, L. et al. The global biomass of mammals since 1850. </w:t>
      </w:r>
      <w:r>
        <w:rPr>
          <w:i/>
          <w:iCs/>
          <w:lang w:val="fr-FR"/>
        </w:rPr>
        <w:t>Nature Communications</w:t>
      </w:r>
      <w:r>
        <w:rPr>
          <w:lang w:val="fr-FR"/>
        </w:rPr>
        <w:t xml:space="preserve"> </w:t>
      </w:r>
      <w:r>
        <w:rPr>
          <w:b/>
          <w:bCs/>
          <w:lang w:val="fr-FR"/>
        </w:rPr>
        <w:t>16</w:t>
      </w:r>
      <w:r>
        <w:rPr>
          <w:lang w:val="fr-FR"/>
        </w:rPr>
        <w:t>, 8338 (2025). https://doi.org/10.1038/s41467-025-63888-z</w:t>
      </w:r>
    </w:p>
    <w:p w14:paraId="20D5AABC" w14:textId="77777777" w:rsidR="00AE648C" w:rsidRDefault="00000000">
      <w:pPr>
        <w:numPr>
          <w:ilvl w:val="0"/>
          <w:numId w:val="3"/>
        </w:numPr>
      </w:pPr>
      <w:r>
        <w:t xml:space="preserve">Christensen, V., Coll, M., Piroddi, C., Steenbeek, J., Buszowski, J. &amp; Pauly, D. A century of fish biomass decline in the ocean. </w:t>
      </w:r>
      <w:r>
        <w:rPr>
          <w:i/>
          <w:iCs/>
        </w:rPr>
        <w:t>Marine Ecology Progress Series</w:t>
      </w:r>
      <w:r>
        <w:t xml:space="preserve"> </w:t>
      </w:r>
      <w:r>
        <w:rPr>
          <w:b/>
          <w:bCs/>
        </w:rPr>
        <w:t>512</w:t>
      </w:r>
      <w:r>
        <w:t>, 155–166 (2014). https://doi.org/10.3354/meps10946</w:t>
      </w:r>
    </w:p>
    <w:p w14:paraId="3A023EC1" w14:textId="77777777" w:rsidR="00AE648C" w:rsidRDefault="00000000">
      <w:pPr>
        <w:numPr>
          <w:ilvl w:val="0"/>
          <w:numId w:val="3"/>
        </w:numPr>
      </w:pPr>
      <w:r>
        <w:t xml:space="preserve">Pacoureau, N. et al. Half a century of global decline in oceanic sharks and rays. </w:t>
      </w:r>
      <w:r>
        <w:rPr>
          <w:i/>
          <w:iCs/>
        </w:rPr>
        <w:t>Nature</w:t>
      </w:r>
      <w:r>
        <w:t xml:space="preserve"> </w:t>
      </w:r>
      <w:r>
        <w:rPr>
          <w:b/>
          <w:bCs/>
        </w:rPr>
        <w:t>589</w:t>
      </w:r>
      <w:r>
        <w:t>, 567–571 (2021). https://doi.org/10.1038/s41586-020-03173-9</w:t>
      </w:r>
    </w:p>
    <w:p w14:paraId="032E552C" w14:textId="77777777" w:rsidR="00AE648C" w:rsidRDefault="00000000">
      <w:pPr>
        <w:numPr>
          <w:ilvl w:val="0"/>
          <w:numId w:val="3"/>
        </w:numPr>
      </w:pPr>
      <w:r>
        <w:t xml:space="preserve">Paleczny, M., Hammill, E., Karpouzi, V. &amp; Pauly, D. Population trend of the world’s monitored seabirds, 1950-2010. </w:t>
      </w:r>
      <w:r>
        <w:rPr>
          <w:i/>
          <w:iCs/>
        </w:rPr>
        <w:t>PLOS ONE</w:t>
      </w:r>
      <w:r>
        <w:t xml:space="preserve"> </w:t>
      </w:r>
      <w:r>
        <w:rPr>
          <w:b/>
          <w:bCs/>
        </w:rPr>
        <w:t>10</w:t>
      </w:r>
      <w:r>
        <w:t>, e0129342 (2015). https://doi.org/10.1371/journal.pone.0129342</w:t>
      </w:r>
    </w:p>
    <w:p w14:paraId="698116A6" w14:textId="77777777" w:rsidR="00AE648C" w:rsidRDefault="00000000">
      <w:pPr>
        <w:numPr>
          <w:ilvl w:val="0"/>
          <w:numId w:val="3"/>
        </w:numPr>
      </w:pPr>
      <w:r>
        <w:rPr>
          <w:lang w:val="da-DK"/>
        </w:rPr>
        <w:t xml:space="preserve">Eddy, T. D. et al. </w:t>
      </w:r>
      <w:r>
        <w:t xml:space="preserve">Global decline in capacity of coral reefs to provide ecosystem services. </w:t>
      </w:r>
      <w:r>
        <w:rPr>
          <w:i/>
          <w:iCs/>
        </w:rPr>
        <w:t>One Earth</w:t>
      </w:r>
      <w:r>
        <w:t xml:space="preserve"> </w:t>
      </w:r>
      <w:r>
        <w:rPr>
          <w:b/>
          <w:bCs/>
        </w:rPr>
        <w:t>4</w:t>
      </w:r>
      <w:r>
        <w:t>, 1278–1285 (2021). https://doi.org/10.1016/j.oneear.2021.08.016</w:t>
      </w:r>
    </w:p>
    <w:p w14:paraId="6E223401" w14:textId="77777777" w:rsidR="00AE648C" w:rsidRDefault="00000000">
      <w:pPr>
        <w:numPr>
          <w:ilvl w:val="0"/>
          <w:numId w:val="3"/>
        </w:numPr>
      </w:pPr>
      <w:r>
        <w:t xml:space="preserve">Lotze, H. K., Lenihan, H. S., Bourque, B. J., Bradbury, R. H., Cooke, R. G., Kay, M. C., Kidwell, S. M., Kirby, M. X., Peterson, C. H. &amp; Jackson, J. B. C. Depletion, degradation, and recovery potential of estuaries and coastal seas. </w:t>
      </w:r>
      <w:r>
        <w:rPr>
          <w:i/>
          <w:iCs/>
        </w:rPr>
        <w:t>Science</w:t>
      </w:r>
      <w:r>
        <w:t xml:space="preserve"> </w:t>
      </w:r>
      <w:r>
        <w:rPr>
          <w:b/>
          <w:bCs/>
        </w:rPr>
        <w:t>312</w:t>
      </w:r>
      <w:r>
        <w:t>, 1806–1809 (2006). https://doi.org/10.1126/science.1128035</w:t>
      </w:r>
    </w:p>
    <w:p w14:paraId="23863168" w14:textId="77777777" w:rsidR="00AE648C" w:rsidRDefault="00000000">
      <w:pPr>
        <w:numPr>
          <w:ilvl w:val="0"/>
          <w:numId w:val="3"/>
        </w:numPr>
      </w:pPr>
      <w:r>
        <w:t xml:space="preserve">Beck, M. W. et al. Oyster reefs at risk and recommendations for conservation, restoration, and management. </w:t>
      </w:r>
      <w:r>
        <w:rPr>
          <w:i/>
          <w:iCs/>
        </w:rPr>
        <w:t>BioScience</w:t>
      </w:r>
      <w:r>
        <w:t xml:space="preserve"> </w:t>
      </w:r>
      <w:r>
        <w:rPr>
          <w:b/>
          <w:bCs/>
        </w:rPr>
        <w:t>61</w:t>
      </w:r>
      <w:r>
        <w:t>, 107–116 (2011). https://doi.org/10.1525/bio.2011.61.2.5</w:t>
      </w:r>
    </w:p>
    <w:p w14:paraId="5C055F85" w14:textId="77777777" w:rsidR="00AE648C" w:rsidRDefault="00000000">
      <w:pPr>
        <w:numPr>
          <w:ilvl w:val="0"/>
          <w:numId w:val="3"/>
        </w:numPr>
      </w:pPr>
      <w:r>
        <w:t xml:space="preserve">Edwards, M. et al. North Atlantic warming over six decades drives decreases in krill abundance with no associated range shift. </w:t>
      </w:r>
      <w:r>
        <w:rPr>
          <w:i/>
          <w:iCs/>
        </w:rPr>
        <w:t>Communications Biology</w:t>
      </w:r>
      <w:r>
        <w:t xml:space="preserve"> </w:t>
      </w:r>
      <w:r>
        <w:rPr>
          <w:b/>
          <w:bCs/>
        </w:rPr>
        <w:t>4</w:t>
      </w:r>
      <w:r>
        <w:t>, 644 (2021). https://doi.org/10.1038/s42003-021-02159-1</w:t>
      </w:r>
    </w:p>
    <w:p w14:paraId="1495FC8A" w14:textId="77777777" w:rsidR="00AE648C" w:rsidRDefault="00000000">
      <w:pPr>
        <w:numPr>
          <w:ilvl w:val="0"/>
          <w:numId w:val="3"/>
        </w:numPr>
      </w:pPr>
      <w:r>
        <w:rPr>
          <w:lang w:val="fr-FR"/>
        </w:rPr>
        <w:t xml:space="preserve">Condon, R. H. et al. </w:t>
      </w:r>
      <w:r>
        <w:t xml:space="preserve">Questioning the rise of gelatinous zooplankton in the world’s oceans. </w:t>
      </w:r>
      <w:r>
        <w:rPr>
          <w:i/>
          <w:iCs/>
        </w:rPr>
        <w:t>BioScience</w:t>
      </w:r>
      <w:r>
        <w:t xml:space="preserve"> </w:t>
      </w:r>
      <w:r>
        <w:rPr>
          <w:b/>
          <w:bCs/>
        </w:rPr>
        <w:t>62</w:t>
      </w:r>
      <w:r>
        <w:t>, 160–169 (2012). https://doi.org/10.1525/bio.2012.62.2.9</w:t>
      </w:r>
    </w:p>
    <w:p w14:paraId="0C8E2D21" w14:textId="77777777" w:rsidR="00AE648C" w:rsidRDefault="00000000">
      <w:pPr>
        <w:numPr>
          <w:ilvl w:val="0"/>
          <w:numId w:val="3"/>
        </w:numPr>
      </w:pPr>
      <w:r>
        <w:t xml:space="preserve">Fox, L., Stukins, S., Hill, T. &amp; Miller, C. G. Quantifying the effect of anthropogenic climate change on calcifying plankton. </w:t>
      </w:r>
      <w:r>
        <w:rPr>
          <w:i/>
          <w:iCs/>
        </w:rPr>
        <w:t>Scientific Reports</w:t>
      </w:r>
      <w:r>
        <w:t xml:space="preserve"> </w:t>
      </w:r>
      <w:r>
        <w:rPr>
          <w:b/>
          <w:bCs/>
        </w:rPr>
        <w:t>10</w:t>
      </w:r>
      <w:r>
        <w:t>, 1620 (2020). https://doi.org/10.1038/s41598-020-58501-w</w:t>
      </w:r>
    </w:p>
    <w:p w14:paraId="72E323CA" w14:textId="77777777" w:rsidR="00AE648C" w:rsidRDefault="00000000">
      <w:pPr>
        <w:numPr>
          <w:ilvl w:val="0"/>
          <w:numId w:val="3"/>
        </w:numPr>
      </w:pPr>
      <w:r>
        <w:rPr>
          <w:lang w:val="da-DK"/>
        </w:rPr>
        <w:t xml:space="preserve">Balch, W. M. et al. </w:t>
      </w:r>
      <w:r>
        <w:t xml:space="preserve">Changing hydrographic, biogeochemical, and acidification properties in the Gulf of Maine as measured by the Gulf of Maine North Atlantic Time Series, GNATS, between 1998 and 2018. </w:t>
      </w:r>
      <w:r>
        <w:rPr>
          <w:i/>
          <w:iCs/>
        </w:rPr>
        <w:t>Journal of Geophysical Research: Biogeosciences</w:t>
      </w:r>
      <w:r>
        <w:t xml:space="preserve"> </w:t>
      </w:r>
      <w:r>
        <w:rPr>
          <w:b/>
          <w:bCs/>
        </w:rPr>
        <w:t>127</w:t>
      </w:r>
      <w:r>
        <w:t>, e2022JG006790 (2022). https://doi.org/10.1029/2022JG006790</w:t>
      </w:r>
    </w:p>
    <w:p w14:textId="77777777" w:rsidR="00AE648C" w:rsidRDefault="00000000">
      <w:pPr>
        <w:numPr>
          <w:ilvl w:val="0"/>
          <w:numId w:val="3"/>
        </w:numPr>
      </w:pPr>
      <w:r>
        <w:t xml:space="preserve">McRae, L., Deinet, S., Gill, M. &amp; Collen, B. Tracking Trends in Arctic Marine Populations. CAFF Assessment Series No. 7 (Conservation of Arctic Flora and Fauna, Akureyri, 2012).</w:t>
      </w:r>
    </w:p>
    <w:p w14:paraId="1120501A" w14:textId="77777777" w:rsidR="00AE648C" w:rsidRPr="000E5236" w:rsidRDefault="00000000">
      <w:pPr>
        <w:numPr>
          <w:ilvl w:val="0"/>
          <w:numId w:val="3"/>
        </w:numPr>
        <w:rPr>
          <w:lang w:val="fr-FR"/>
        </w:rPr>
      </w:pPr>
      <w:r>
        <w:t xml:space="preserve">Wang, M. et al. The great Atlantic Sargassum belt. </w:t>
      </w:r>
      <w:r>
        <w:rPr>
          <w:i/>
          <w:iCs/>
          <w:lang w:val="fr-FR"/>
        </w:rPr>
        <w:t>Science</w:t>
      </w:r>
      <w:r>
        <w:rPr>
          <w:lang w:val="fr-FR"/>
        </w:rPr>
        <w:t xml:space="preserve"> </w:t>
      </w:r>
      <w:r>
        <w:rPr>
          <w:b/>
          <w:bCs/>
          <w:lang w:val="fr-FR"/>
        </w:rPr>
        <w:t>365</w:t>
      </w:r>
      <w:r>
        <w:rPr>
          <w:lang w:val="fr-FR"/>
        </w:rPr>
        <w:t>, 83–87 (2019). https://doi.org/10.1126/science.aaw7912</w:t>
      </w:r>
    </w:p>
    <w:p w14:paraId="6AE2AF8B" w14:textId="77777777" w:rsidR="00AE648C" w:rsidRDefault="00000000">
      <w:pPr>
        <w:numPr>
          <w:ilvl w:val="0"/>
          <w:numId w:val="3"/>
        </w:numPr>
      </w:pPr>
      <w:r>
        <w:t>Dryden, H. &amp; Duncan, D. Near-absence of surface zooplankton and pervasive anthropogenic particles along a zonal North Atlantic transect: a multi-vessel citizen-science image survey. EGUsphere https://doi.org/10.5194/egusphere-2026-3979 (2026) (preprint).</w:t>
      </w:r>
    </w:p>
    <w:sectPr w:rsidR="00AE648C">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D0E960" w14:textId="77777777" w:rsidR="00F3624F" w:rsidRDefault="00F3624F">
      <w:pPr>
        <w:spacing w:after="0"/>
      </w:pPr>
      <w:r>
        <w:separator/>
      </w:r>
    </w:p>
  </w:endnote>
  <w:endnote w:type="continuationSeparator" w:id="0">
    <w:p w14:paraId="29464F12" w14:textId="77777777" w:rsidR="00F3624F" w:rsidRDefault="00F3624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610B87" w14:textId="77777777" w:rsidR="00F3624F" w:rsidRDefault="00F3624F">
      <w:r>
        <w:separator/>
      </w:r>
    </w:p>
  </w:footnote>
  <w:footnote w:type="continuationSeparator" w:id="0">
    <w:p w14:paraId="58F145F6" w14:textId="77777777" w:rsidR="00F3624F" w:rsidRDefault="00F362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0"/>
    <w:multiLevelType w:val="multilevel"/>
    <w:tmpl w:val="04D22EDA"/>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A99411"/>
    <w:multiLevelType w:val="multilevel"/>
    <w:tmpl w:val="49F001A2"/>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16cid:durableId="491718305">
    <w:abstractNumId w:val="0"/>
  </w:num>
  <w:num w:numId="2" w16cid:durableId="10822226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598329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3"/>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48C"/>
    <w:rsid w:val="00052B7F"/>
    <w:rsid w:val="000938C1"/>
    <w:rsid w:val="000970BB"/>
    <w:rsid w:val="000A22ED"/>
    <w:rsid w:val="000E5236"/>
    <w:rsid w:val="00116565"/>
    <w:rsid w:val="00116E8B"/>
    <w:rsid w:val="00126DF7"/>
    <w:rsid w:val="00164991"/>
    <w:rsid w:val="001C330D"/>
    <w:rsid w:val="001D12F4"/>
    <w:rsid w:val="001E54D0"/>
    <w:rsid w:val="001E5C49"/>
    <w:rsid w:val="001E6047"/>
    <w:rsid w:val="00200F46"/>
    <w:rsid w:val="00230996"/>
    <w:rsid w:val="00252329"/>
    <w:rsid w:val="00274950"/>
    <w:rsid w:val="00275D4E"/>
    <w:rsid w:val="0028379A"/>
    <w:rsid w:val="002A6364"/>
    <w:rsid w:val="00301CF7"/>
    <w:rsid w:val="0031424E"/>
    <w:rsid w:val="00316139"/>
    <w:rsid w:val="003634F0"/>
    <w:rsid w:val="003774A3"/>
    <w:rsid w:val="003B6BA8"/>
    <w:rsid w:val="004075AA"/>
    <w:rsid w:val="004154D2"/>
    <w:rsid w:val="004D6AFF"/>
    <w:rsid w:val="004D7470"/>
    <w:rsid w:val="004D7912"/>
    <w:rsid w:val="005142D7"/>
    <w:rsid w:val="005F3295"/>
    <w:rsid w:val="0067045E"/>
    <w:rsid w:val="006D0E9D"/>
    <w:rsid w:val="006D117C"/>
    <w:rsid w:val="006E1CDF"/>
    <w:rsid w:val="0071718C"/>
    <w:rsid w:val="00762067"/>
    <w:rsid w:val="00771623"/>
    <w:rsid w:val="00795790"/>
    <w:rsid w:val="007C10A2"/>
    <w:rsid w:val="007F26B7"/>
    <w:rsid w:val="0080282E"/>
    <w:rsid w:val="0080599A"/>
    <w:rsid w:val="0080788F"/>
    <w:rsid w:val="00913ECA"/>
    <w:rsid w:val="00971AF4"/>
    <w:rsid w:val="009772C0"/>
    <w:rsid w:val="009813A0"/>
    <w:rsid w:val="009B4321"/>
    <w:rsid w:val="009F4603"/>
    <w:rsid w:val="00A13BE2"/>
    <w:rsid w:val="00A15407"/>
    <w:rsid w:val="00A9080E"/>
    <w:rsid w:val="00AD3D8F"/>
    <w:rsid w:val="00AE648C"/>
    <w:rsid w:val="00B03292"/>
    <w:rsid w:val="00B10B62"/>
    <w:rsid w:val="00B5054E"/>
    <w:rsid w:val="00BA2792"/>
    <w:rsid w:val="00BF73DE"/>
    <w:rsid w:val="00C433A0"/>
    <w:rsid w:val="00CE1993"/>
    <w:rsid w:val="00D076D0"/>
    <w:rsid w:val="00D54D2A"/>
    <w:rsid w:val="00DA7DF0"/>
    <w:rsid w:val="00DF63A6"/>
    <w:rsid w:val="00E00D08"/>
    <w:rsid w:val="00EC7F27"/>
    <w:rsid w:val="00EF3339"/>
    <w:rsid w:val="00EF7579"/>
    <w:rsid w:val="00F03C45"/>
    <w:rsid w:val="00F07DEC"/>
    <w:rsid w:val="00F27B37"/>
    <w:rsid w:val="00F3240D"/>
    <w:rsid w:val="00F3624F"/>
    <w:rsid w:val="00F37D55"/>
    <w:rsid w:val="00F63D49"/>
    <w:rsid w:val="00F83D8D"/>
    <w:rsid w:val="00F938FB"/>
    <w:rsid w:val="00FA2D14"/>
    <w:rsid w:val="00FA390B"/>
    <w:rsid w:val="00FD4475"/>
    <w:rsid w:val="00FD5979"/>
  </w:rsids>
  <m:mathPr>
    <m:mathFont m:val="Cambria Math"/>
    <m:brkBin m:val="before"/>
    <m:brkBinSub m:val="--"/>
    <m:smallFrac m:val="0"/>
    <m:dispDef/>
    <m:lMargin m:val="0"/>
    <m:rMargin m:val="0"/>
    <m:defJc m:val="centerGroup"/>
    <m:wrapRight/>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CAC7D33"/>
  <w15:docId w15:val="{981E190B-F9FA-8B4F-BEA5-2CDDAED07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1A628CC-A9DC-9D42-A92E-2492B22D2CD5}">
  <we:reference id="WA200000368" version="1.0.0.0" store="Omex" storeType="OMEX"/>
  <we:alternateReferences>
    <we:reference id="WA200000368" version="1.0.0.0" store="WA200000368" storeType="OMEX"/>
  </we:alternateReferences>
  <we:properties>
    <we:property name="documentId" value="&quot;330ef207b01556fe&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45</TotalTime>
  <Pages>62</Pages>
  <Words>27400</Words>
  <Characters>156185</Characters>
  <Application>Microsoft Office Word</Application>
  <DocSecurity>0</DocSecurity>
  <Lines>1301</Lines>
  <Paragraphs>366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Howard Dryden</dc:creator>
  <cp:keywords/>
  <cp:lastModifiedBy>Howard Dryden</cp:lastModifiedBy>
  <cp:revision>4</cp:revision>
  <dcterms:created xsi:type="dcterms:W3CDTF">2026-09-11T18:21:00Z</dcterms:created>
  <dcterms:modified xsi:type="dcterms:W3CDTF">2026-09-11T23:45:00Z</dcterms:modified>
</cp:coreProperties>
</file>