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Supplementary Table S5. Drug Repurposing Candidates at the Psoriasis–Cardiovascular Disease Interface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  <w:sz w:val="17"/>
              </w:rPr>
              <w:t>Direction</w:t>
            </w:r>
          </w:p>
        </w:tc>
        <w:tc>
          <w:tcPr>
            <w:tcW w:type="dxa" w:w="1440"/>
          </w:tcPr>
          <w:p>
            <w:r>
              <w:rPr>
                <w:b/>
                <w:sz w:val="17"/>
              </w:rPr>
              <w:t>Drug / Class</w:t>
            </w:r>
          </w:p>
        </w:tc>
        <w:tc>
          <w:tcPr>
            <w:tcW w:type="dxa" w:w="1440"/>
          </w:tcPr>
          <w:p>
            <w:r>
              <w:rPr>
                <w:b/>
                <w:sz w:val="17"/>
              </w:rPr>
              <w:t>Approved Indication</w:t>
            </w:r>
          </w:p>
        </w:tc>
        <w:tc>
          <w:tcPr>
            <w:tcW w:type="dxa" w:w="1440"/>
          </w:tcPr>
          <w:p>
            <w:r>
              <w:rPr>
                <w:b/>
                <w:sz w:val="17"/>
              </w:rPr>
              <w:t>Repurposing Rationale</w:t>
            </w:r>
          </w:p>
        </w:tc>
        <w:tc>
          <w:tcPr>
            <w:tcW w:type="dxa" w:w="1440"/>
          </w:tcPr>
          <w:p>
            <w:r>
              <w:rPr>
                <w:b/>
                <w:sz w:val="17"/>
              </w:rPr>
              <w:t>Evidence Level</w:t>
            </w:r>
          </w:p>
        </w:tc>
        <w:tc>
          <w:tcPr>
            <w:tcW w:type="dxa" w:w="1440"/>
          </w:tcPr>
          <w:p>
            <w:r>
              <w:rPr>
                <w:b/>
                <w:sz w:val="17"/>
              </w:rPr>
              <w:t>Key Limitation</w:t>
            </w:r>
          </w:p>
        </w:tc>
      </w:tr>
      <w:tr>
        <w:tc>
          <w:tcPr>
            <w:tcW w:type="dxa" w:w="1440"/>
          </w:tcPr>
          <w:p>
            <w:r>
              <w:rPr>
                <w:sz w:val="17"/>
              </w:rPr>
              <w:t>CV → Psoriasis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PDE5 inhibitors (tadalafil preferred)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Erectile dysfunction; pulmonary arterial hypertension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Inhibits cGMP hydrolysis, restoring NO/cGMP signalling in both endothelium and keratinocytes; vascular and cutaneous routes of action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 xml:space="preserve">Level 3–4 for CV benefit (&gt;500,000-patient cohort; Jehle et al. </w:t>
            </w:r>
            <w:r>
              <w:rPr>
                <w:sz w:val="17"/>
                <w:vertAlign w:val="superscript"/>
              </w:rPr>
              <w:t>93</w:t>
            </w:r>
            <w:r>
              <w:rPr>
                <w:sz w:val="17"/>
              </w:rPr>
              <w:t>); Level 5 for psoriasis (preclinical only)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No psoriasis-specific RCT; cutaneous anti-inflammatory route hypothetical</w:t>
            </w:r>
          </w:p>
        </w:tc>
      </w:tr>
      <w:tr>
        <w:tc>
          <w:tcPr>
            <w:tcW w:type="dxa" w:w="1440"/>
          </w:tcPr>
          <w:p>
            <w:r>
              <w:rPr>
                <w:sz w:val="17"/>
              </w:rPr>
              <w:t>CV → Psoriasis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Statins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Dyslipidaemia; CVD prevention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Pleiotropic effects beyond lipid lowering: NF-κB suppression, Rho/ROCK inhibition, reduced LFA-1/ICAM-1 leukocyte trafficking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 xml:space="preserve">Level 2 for psoriasis (meta-analysis of 10 trials; Lopez Abreu et al. </w:t>
            </w:r>
            <w:r>
              <w:rPr>
                <w:sz w:val="17"/>
                <w:vertAlign w:val="superscript"/>
              </w:rPr>
              <w:t>62</w:t>
            </w:r>
            <w:r>
              <w:rPr>
                <w:sz w:val="17"/>
              </w:rPr>
              <w:t>)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PASI reduction significant only with concomitant topical therapy; monotherapy effect NS</w:t>
            </w:r>
          </w:p>
        </w:tc>
      </w:tr>
      <w:tr>
        <w:tc>
          <w:tcPr>
            <w:tcW w:type="dxa" w:w="1440"/>
          </w:tcPr>
          <w:p>
            <w:r>
              <w:rPr>
                <w:sz w:val="17"/>
              </w:rPr>
              <w:t>Psoriasis → CV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IL-17A inhibitors (secukinumab)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Moderate-to-severe plaque psoriasis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VIP-S RCT: no reduction in aortic vascular inflammation (change −0.053, 95% CI −0.169 to 0.064; P = 0.37) and no change in systemic inflammatory markers; small LDL/TC increases; residual inflammatory risk unmodified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 xml:space="preserve">Level 2 (single RCT, imaging endpoint; Gelfand et al. </w:t>
            </w:r>
            <w:r>
              <w:rPr>
                <w:sz w:val="17"/>
                <w:vertAlign w:val="superscript"/>
              </w:rPr>
              <w:t>80</w:t>
            </w:r>
            <w:r>
              <w:rPr>
                <w:sz w:val="17"/>
              </w:rPr>
              <w:t>)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No CV outcomes trial; surrogate markers only; 12-week imaging follow-up</w:t>
            </w:r>
          </w:p>
        </w:tc>
      </w:tr>
      <w:tr>
        <w:tc>
          <w:tcPr>
            <w:tcW w:type="dxa" w:w="1440"/>
          </w:tcPr>
          <w:p>
            <w:r>
              <w:rPr>
                <w:sz w:val="17"/>
              </w:rPr>
              <w:t>Psoriasis → CV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Biologic therapy (TNF-α, IL-17, IL-23 inhibitors)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Moderate-to-severe plaque psoriasis; psoriatic arthritis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Systematic review: biologic therapy associated with improved coronary microvascular function, reduced noncalcified plaque on CCTA, lower vascular FDG uptake on PET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 xml:space="preserve">Level 2–3 (systematic review of imaging studies; Tartaglia et al. </w:t>
            </w:r>
            <w:r>
              <w:rPr>
                <w:sz w:val="17"/>
                <w:vertAlign w:val="superscript"/>
              </w:rPr>
              <w:t>96</w:t>
            </w:r>
            <w:r>
              <w:rPr>
                <w:sz w:val="17"/>
              </w:rPr>
              <w:t>)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Imaging data pooled across biologic classes; class-specific CV effects unresolved</w:t>
            </w:r>
          </w:p>
        </w:tc>
      </w:tr>
      <w:tr>
        <w:tc>
          <w:tcPr>
            <w:tcW w:type="dxa" w:w="1440"/>
          </w:tcPr>
          <w:p>
            <w:r>
              <w:rPr>
                <w:sz w:val="17"/>
              </w:rPr>
              <w:t>Both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Metformin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Type 2 diabetes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NLRP3 inflammasome inhibition via AMPK–SIRT1 axis in keratinocytes; endothelial NO enhancement; insulin sensitisation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 xml:space="preserve">Level 3 for psoriasis (small RCTs + meta-analysis; Huang et al. </w:t>
            </w:r>
            <w:r>
              <w:rPr>
                <w:sz w:val="17"/>
                <w:vertAlign w:val="superscript"/>
              </w:rPr>
              <w:t>98</w:t>
            </w:r>
            <w:r>
              <w:rPr>
                <w:sz w:val="17"/>
              </w:rPr>
              <w:t>); Level 2 for CV (diabetic populations only)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No CV outcome data in non-diabetic psoriasis patients</w:t>
            </w:r>
          </w:p>
        </w:tc>
      </w:tr>
      <w:tr>
        <w:tc>
          <w:tcPr>
            <w:tcW w:type="dxa" w:w="1440"/>
          </w:tcPr>
          <w:p>
            <w:r>
              <w:rPr>
                <w:sz w:val="17"/>
              </w:rPr>
              <w:t>CV → Psoriasis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ACE inhibitors (lisinopril)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Hypertension; heart failure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Molecular docking: lisinopril binding affinity comparable to apremilast against psoriasis-related cytokines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 xml:space="preserve">Level 5 (in silico only; Chakith et al. </w:t>
            </w:r>
            <w:r>
              <w:rPr>
                <w:sz w:val="17"/>
                <w:vertAlign w:val="superscript"/>
              </w:rPr>
              <w:t>99</w:t>
            </w:r>
            <w:r>
              <w:rPr>
                <w:sz w:val="17"/>
              </w:rPr>
              <w:t>)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ACE inhibitors reported to trigger or exacerbate psoriasis via bradykinin/substance P</w:t>
            </w:r>
          </w:p>
        </w:tc>
      </w:tr>
      <w:tr>
        <w:tc>
          <w:tcPr>
            <w:tcW w:type="dxa" w:w="1440"/>
          </w:tcPr>
          <w:p>
            <w:r>
              <w:rPr>
                <w:sz w:val="17"/>
              </w:rPr>
              <w:t>CV → Psoriasis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Endothelin receptor antagonists (bosentan)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Pulmonary arterial hypertension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ET-1 elevated in plasma of psoriasis patients; promotes keratinocyte proliferation and neutrophil recruitment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Level 5 (hypothetical; no psoriasis-specific data)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Hepatotoxicity risk; no rationale for use without concurrent PAH</w:t>
            </w:r>
          </w:p>
        </w:tc>
      </w:tr>
      <w:tr>
        <w:tc>
          <w:tcPr>
            <w:tcW w:type="dxa" w:w="1440"/>
          </w:tcPr>
          <w:p>
            <w:r>
              <w:rPr>
                <w:sz w:val="17"/>
              </w:rPr>
              <w:t>CV → Psoriasis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sGC stimulators (riociguat)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PAH; chronic thromboembolic PH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Sensitises sGC to residual NO and directly stimulates sGC via allosteric site, bypassing oxidative inactivation of the NO/cGMP axis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Level 5 (hypothetical; no psoriasis-specific data)</w:t>
            </w:r>
          </w:p>
        </w:tc>
        <w:tc>
          <w:tcPr>
            <w:tcW w:type="dxa" w:w="1440"/>
          </w:tcPr>
          <w:p>
            <w:r>
              <w:rPr>
                <w:sz w:val="17"/>
              </w:rPr>
              <w:t>Bleeding risk; no psoriasis-specific preclinical or clinical data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