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Supplementary Materials</w:t>
      </w:r>
    </w:p>
    <w:p>
      <w:r>
        <w:rPr>
          <w:rFonts w:ascii="Times New Roman" w:hAnsi="Times New Roman" w:eastAsia="宋体"/>
          <w:b/>
        </w:rPr>
        <w:t>Manuscript:</w:t>
      </w:r>
      <w:r>
        <w:rPr>
          <w:rFonts w:ascii="Times New Roman" w:hAnsi="Times New Roman" w:eastAsia="宋体"/>
        </w:rPr>
        <w:t xml:space="preserve"> Cardiodermatology: From Shared Pathogenesis to Dual-Target Drug Repurposing (PRISMA 2020 systematic review; protocol registered on OSF, https://osf.io/25uf9)</w:t>
      </w:r>
    </w:p>
    <w:p>
      <w:r>
        <w:rPr>
          <w:rFonts w:ascii="Times New Roman" w:hAnsi="Times New Roman" w:eastAsia="宋体"/>
          <w:b/>
        </w:rPr>
        <w:t>Contents:</w:t>
      </w:r>
      <w:r>
        <w:rPr>
          <w:rFonts w:ascii="Times New Roman" w:hAnsi="Times New Roman" w:eastAsia="宋体"/>
        </w:rPr>
        <w:t xml:space="preserve"> Supplementary Table S1 (study characteristics of the 56 core evidence studies); Supplementary Table S2 (risk-of-bias assessment); Supplementary Table S3 (GRADE evidence profile for key outcomes); Supplementary Table S4 (excluded studies at each selection stage with reasons).</w:t>
      </w:r>
    </w:p>
    <w:p>
      <w:r>
        <w:rPr>
          <w:rFonts w:ascii="Times New Roman" w:hAnsi="Times New Roman" w:eastAsia="宋体"/>
          <w:b/>
        </w:rPr>
        <w:t>Note on the core evidence set.</w:t>
      </w:r>
      <w:r>
        <w:rPr>
          <w:rFonts w:ascii="Times New Roman" w:hAnsi="Times New Roman" w:eastAsia="宋体"/>
        </w:rPr>
        <w:t xml:space="preserve"> Of the 556 included studies (564 reports), 56 studies provided the quantitative directional evidence synthesized in Tables 1–3 and Figure 2 and were designated core evidence studies. These 56 studies underwent formal risk-of-bias assessment (Supplementary Table S2); the remaining included studies (mechanistic, imaging-descriptive, epidemiological-context, and narrative evidence) informed the narrative synthesis and are cited in the reference list.</w:t>
      </w:r>
    </w:p>
    <w:p>
      <w:pPr>
        <w:sectPr>
          <w:pgSz w:w="12240" w:h="15840"/>
          <w:pgMar w:top="1008" w:right="1008" w:bottom="1008" w:left="1008" w:header="720" w:footer="720" w:gutter="0"/>
          <w:cols w:space="720"/>
          <w:docGrid w:linePitch="360"/>
        </w:sectPr>
      </w:pPr>
    </w:p>
    <w:p>
      <w:pPr>
        <w:spacing w:before="200"/>
      </w:pPr>
      <w:r>
        <w:rPr>
          <w:rFonts w:ascii="Times New Roman" w:hAnsi="Times New Roman"/>
          <w:b/>
          <w:sz w:val="24"/>
        </w:rPr>
        <w:t>Supplementary Table S1. Study Characteristics of Included Core Evidence Studies (n = 56)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2"/>
        <w:gridCol w:w="1482"/>
        <w:gridCol w:w="1482"/>
        <w:gridCol w:w="1482"/>
        <w:gridCol w:w="1482"/>
        <w:gridCol w:w="1482"/>
        <w:gridCol w:w="1482"/>
        <w:gridCol w:w="1482"/>
        <w:gridCol w:w="1482"/>
        <w:gridCol w:w="1482"/>
      </w:tblGrid>
      <w:tr>
        <w:tc>
          <w:tcPr>
            <w:tcW w:type="dxa" w:w="1482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No.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Study (first author, year) [ref]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Country / data source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Design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Sample size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Population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Intervention / exposure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Comparator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Follow-up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Key outcome(s)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A. Randomized controlled trials (n = 19)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Zinman 2015 (EMPA-REG OUTCOME) [13]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Multinational (42 countries)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Double-blind RCT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7,020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T2DM with established CVD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Empagliflozin 10 or 25 mg daily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Placebo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Median 3.1 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3-point MACE (HR 0.86; 0.74–0.99)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McMurray 2019 (DAPA-HF) [64]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Multinational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Double-blind RCT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4,744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HFrEF (LVEF ≤40%), with or without T2DM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Dapagliflozin 10 mg daily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Placebo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Median 18.2 mo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CV death or worsening HF (HR 0.74)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Solomon 2022 (DELIVER) [65]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Multinational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Double-blind RCT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6,263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HF with LVEF &gt;40%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Dapagliflozin 10 mg daily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Placebo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Median 2.3 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CV death or worsening HF (HR 0.82)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Marso 2016 (LEADER) [14]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Multinational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Double-blind RCT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9,340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T2DM at high CV risk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Liraglutide up to 1.8 mg daily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Placebo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Median 3.8 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3-point MACE (HR 0.87)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Marso 2016 (SUSTAIN-6) [67]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Multinational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Double-blind RCT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3,297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T2DM at high CV risk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Semaglutide 0.5/1.0 mg weekly SC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Placebo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Median 2.1 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3-point MACE (HR 0.74)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6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Lincoff 2023 (SELECT) [68]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Multinational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Double-blind RCT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17,604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Overweight/obesity + established CVD, no diabetes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Semaglutide 2.4 mg weekly SC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Placebo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Mean 39.8 mo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3-point MACE (HR 0.80)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7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Sabatine 2017 (FOURIER) [15]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Multinational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Double-blind RCT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27,564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Stable ASCVD on statin therapy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Evolocumab 140 mg Q2W or 420 mg monthly SC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Placebo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Median 2.2 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MACE (HR 0.85)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8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Schwartz 2018 (ODYSSEY OUTCOMES) [71]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Multinational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Double-blind RCT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18,924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Recent ACS (1–12 mo) on statin therapy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Alirocumab 75–150 mg Q2W SC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Placebo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Median 2.8 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MACE (HR 0.85)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9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Tardif 2019 (COLCOT) [16]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Canada and international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Double-blind RCT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4,745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MI within 30 days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Colchicine 0.5 mg daily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Placebo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Median 22.6 mo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MACE (HR 0.77)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10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Nidorf 2020 (LoDoCo2) [73]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Multinational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Double-blind RCT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5,522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Chronic coronary disease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Colchicine 0.5 mg daily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Placebo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Median 28.6 mo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MACE (HR 0.69)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11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Ridker 2017 (CANTOS) [31]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Multinational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Double-blind RCT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10,061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Prior MI + hsCRP ≥2 mg/L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Canakinumab 50/150/300 mg SC Q3M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Placebo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Median 3.7 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MACE (150 mg: HR 0.85)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12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Ridker 2018 (CANTOS secondary) (Ridker PM, MacFadyen JG, Everett BM, et et al., 2018)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Multinational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Pre-specified secondary analysis of RCT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10,061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As CANTOS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Canakinumab 150 mg SC Q3M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Placebo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Median 3.7 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MACE by on-treatment CRP response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13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Ridker 2019 (CIRT) [86]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USA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Double-blind RCT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4,786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Prior MI or multivessel CAD + T2DM/metabolic syndrome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Methotrexate 15–20 mg weekly (+ folate)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Placebo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Median 23 mo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MACE (neutral; HR 0.96)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14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Gelfand 2020 (VIP-S) [80]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USA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Double-blind placebo-controlled RCT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91 (46/45)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Moderate-to-severe plaque psoriasis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Secukinumab (12-wk blinded; 40-wk open-label)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Placebo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12 wk (52 wk total)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Aortic vascular inflammation, FDG-PET/CT (change −0.053; NS)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15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Gelfand 2020 (VIP-U) [83]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USA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Double-blind placebo-controlled crossover RCT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43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Moderate-to-severe psoriasis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Ustekinumab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Placebo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Two 12-wk periods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Aortic vascular inflammation (−18.65%; 7.85–29.45)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16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Bachelez 2021 (Effisayil 1) [85]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Multinational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Double-blind phase 2 RCT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53 (35/18)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GPP flare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Spesolimab 900 mg IV single dose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Placebo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12 wk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GPPGA pustulation subscore 0 at week 1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17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Ikonomidis 2022 [87]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Greece, single center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Open-label RCT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150 (50/arm)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Moderate-to-severe psoriasis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Apremilast vs etanercept vs cyclosporine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Active comparators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 mo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Endothelial glycocalyx (PBR), PWV, LV-GLS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18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Strober 2023 (POETYK PSO-2) [90]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Multinational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Double-blind phase 3 RCT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1,020 (511/255/254)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Moderate-to-severe psoriasis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Deucravacitinib 6 mg daily vs apremilast 30 mg BID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Placebo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52 wk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PASI-75 and sPGA 0/1 at week 16; MACE surveillance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19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Ytterberg 2022 (ORAL Surveillance) [89]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Multinational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Open-label non-inferiority safety RCT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4,292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RA aged ≥50 y with ≥1 CV risk factor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Tofacitinib 5 or 10 mg BID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TNF inhibitors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Up to 10.3 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Adjudicated MACE, VTE, malignancy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B. Systematic reviews and meta-analyses (n = 16)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20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Song 2022 [23]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Multi-database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SR + meta-analysis + Bayesian network meta-analysis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13 studies (6,378,116 individuals) for meta-analysis; 8 studies (5,615,918) for NMA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Adults exposed to antihypertensives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β-blockers, ACE inhibitors, CCBs, thiazides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No exposure / other classes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Psoriasis incidence (β-blocker OR 1.40, 1.20–1.63; ACEI 1.67; CCB 1.53; thiazide 1.70)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21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Abreu Lopez 2025 [24]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Multi-database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Meta-analysis of RCTs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10 RCTs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Psoriasis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Statins (systemic or topical)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Placebo / standard care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4–24 wk across trials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PASI severity (SMD −0.36 overall; −0.82 with concomitant topical therapy)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22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Fan 2024 [61]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PubMed/Embase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SR of Mendelian randomization studies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37 MR studies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Adults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Genetically proxied antihypertensive classes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Cardiometabolic and other outcomes (genetically proxied ACE inhibition and psoriasis)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23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Wu 2018 [95]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Multi-database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Meta-analysis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9 studies (36,242 psoriasis; 1,657,711 controls)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Psoriasis vs no psoriasis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Psoriasis (exposure)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Controls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Erectile dysfunction (pooled OR 1.35, 1.29–1.41)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24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Cianciarulo 2025 (Cianciarulo C, Nguyen TH, Zacharias A, Standen N, Tucci J, Irving et al., 2025)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Multi-database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SR + meta-analysis of RCTs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20 RCTs (1,549 participants)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Adults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PDE5 inhibitors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Placebo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≤1 wk to ≥12 wk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Long-term: ↓IL-6, ↓P-selectin, ↑cGMP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25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Huang 2023 [98]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Multi-database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Meta-analysis of RCTs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 RCTs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Psoriasis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Metformin adjunct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Standard care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Variable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PASI-75 (OR 22.02, 2.12–228.49); metabolic parameters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26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Armstrong 2013 [45]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MEDLINE/EMBASE/CENTRAL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SR + meta-analysis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9 studies (201,239 mild; 17,415 severe)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Mild or severe psoriasis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Psoriasis severity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General population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Variable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MACE (elevated with severe disease)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27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Samarasekera 2013 [46]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Multi-database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SR + meta-analysis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14 cohorts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Psoriasis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Psoriasis severity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General population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Variable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CV mortality RR 1.37 (severe); stroke 1.59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28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Zhang 2022 [42]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Multi-database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SR + meta-analysis + two-sample MR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Observational studies, European and East Asian populations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Psoriasis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Psoriasis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No psoriasis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CAD (IVW OR 1.03 Europeans; 1.18 East Asians); MI 1.05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29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Gouze 2024 (Gouze H, Aegerter P, Gouyette Y, Breban M, D'Agostino et al., 2024)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Multi-database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SLR (34 studies) + meta-analysis (24 studies)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Longitudinal studies ≥5 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PsA / SpA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PsA or SpA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General population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≥5 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CVD incidence (PsA HR 1.28, 1.15–1.43)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30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Jamil 2021 (Jamil M, Aslam R, Patel A, Nadir B, Khan et al., 2021)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PubMed/MEDLINE/PMC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SR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9 studies (542 PsA patients)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Adult PsA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PsA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Healthy controls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CIMT / subclinical atherosclerosis prevalence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31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Gupta 2021 (Gupta S, Syrimi Z, Hughes DM, Zhao et al., 2021)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Multi-database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SR + meta-analysis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39 studies (&gt;152,000 PsA patients)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PsA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PsA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Controls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21 comorbidities (hypertension 34%; metabolic syndrome 29%)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32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Tsiogka 2023 [79]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Multi-database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SR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Eligible imaging studies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Plaque psoriasis and/or PsA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IL-17/IL-23 inhibitors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Baseline / other therapy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Variable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Subclinical atherosclerosis surrogates (CIMT, FMD, plaque)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33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Ji 2024 (Ji L, Ravi S, Wright L, Nguyen V, Wiley J, Vukelic M, et et al., 2024)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PubMed/Embase/Web of Science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SR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21 studies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Psoriasis / PsA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TNF-α, IL-12/23, IL-17 inhibitors; DMARDs; phototherapy; FAE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No treatment / other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Variable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CIMT, CCTA plaque, aPWV, FAI, Aix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34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Cai 2023 [91]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Multi-database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SR + aggregate-data meta-analysis of RCTs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81 articles (88 RCTs)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PsO / PsA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Targeted therapies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Placebo / active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Variable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CV events, MACE, MI, HF, stroke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35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Shi 2025 [88]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Four databases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Network meta-analysis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11 studies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Adult PsA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Five JAK inhibitors (10 interventions)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Placebo / TNFi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Variable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MACE IR 0.25/100 PY; TE IR 0.29/100 PY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C. Observational studies (n = 17)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36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Gelfand 2006 [2]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UK, GPRD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Prospective population-based cohort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556,995 controls; 127,139 mild; 3,837 severe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Psoriasis aged 20–90 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Psoriasis severity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No psoriasis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Mean 5.4 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Incident MI (severe, age 30: adjusted RR 3.10)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37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Mehta 2010 [3]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UK, GPRD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Cohort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3,603 severe; 14,330 controls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Severe psoriasis (systemic therapy)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Severe psoriasis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No psoriasis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1987–2007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CV mortality (HR 1.57)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38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Ahlehoff 2011 [47]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Danish nationwide registers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Registry cohort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Entire population aged ≥18 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Psoriasis (prescription claims) / PsA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Psoriasis / PsA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General population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1997–2006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MI, stroke, revascularization, mortality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39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Svedbom 2025 [25]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USA (PACI) + Sweden (Stockholm Psoriasis Cohort)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Two-cohort mediation analysis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PACI 260; SPC 509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Psoriasis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PASI severity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PACI 2013–2022; SPC 2000–2005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GlycA-mediated PASI→CVD effect (indirect OR 1.16, 1.04–1.42)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40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Egeberg 2017 [52]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Denmark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Imaging cohort + nationwide registry study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Imaging n = 190; registry 87,161 psoriasis vs 4,234,793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Psoriasis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Psoriasis duration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General population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Registry follow-up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Vascular inflammation; MACE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41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Kaiser 2021 [50]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Copenhagen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Cross-sectional proteomic study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85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Moderate-to-severe psoriasis ± ASCVD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Plasma proteomic biomarkers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CIMT, CAC, carotid plaque, vascular inflammation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42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Garshick 2021 [72]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USA + murine model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Cross-sectional translational study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88 + 20 psoriasis vs matched controls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Psoriasis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PCSK9 in blood and skin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Matched controls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PCSK9 ↑ 20%/13%; correlates with PASI (r = 0.43)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43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Cheng 2026 [66]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USA, TriNetX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Target trial emulation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8,799 matched pairs (vs DPP-4i); 11,550 pairs (vs GLP-1 RA)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Psoriasis + T2DM, initiators 2013–2025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SGLT2 inhibitors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DPP-4 inhibitors; GLP-1 RAs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To 2025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All-cause mortality HR 0.633; AKI, CKD, ESRD, sepsis; malignancy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44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Pina Vegas 2022 (Pina Vegas L, Le Corvoisier P, Penso L, Paul M, Sbidian E, Claudepierre et al., 2022)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France, SNDS nationwide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Propensity-score-weighted cohort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9,510 bDMARD + 1,885 apremilast new users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PsA, no prior CVD, 2015–2019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TNFi vs IL-12/23 vs IL-17 inhibitors vs apremilast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TNF inhibitors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To 31 Dec 2019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MACE (IL-12/23 wHR 2.0; IL-17 1.9 vs TNFi)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45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Ogdie 2015 [44]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UK, THIN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Population-based cohort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PsA 8,706; RA 41,752; psoriasis 138,424; controls 81,573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PsA / psoriasis / RA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Disease status; DMARD exposure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Unexposed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1994–2010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MACE (PsA no DMARD HR 1.24; severe psoriasis 1.42)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46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Wu 2014 (Wu S, Han J, Li WQ, Qureshi et al., 2014)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USA, Nurses' Health Study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Prospective cohort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77,728 women (843 incident psoriasis)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Women free of psoriasis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Hypertension; antihypertensive classes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No exposure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1996–2008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Incident physician-diagnosed psoriasis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47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Andersson 2021 [94]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Swedish national registries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Cohort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16,548 PDE5i vs 1,994 alprostadil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Men with coronary artery disease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PDE5 inhibitors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Alprostadil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Mean 5.8 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Mortality (HR 0.88, 0.79–0.98)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48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Jehle 2025 [93]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TriNetX network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Retrospective cohort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509,788 men with ED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Men prescribed PDE5 inhibitors for ED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Tadalafil vs sildenafil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Cross-comparison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Longitudinal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Mortality RR 0.66/0.76; MI; stroke; dementia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49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Shi 2021 [75]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China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Observational study (short report)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Not fully reported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Adults with psoriasis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Systemic psoriasis treatment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Untreated / other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Not reported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Association with cardiovascular risk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50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Ödemiş 2026 [92]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Turkey, single center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Prospective observational cohort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34 (IL-12/23 n = 7; TNF-α n = 9; IL-17 n = 18)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Moderate-to-severe psoriasis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Anti-IL-12/23 vs anti-TNF-α vs anti-IL-17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Between-class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6 mo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CIMT and hepatic steatosis reduction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51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Degboé 2022 [55]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France, single center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Case-control (cross-sectional)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PsA (CASPAR criteria) vs MONALISA population controls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PsA aged 25–85 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PsA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Population controls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CV risk factors; CV events; LDL-C target attainment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52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Peluso 2018 (Peluso R, Caso F, Tasso M, et et al., 2018)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Multi-database systematic search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Systematic search and synthesis of observational data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PsA studies to Jan 2017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PsA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PsA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CV risk markers; MACE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D. Mendelian randomization and genetic association studies (n = 3)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53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Zheng 2025 [58]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USA (NHANES; FAERS; GWAS consortia)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Cross-sectional + disproportionality + two-sample MR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NHANES adults (PSM); 300 FAERS reports; GWAS summary data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β-blocker users / psoriasis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β-blocker exposure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Non-users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Psoriasis OR 1.49 (0.76–2.92, NS); ROR 0.34 (0.30–0.38); MR OR 0.9985 (0.9978–0.9991)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54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Ramessur 2024 [41]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GWAS meta-analyses, European ancestry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Two-sample bidirectional MR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~3,400,000 individuals (CAD 181,249 cases; stroke 110,182; psoriasis 36,466)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Genetic liability to CAD, stroke, psoriasis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Genetically predicted CAD / stroke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CAD→psoriasis IVW OR 1.07 (1.04–1.10); stroke→psoriasis 1.22 (1.05–1.41); psoriasis→CAD 1.01 (NS)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55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Patrick 2022 [43]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GWAS, European ancestry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Trans-disease meta-analysis + colocalization + MR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11,024 psoriasis cases; 60,801 CAD cases (+ controls)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Psoriasis / CAD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Shared genetic loci (IFIH1, IL23A)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Shared loci; CAD as exposure → psoriasis risk</w:t>
            </w:r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E. Pharmacovigilance studies (n = 1)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  <w:tc>
          <w:tcPr>
            <w:tcW w:type="dxa" w:w="1482"/>
          </w:tcPr>
          <w:p>
            <w:pPr>
              <w:spacing w:after="20"/>
            </w:pPr>
            <w:r/>
          </w:p>
        </w:tc>
      </w:tr>
      <w:tr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56</w:t>
            </w:r>
          </w:p>
        </w:tc>
        <w:tc>
          <w:tcPr>
            <w:tcW w:type="dxa" w:w="1482"/>
          </w:tcPr>
          <w:p>
            <w:pPr>
              <w:spacing w:after="20"/>
            </w:pPr>
            <w:r>
              <w:t>Azzouz 2022 [57]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France, National Pharmacovigilance Database, 1985–2019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Retrospective case/non-case analysis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225 reports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Psoriatic conditions after β-blocker exposure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β-blockers (cardioselective and non-cardioselective)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Other drugs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482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ROR 8.95 (7.75–10.33); improvement after discontinuation in 68%</w:t>
            </w:r>
          </w:p>
        </w:tc>
      </w:tr>
    </w:tbl>
    <w:p>
      <w:r>
        <w:rPr>
          <w:rFonts w:ascii="Times New Roman" w:hAnsi="Times New Roman" w:eastAsia="宋体"/>
          <w:i/>
        </w:rPr>
        <w:t>Abbreviations:</w:t>
      </w:r>
      <w:r>
        <w:rPr>
          <w:rFonts w:ascii="Times New Roman" w:hAnsi="Times New Roman" w:eastAsia="宋体"/>
        </w:rPr>
        <w:t xml:space="preserve"> Aix, augmentation index; aPWV, arterial pulse wave velocity; ASCVD, atherosclerotic cardiovascular disease; BID, twice daily; CAC, coronary artery calcium; CAD, coronary artery disease; CCB, calcium-channel blocker; CIMT, carotid intima–media thickness; CCTA, coronary computed tomography angiography; CV, cardiovascular; CVD, cardiovascular disease; ED, erectile dysfunction; ESRD, end-stage renal disease; FAE, fumaric acid esters; FDG-PET/CT, fluorodeoxyglucose positron emission tomography/computed tomography; GPP, generalized pustular psoriasis; GPPGA, Generalized Pustular Psoriasis Physician Global Assessment; HF, heart failure; HFrEF, heart failure with reduced ejection fraction; HR, hazard ratio; IR, incidence rate; IVW, inverse-variance weighted; JAK, Janus kinase; LV-GLS, left ventricular global longitudinal strain; MACE, major adverse cardiovascular events; MI, myocardial infarction; MR, Mendelian randomization; NMA, network meta-analysis; NR, not reported; NS, not significant; PASI, Psoriasis Area and Severity Index; PBR, perfused boundary region; PsA, psoriatic arthritis; PsO, psoriasis; PSM, propensity score matching; PWV, pulse wave velocity; Q2W, every 2 weeks; Q3M, every 3 months; QD, once daily; QW, once weekly; RA, rheumatoid arthritis; RCT, randomized controlled trial; SC, subcutaneous; SLR, systematic literature review; sPGA, static Physician's Global Assessment; SR, systematic review; SMD, standardized mean difference; T2DM, type 2 diabetes mellitus; TE, thromboembolism; TNFi, tumor necrosis factor inhibitor; VTE, venous thromboembolism; wHR, weighted hazard ratio; y, years; mo, months; wk, weeks.</w:t>
      </w:r>
    </w:p>
    <w:p>
      <w:pPr>
        <w:spacing w:before="200"/>
      </w:pPr>
      <w:r>
        <w:rPr>
          <w:rFonts w:ascii="Times New Roman" w:hAnsi="Times New Roman"/>
          <w:b/>
          <w:sz w:val="24"/>
        </w:rPr>
        <w:t>Supplementary Table S2. Risk of Bias Assessment for the Included Core Evidence Studies (n = 56)</w:t>
      </w:r>
    </w:p>
    <w:p>
      <w:r>
        <w:rPr>
          <w:rFonts w:ascii="Times New Roman" w:hAnsi="Times New Roman" w:eastAsia="宋体"/>
        </w:rPr>
        <w:t xml:space="preserve">Assessment tools: Cochrane RoB 2 for RCTs; ROBINS-I for observational studies; AMSTAR 2 for systematic reviews and meta-analyses; dedicated criteria for Mendelian randomization studies (instrument strength F &gt; 10, MR-Egger intercept, MR-PRESSO global test, consistency across sensitivity analyses) and for pharmacovigilance studies (database quality, duplicate removal, drug mapping accuracy, outcome definition, appropriateness of disproportionality methods). Overall distribution: </w:t>
      </w:r>
      <w:r>
        <w:rPr>
          <w:rFonts w:ascii="Times New Roman" w:hAnsi="Times New Roman" w:eastAsia="宋体"/>
          <w:b/>
        </w:rPr>
        <w:t>low risk 33/56 (59%)</w:t>
      </w:r>
      <w:r>
        <w:rPr>
          <w:rFonts w:ascii="Times New Roman" w:hAnsi="Times New Roman" w:eastAsia="宋体"/>
        </w:rPr>
        <w:t xml:space="preserve">, </w:t>
      </w:r>
      <w:r>
        <w:rPr>
          <w:rFonts w:ascii="Times New Roman" w:hAnsi="Times New Roman" w:eastAsia="宋体"/>
          <w:b/>
        </w:rPr>
        <w:t>moderate risk 18/56 (32%)</w:t>
      </w:r>
      <w:r>
        <w:rPr>
          <w:rFonts w:ascii="Times New Roman" w:hAnsi="Times New Roman" w:eastAsia="宋体"/>
        </w:rPr>
        <w:t xml:space="preserve">, </w:t>
      </w:r>
      <w:r>
        <w:rPr>
          <w:rFonts w:ascii="Times New Roman" w:hAnsi="Times New Roman" w:eastAsia="宋体"/>
          <w:b/>
        </w:rPr>
        <w:t>high risk 5/56 (9%)</w:t>
      </w:r>
      <w:r>
        <w:rPr>
          <w:rFonts w:ascii="Times New Roman" w:hAnsi="Times New Roman" w:eastAsia="宋体"/>
        </w:rPr>
        <w:t>; no study was rated critical.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70"/>
        <w:gridCol w:w="2470"/>
        <w:gridCol w:w="2470"/>
        <w:gridCol w:w="2470"/>
        <w:gridCol w:w="2470"/>
        <w:gridCol w:w="2470"/>
      </w:tblGrid>
      <w:tr>
        <w:tc>
          <w:tcPr>
            <w:tcW w:type="dxa" w:w="2470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No.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Study [ref]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Design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Tool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Overall judgment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Key considerations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Zinman 2015 [13]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Blinded adjudication; balanced dropout; pre-specified analyses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McMurray 2019 [64]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Blinded adjudicated endpoints; low attrition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Solomon 2022 [65]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Blinded adjudication; complete follow-up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Marso 2016 [14]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Blinded adjudication; pre-specified non-inferiority/superiority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Marso 2016 [67]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Blinded adjudication; consistent treatment effect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6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Lincoff 2023 [68]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Blinded adjudicated endpoints; large sample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7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Sabatine 2017 [15]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Blinded adjudication; independent data monitoring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8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Schwartz 2018 [71]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Blinded adjudication; intention-to-treat analysis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9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Tardif 2019 [16]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Blinded adjudication; pre-specified primary outcome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10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Nidorf 2020 [73]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Blinded; complete outcome ascertainment via registries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11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Ridker 2017 [31]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Blinded adjudication; dose arms consistent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12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Ridker 2018 (Ridker PM, MacFadyen JG, Everett BM, et et al., 2018)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 (secondary analysis)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Pre-specified; post-randomization CRP stratification (exploratory interpretation)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13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Ridker 2019 [86]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Blinded adjudication; neutral result limits bias concern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14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Gelfand 2020 (VIP-S) [80]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Blinded; centralized PET/CT core-lab analysis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15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Gelfand 2020 (VIP-U) [83]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Blinded crossover; centralized imaging core lab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16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Bachelez 2021 [85]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Blinded; validated GPPGA endpoint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17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Ikonomidis 2022 [87]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Open-label, but automated operator-independent vascular measurements; blinded core analysis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18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Strober 2023 [90]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Blinded; standardized PASI/sPGA assessment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19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Ytterberg 2022 [89]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Open-label, but adjudicated MACE/malignancy endpoints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20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Song 2022 [23]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SR/MA/NMA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AMSTAR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Comprehensive search; NMA assumptions and heterogeneity across observational designs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21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Abreu Lopez 2025 [24]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MA of RCTs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AMSTAR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Small trials; statistical heterogeneity; subgroup signals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22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Fan 2024 [61]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SR of MR studies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AMSTAR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Heterogeneous instrument quality across included MR studies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23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Wu 2018 [95]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MA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AMSTAR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Comprehensive search; consistent adjusted estimates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24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Cianciarulo 2025 (Cianciarulo C, Nguyen TH, Zacharias A, Standen N, Tucci J, Irving et al., 2025)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SR/MA of RCTs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AMSTAR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 2 applied; most trials low risk; coherent directionality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25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Huang 2023 [98]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MA of RCTs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AMSTAR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Three small heterogeneous RCTs; very wide CI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26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Armstrong 2013 [45]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SR/MA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AMSTAR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Dual extraction; consistency across cohorts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27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Samarasekera 2013 [46]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SR/MA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AMSTAR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Comprehensive; severity-stratified consistent effects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28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Zhang 2022 [42]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SR/MA + MR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AMSTAR 2 / MR criteria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Trans-ethnic replication; sensitivity analyses consistent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29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Gouze 2024 (Gouze H, Aegerter P, Gouyette Y, Breban M, D'Agostino et al., 2024)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SLR/MA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AMSTAR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Heterogeneous longitudinal cohorts; observational data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30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Jamil 2021 (Jamil M, Aslam R, Patel A, Nadir B, Khan et al., 2021)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SR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AMSTAR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Single-database search; small studies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31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Gupta 2021 (Gupta S, Syrimi Z, Hughes DM, Zhao et al., 2021)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SR/MA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AMSTAR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Substantial heterogeneity in prevalence estimates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32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Tsiogka 2023 [79]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SR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AMSTAR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Small imaging studies; no pooling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33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Ji 2024 (Ji L, Ravi S, Wright L, Nguyen V, Wiley J, Vukelic M, et et al., 2024)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SR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AMSTAR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Cross-class pooling; heterogeneous surrogates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34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Cai 2023 [91]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SR/MA of RCTs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AMSTAR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Large RCT base; consistent neutral findings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35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Shi 2025 [88]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NMA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AMSTAR 2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RCT-derived network; coherent estimates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36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Gelfand 2006 [2]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Cohort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ROBINS-I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Full multivariable adjustment; validated MI outcomes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37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Mehta 2010 [3]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Cohort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ROBINS-I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Cause-of-death review; severity misclassification possible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38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Ahlehoff 2011 [47]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Registry cohort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ROBINS-I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Nationwide linkage; time-dependent models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39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Svedbom 2025 [25]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Cohort (mediation)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ROBINS-I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Cross-sectional mediation component; residual confounding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40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Egeberg 2017 [52]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Imaging + registry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ROBINS-I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Registry confounding by indication; selected imaging sample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41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Kaiser 2021 [50]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Cross-sectional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ROBINS-I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Selection of moderate-to-severe psoriasis; cross-sectional design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42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Garshick 2021 [72]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Cross-sectional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ROBINS-I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Matched controls; residual confounding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43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Cheng 2026 [66]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Target trial emulation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ROBINS-I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Emulated target trial; PS matching; negative-control outcomes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44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Pina Vegas 2022 (Pina Vegas L, Le Corvoisier P, Penso L, Paul M, Sbidian E, Claudepierre et al., 2022)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PS-weighted cohort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ROBINS-I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New-user design; nationwide data; exclusion of prior CVD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45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Ogdie 2015 [44]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Cohort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ROBINS-I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Population-based; adjustment for traditional risk factors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46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Wu 2014 (Wu S, Han J, Li WQ, Qureshi et al., 2014)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Prospective cohort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ROBINS-I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Self-reported exposure; confounding by indication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47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Andersson 2021 [94]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Registry cohort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ROBINS-I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Comparator limits healthy-user bias, but residual confounding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48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Jehle 2025 [93]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Retrospective cohort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ROBINS-I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High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Healthy-user and confounding-by-indication residual bias; non-randomized drug choice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49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Shi 2021 [75]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Observational (short report)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ROBINS-I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High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Limited reporting of design, confounding control, and outcome ascertainment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50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Ödemiş 2026 [92]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Prospective cohort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ROBINS-I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High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Small single-center; non-randomized class allocation; no confounder-adjusted comparison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51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Degboé 2022 [55]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Case-control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ROBINS-I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High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Monocentric; control-source selection bias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52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Peluso 2018 (Peluso R, Caso F, Tasso M, et et al., 2018)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Systematic synthesis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ROBINS-I / narrative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High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Systematic search without formal SR quality safeguards; qualitative synthesis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53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Zheng 2025 [58]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Cross-sectional + PV + MR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MR/PV criteria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Three complementary designs; adequate instruments; pleiotropy tests; consistent sensitivity analyses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54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Ramessur 2024 [41]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Bidirectional MR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MR criteria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Large GWAS; F-statistics adequate; MR-Egger/MR-PRESSO consistent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55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Patrick 2022 [43]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Genetic association + MR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MR criteria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Trans-disease design; MR directionality limited to CAD-as-exposure</w:t>
            </w:r>
          </w:p>
        </w:tc>
      </w:tr>
      <w:tr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56</w:t>
            </w:r>
          </w:p>
        </w:tc>
        <w:tc>
          <w:tcPr>
            <w:tcW w:type="dxa" w:w="2470"/>
          </w:tcPr>
          <w:p>
            <w:pPr>
              <w:spacing w:after="20"/>
            </w:pPr>
            <w:r>
              <w:t>Azzouz 2022 [57]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Pharmacovigilance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PV criteria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</w:t>
            </w:r>
          </w:p>
        </w:tc>
        <w:tc>
          <w:tcPr>
            <w:tcW w:type="dxa" w:w="2470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Spontaneous reporting (under-reporting); appropriate case/non-case method</w:t>
            </w:r>
          </w:p>
        </w:tc>
      </w:tr>
    </w:tbl>
    <w:p>
      <w:r>
        <w:rPr>
          <w:rFonts w:ascii="Times New Roman" w:hAnsi="Times New Roman" w:eastAsia="宋体"/>
        </w:rPr>
        <w:t>Certainty ratings mirror the word ratings and symbols reported in Tables 1 and 2 of the main text. Downgrades are shown per GRADE domain (risk of bias, inconsistency, indirectness, imprecision, publication bias).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47"/>
        <w:gridCol w:w="1347"/>
        <w:gridCol w:w="1347"/>
        <w:gridCol w:w="1347"/>
        <w:gridCol w:w="1347"/>
        <w:gridCol w:w="1347"/>
        <w:gridCol w:w="1347"/>
        <w:gridCol w:w="1347"/>
        <w:gridCol w:w="1347"/>
        <w:gridCol w:w="1347"/>
        <w:gridCol w:w="1347"/>
      </w:tblGrid>
      <w:tr>
        <w:tc>
          <w:tcPr>
            <w:tcW w:type="dxa" w:w="1347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Outcome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Studies [ref]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No. of studies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Design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Risk of bias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Inconsistency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Indirectness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Imprecision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Publication bias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Certainty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Summary effect</w:t>
            </w:r>
          </w:p>
        </w:tc>
      </w:tr>
      <w:tr>
        <w:tc>
          <w:tcPr>
            <w:tcW w:type="dxa" w:w="1347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Cardiovascular drugs → psoriasis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</w:p>
        </w:tc>
        <w:tc>
          <w:tcPr>
            <w:tcW w:type="dxa" w:w="1347"/>
          </w:tcPr>
          <w:p>
            <w:pPr>
              <w:spacing w:after="20"/>
            </w:pPr>
            <w:r/>
          </w:p>
        </w:tc>
        <w:tc>
          <w:tcPr>
            <w:tcW w:type="dxa" w:w="1347"/>
          </w:tcPr>
          <w:p>
            <w:pPr>
              <w:spacing w:after="20"/>
            </w:pPr>
            <w:r/>
          </w:p>
        </w:tc>
        <w:tc>
          <w:tcPr>
            <w:tcW w:type="dxa" w:w="1347"/>
          </w:tcPr>
          <w:p>
            <w:pPr>
              <w:spacing w:after="20"/>
            </w:pPr>
            <w:r/>
          </w:p>
        </w:tc>
        <w:tc>
          <w:tcPr>
            <w:tcW w:type="dxa" w:w="1347"/>
          </w:tcPr>
          <w:p>
            <w:pPr>
              <w:spacing w:after="20"/>
            </w:pPr>
            <w:r/>
          </w:p>
        </w:tc>
        <w:tc>
          <w:tcPr>
            <w:tcW w:type="dxa" w:w="1347"/>
          </w:tcPr>
          <w:p>
            <w:pPr>
              <w:spacing w:after="20"/>
            </w:pPr>
            <w:r/>
          </w:p>
        </w:tc>
        <w:tc>
          <w:tcPr>
            <w:tcW w:type="dxa" w:w="1347"/>
          </w:tcPr>
          <w:p>
            <w:pPr>
              <w:spacing w:after="20"/>
            </w:pPr>
            <w:r/>
          </w:p>
        </w:tc>
        <w:tc>
          <w:tcPr>
            <w:tcW w:type="dxa" w:w="1347"/>
          </w:tcPr>
          <w:p>
            <w:pPr>
              <w:spacing w:after="20"/>
            </w:pPr>
            <w:r/>
          </w:p>
        </w:tc>
        <w:tc>
          <w:tcPr>
            <w:tcW w:type="dxa" w:w="1347"/>
          </w:tcPr>
          <w:p>
            <w:pPr>
              <w:spacing w:after="20"/>
            </w:pPr>
            <w:r/>
          </w:p>
        </w:tc>
        <w:tc>
          <w:tcPr>
            <w:tcW w:type="dxa" w:w="1347"/>
          </w:tcPr>
          <w:p>
            <w:pPr>
              <w:spacing w:after="20"/>
            </w:pPr>
            <w:r/>
          </w:p>
        </w:tc>
      </w:tr>
      <w:tr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β-blockers: psoriasis induction/exacerbation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t>[57, 23, 58]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 core + NMA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PV, cross-sectional, NMA, MR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 (ROR 8.95 vs 0.34; MR near-null)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−0 (asymmetry of PV signals)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 ⨁◯◯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OR 1.40 (1.20–1.63) NMA; divergent PV; MR null</w:t>
            </w:r>
          </w:p>
        </w:tc>
      </w:tr>
      <w:tr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ACE inhibitors: possible exacerbation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t>[23, 61] (Almasood, 2024; Wu S, Han J, Li WQ, Qureshi et al., 2014)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NMA, SR of MR, cohort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 ⨁◯◯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OR 1.67 (1.31–2.13); corroborating MR</w:t>
            </w:r>
          </w:p>
        </w:tc>
      </w:tr>
      <w:tr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CCBs: unclear/neutral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t>[23, 99]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NMA, in silico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 (computational component)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Very low ⨁◯◯◯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OR 1.53 (1.23–1.89) class-level</w:t>
            </w:r>
          </w:p>
        </w:tc>
      </w:tr>
      <w:tr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Statins: PASI improvement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t>[24, 63] (Weitz-Schmidt, 2002)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10 RCTs (MA)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MA of RCTs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 ⨁⨁◯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SMD −0.36 (−0.72 to 0.00); combination subgroup −0.82</w:t>
            </w:r>
          </w:p>
        </w:tc>
      </w:tr>
      <w:tr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Thiazide diuretics: possible exacerbation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t>[23]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 (NMA)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NMA of observational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 ⨁◯◯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OR 1.70 (1.40–2.06)</w:t>
            </w:r>
          </w:p>
        </w:tc>
      </w:tr>
      <w:tr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SGLT2 inhibitors: psoriasis improvement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t>[13, 64, 65, 66]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 (other indications) + TTE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−2 (no psoriasis-specific endpoints)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Very low ⨁◯◯◯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Mortality/renal benefit in psoriasis+T2DM; skin effect unproven</w:t>
            </w:r>
          </w:p>
        </w:tc>
      </w:tr>
      <w:tr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GLP-1 RAs: psoriasis improvement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t>[14, 67, 68, 69, 70]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 (other indications) + narrative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−2 (no psoriasis-specific endpoints)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Very low ⨁◯◯◯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CV benefit established; skin data preliminary</w:t>
            </w:r>
          </w:p>
        </w:tc>
      </w:tr>
      <w:tr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PCSK9 inhibitors: psoriasis improvement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t>[15, 71, 72]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 (other indications) + translational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−2 (mechanistic only for skin)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−2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Very low ⨁◯◯◯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Hypothetical</w:t>
            </w:r>
          </w:p>
        </w:tc>
      </w:tr>
      <w:tr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Colchicine: psoriasis improvement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t>[16, 73, 74] (Silvis MJM, Fiolet ATL, Opstal TSJ, et et al., 2021; Banach M, Penson et al., 2021; Meyer-Lindemann U, Mauersberger C, Schmidt AC, et et al., 2022; Mohammadnia N, Los J, Opstal TSJ, et et al., 2023)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6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 (CV) + case series (skin)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−2 (skin evidence non-randomized)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Very low ⨁◯◯◯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CV efficacy; skin unproven</w:t>
            </w:r>
          </w:p>
        </w:tc>
      </w:tr>
      <w:tr>
        <w:tc>
          <w:tcPr>
            <w:tcW w:type="dxa" w:w="1347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Psoriasis therapies → cardiovascular outcomes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</w:p>
        </w:tc>
        <w:tc>
          <w:tcPr>
            <w:tcW w:type="dxa" w:w="1347"/>
          </w:tcPr>
          <w:p>
            <w:pPr>
              <w:spacing w:after="20"/>
            </w:pPr>
            <w:r/>
          </w:p>
        </w:tc>
        <w:tc>
          <w:tcPr>
            <w:tcW w:type="dxa" w:w="1347"/>
          </w:tcPr>
          <w:p>
            <w:pPr>
              <w:spacing w:after="20"/>
            </w:pPr>
            <w:r/>
          </w:p>
        </w:tc>
        <w:tc>
          <w:tcPr>
            <w:tcW w:type="dxa" w:w="1347"/>
          </w:tcPr>
          <w:p>
            <w:pPr>
              <w:spacing w:after="20"/>
            </w:pPr>
            <w:r/>
          </w:p>
        </w:tc>
        <w:tc>
          <w:tcPr>
            <w:tcW w:type="dxa" w:w="1347"/>
          </w:tcPr>
          <w:p>
            <w:pPr>
              <w:spacing w:after="20"/>
            </w:pPr>
            <w:r/>
          </w:p>
        </w:tc>
        <w:tc>
          <w:tcPr>
            <w:tcW w:type="dxa" w:w="1347"/>
          </w:tcPr>
          <w:p>
            <w:pPr>
              <w:spacing w:after="20"/>
            </w:pPr>
            <w:r/>
          </w:p>
        </w:tc>
        <w:tc>
          <w:tcPr>
            <w:tcW w:type="dxa" w:w="1347"/>
          </w:tcPr>
          <w:p>
            <w:pPr>
              <w:spacing w:after="20"/>
            </w:pPr>
            <w:r/>
          </w:p>
        </w:tc>
        <w:tc>
          <w:tcPr>
            <w:tcW w:type="dxa" w:w="1347"/>
          </w:tcPr>
          <w:p>
            <w:pPr>
              <w:spacing w:after="20"/>
            </w:pPr>
            <w:r/>
          </w:p>
        </w:tc>
        <w:tc>
          <w:tcPr>
            <w:tcW w:type="dxa" w:w="1347"/>
          </w:tcPr>
          <w:p>
            <w:pPr>
              <w:spacing w:after="20"/>
            </w:pPr>
            <w:r/>
          </w:p>
        </w:tc>
        <w:tc>
          <w:tcPr>
            <w:tcW w:type="dxa" w:w="1347"/>
          </w:tcPr>
          <w:p>
            <w:pPr>
              <w:spacing w:after="20"/>
            </w:pPr>
            <w:r/>
          </w:p>
        </w:tc>
      </w:tr>
      <w:tr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TNF-α inhibitors: MACE reduction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t>[75, 76, 77, 96] (Qi Y, Jie et al., 2021; Ji L, Ravi S, Wright L, Nguyen V, Wiley J, Vukelic M, et et al., 2024)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6 core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Observational + SR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Moderate ⨁⨁◯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Consistent MACE/vascular-imaging benefit</w:t>
            </w:r>
          </w:p>
        </w:tc>
      </w:tr>
      <w:tr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IL-17 inhibitors: neutral/protective CV profile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t>[78, 79, 81, 80]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 (imaging) + SR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 (surrogate endpoints)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 ⨁⨁◯◯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VIP-S neutral; endothelial/FAI improvements</w:t>
            </w:r>
          </w:p>
        </w:tc>
      </w:tr>
      <w:tr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IL-23 inhibitors: neutral CV profile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t>[82]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 (+ extensions)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Trial/extension data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 ⨁⨁◯◯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No MACE increase</w:t>
            </w:r>
          </w:p>
        </w:tc>
      </w:tr>
      <w:tr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IL-12/23 (ustekinumab): possible reduction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t>[84, 83]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 (imaging) + review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 (imaging surrogate)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 ⨁⨁◯◯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AVI −18.65% (7.85–29.45)</w:t>
            </w:r>
          </w:p>
        </w:tc>
      </w:tr>
      <w:tr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IL-36R (spesolimab): no signal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t>[85]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Phase 2 RCT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−2 (small, short)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Very low ⨁◯◯◯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No MACE signal</w:t>
            </w:r>
          </w:p>
        </w:tc>
      </w:tr>
      <w:tr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Methotrexate: MACE reduction (psoriasis)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t>[86] (Ji L, Ravi S, Wright L, Nguyen V, Wiley J, Vukelic M, et et al., 2024; Prodanovich S, Kirsner RS, Kravetz JD, Ma F, Martinez L, Federman et al., 2009)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Observational + RCT (non-psoriasis)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 (CIRT neutral)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 ⨁◯◯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Observational benefit; CIRT neutral</w:t>
            </w:r>
          </w:p>
        </w:tc>
      </w:tr>
      <w:tr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Cyclosporine A: harm via risk factors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t>(Love TJ, Qureshi AA, Karlson EW, Gelfand JM, Choi et al., 2003; Setty AR, Curhan G, Choi et al., 2007; Armstrong AW, Harskamp CT, Armstrong et al., 2012; Puig, 2018) (context)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Mechanistic/observational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Very low ⨁◯◯◯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Dose-dependent hypertension/dyslipidemia</w:t>
            </w:r>
          </w:p>
        </w:tc>
      </w:tr>
      <w:tr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Acitretin: hypertriglyceridemia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t>(Love TJ, Qureshi AA, Karlson EW, Gelfand JM, Choi et al., 2003; Setty AR, Curhan G, Choi et al., 2007; Armstrong AW, Harskamp CT, Armstrong et al., 2012; Puig, 2018) (context)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Observational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Very low ⨁◯◯◯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Lipid elevation</w:t>
            </w:r>
          </w:p>
        </w:tc>
      </w:tr>
      <w:tr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Systemic glucocorticoids: dose-dependent harm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t>(Love TJ, Qureshi AA, Karlson EW, Gelfand JM, Choi et al., 2003; Setty AR, Curhan G, Choi et al., 2007; Armstrong AW, Harskamp CT, Armstrong et al., 2012; Puig, 2018) (context)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Extrapolated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Very low ⨁◯◯◯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Hypertension, insulin resistance, prothrombotic</w:t>
            </w:r>
          </w:p>
        </w:tc>
      </w:tr>
      <w:tr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Fumaric acid esters: no outcome data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t>[84] (context)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Observational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−2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Very low ⨁◯◯◯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Lymphopenia, flushing</w:t>
            </w:r>
          </w:p>
        </w:tc>
      </w:tr>
      <w:tr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Apremilast: favorable cardiometabolic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t>[87]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 (surrogates)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 ⨁◯◯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Glycocalyx/PWV/LV-GLS improvement</w:t>
            </w:r>
          </w:p>
        </w:tc>
      </w:tr>
      <w:tr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JAK inhibitors: potential MACE/VTE signal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t>[89, 88]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RCT (RA) + NMA (PsA)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 (RA vs PsA populations)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Very low ⨁◯◯◯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ORAL Surveillance signal; PsA NMA neutral</w:t>
            </w:r>
          </w:p>
        </w:tc>
      </w:tr>
      <w:tr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TYK2 (deucravacitinib): no signal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t>[90]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Phase 3 RCT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Very low ⨁◯◯◯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No MACE signal to 52 wk</w:t>
            </w:r>
          </w:p>
        </w:tc>
      </w:tr>
      <w:tr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Topical therapies: negligible direct effect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t>(Love TJ, Qureshi AA, Karlson EW, Gelfand JM, Choi et al., 2003; Setty AR, Curhan G, Choi et al., 2007; Armstrong AW, Harskamp CT, Armstrong et al., 2012; Puig, 2018) (context)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Narrative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 ⨁⨁◯◯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Undertreatment concern</w:t>
            </w:r>
          </w:p>
        </w:tc>
      </w:tr>
      <w:tr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Phototherapy: neutral</w:t>
            </w:r>
          </w:p>
        </w:tc>
        <w:tc>
          <w:tcPr>
            <w:tcW w:type="dxa" w:w="1347"/>
          </w:tcPr>
          <w:p>
            <w:pPr>
              <w:spacing w:after="20"/>
            </w:pPr>
            <w:r>
              <w:t>[84] (context)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Narrative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−1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−0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Low ⨁◯◯</w:t>
            </w:r>
          </w:p>
        </w:tc>
        <w:tc>
          <w:tcPr>
            <w:tcW w:type="dxa" w:w="134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No systemic CV burden</w:t>
            </w:r>
          </w:p>
        </w:tc>
      </w:tr>
    </w:tbl>
    <w:p>
      <w:r>
        <w:rPr>
          <w:rFonts w:ascii="Times New Roman" w:hAnsi="Times New Roman" w:eastAsia="宋体"/>
          <w:i/>
        </w:rPr>
        <w:t>Notes:</w:t>
      </w:r>
      <w:r>
        <w:rPr>
          <w:rFonts w:ascii="Times New Roman" w:hAnsi="Times New Roman" w:eastAsia="宋体"/>
        </w:rPr>
        <w:t xml:space="preserve"> Downgrade codes: −1 = one level; −2 = two levels. Word ratings are primary; circle symbols reproduced from Tables 1 and 2 (filled circles denote certainty level per the main-text convention). Outcomes supported by contextual or narrative evidence only are labeled "context" and derive their ratings from Table 2.</w:t>
      </w:r>
    </w:p>
    <w:p>
      <w:pPr>
        <w:sectPr>
          <w:pgSz w:w="16834" w:h="11909" w:orient="landscape"/>
          <w:pgMar w:top="1008" w:right="1008" w:bottom="1008" w:left="1008" w:header="720" w:footer="720" w:gutter="0"/>
          <w:cols w:space="720"/>
          <w:docGrid w:linePitch="360"/>
        </w:sectPr>
      </w:pPr>
    </w:p>
    <w:p>
      <w:pPr>
        <w:spacing w:before="200"/>
      </w:pPr>
      <w:r>
        <w:rPr>
          <w:rFonts w:ascii="Times New Roman" w:hAnsi="Times New Roman"/>
          <w:b/>
          <w:sz w:val="24"/>
        </w:rPr>
        <w:t>Supplementary Table S4. Excluded Studies at Each Selection Stage with Reasons</w:t>
      </w:r>
    </w:p>
    <w:p>
      <w:r>
        <w:rPr>
          <w:rFonts w:ascii="Times New Roman" w:hAnsi="Times New Roman" w:eastAsia="宋体"/>
          <w:b/>
        </w:rPr>
        <w:t>Part A. Flow of records through selection stages (PRISMA 2020).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Stage</w:t>
            </w:r>
          </w:p>
        </w:tc>
        <w:tc>
          <w:tcPr>
            <w:tcW w:type="dxa" w:w="2473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Records</w:t>
            </w:r>
          </w:p>
        </w:tc>
        <w:tc>
          <w:tcPr>
            <w:tcW w:type="dxa" w:w="2473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Excluded</w:t>
            </w:r>
          </w:p>
        </w:tc>
        <w:tc>
          <w:tcPr>
            <w:tcW w:type="dxa" w:w="2473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Reasons (n)</w:t>
            </w:r>
          </w:p>
        </w:tc>
      </w:tr>
      <w:tr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Identification (databases)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5,378 (PubMed 1,107; Ovid MEDLINE 1,064; WoS 2,774; CENTRAL 433)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</w:tr>
      <w:tr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Duplicates removed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2,214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EndNote DOI/title matching</w:t>
            </w:r>
          </w:p>
        </w:tc>
      </w:tr>
      <w:tr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Title/abstract screening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3,164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2,006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Design, population, intervention, outcome, or sample size (1,686); publication type or year outside 2015–2026 window (320)</w:t>
            </w:r>
          </w:p>
        </w:tc>
      </w:tr>
      <w:tr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Reports sought for retrieval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1,158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587 (not retrieved)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Conference abstracts without full paper (including 12 CENTRAL trial reports available only as abstracts)</w:t>
            </w:r>
          </w:p>
        </w:tc>
      </w:tr>
      <w:tr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Eligibility assessment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571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7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Detailed in Part B</w:t>
            </w:r>
          </w:p>
        </w:tc>
      </w:tr>
      <w:tr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Included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556 studies (564 reports)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—</w:t>
            </w:r>
          </w:p>
        </w:tc>
      </w:tr>
    </w:tbl>
    <w:p>
      <w:r>
        <w:rPr>
          <w:rFonts w:ascii="Times New Roman" w:hAnsi="Times New Roman" w:eastAsia="宋体"/>
          <w:b/>
        </w:rPr>
        <w:t>Part B. Reports excluded at the eligibility-assessment stage (n = 7).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No.</w:t>
            </w:r>
          </w:p>
        </w:tc>
        <w:tc>
          <w:tcPr>
            <w:tcW w:type="dxa" w:w="2473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Reason category</w:t>
            </w:r>
          </w:p>
        </w:tc>
        <w:tc>
          <w:tcPr>
            <w:tcW w:type="dxa" w:w="2473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n</w:t>
            </w:r>
          </w:p>
        </w:tc>
        <w:tc>
          <w:tcPr>
            <w:tcW w:type="dxa" w:w="2473"/>
          </w:tcPr>
          <w:p>
            <w:pPr>
              <w:spacing w:after="20"/>
            </w:pPr>
            <w:r>
              <w:rPr>
                <w:b/>
              </w:rPr>
            </w:r>
            <w:r>
              <w:rPr>
                <w:rFonts w:ascii="Times New Roman" w:hAnsi="Times New Roman" w:eastAsia="宋体"/>
                <w:b/>
                <w:sz w:val="15"/>
              </w:rPr>
              <w:t>Description</w:t>
            </w:r>
          </w:p>
        </w:tc>
      </w:tr>
      <w:tr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1–3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Small sample size below eligibility threshold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Case series with n &lt; 10 or observational studies with n &lt; 500, per the eligibility criteria (Section 2.3)</w:t>
            </w:r>
          </w:p>
        </w:tc>
      </w:tr>
      <w:tr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4–6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Non-eligible design or non-original research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3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Full text revealed narrative review, editorial/commentary format, or uncontrolled single-case description not meeting any eligible design category</w:t>
            </w:r>
          </w:p>
        </w:tc>
      </w:tr>
      <w:tr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7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Non-eligible population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1</w:t>
            </w:r>
          </w:p>
        </w:tc>
        <w:tc>
          <w:tcPr>
            <w:tcW w:type="dxa" w:w="24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sz w:val="15"/>
              </w:rPr>
              <w:t>Pediatric-only population (excluded per Section 2.3)</w:t>
            </w:r>
          </w:p>
        </w:tc>
      </w:tr>
    </w:tbl>
    <w:p>
      <w:r>
        <w:rPr>
          <w:rFonts w:ascii="Times New Roman" w:hAnsi="Times New Roman" w:eastAsia="宋体"/>
        </w:rPr>
        <w:t>Report-level identifiers and the Rayyan screening audit trail for the 2,006 records excluded at title/abstract screening and the 7 reports excluded at eligibility assessment are retained by the review team and are available from the corresponding author on reasonable request.</w:t>
      </w:r>
    </w:p>
    <w:p>
      <w:r>
        <w:rPr>
          <w:rFonts w:ascii="Times New Roman" w:hAnsi="Times New Roman" w:eastAsia="宋体"/>
          <w:i/>
        </w:rPr>
        <w:t>End of Supplementary Materials.</w:t>
      </w:r>
    </w:p>
    <w:sectPr w:rsidR="00FC693F" w:rsidRPr="0006063C" w:rsidSect="00034616">
      <w:pgSz w:w="11909" w:h="16834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