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8"/>
        </w:rPr>
        <w:t>Supplementary Appendices</w:t>
      </w:r>
    </w:p>
    <w:p>
      <w:r>
        <w:rPr>
          <w:rFonts w:ascii="Times New Roman" w:hAnsi="Times New Roman" w:eastAsia="宋体"/>
          <w:b/>
          <w:sz w:val="20"/>
        </w:rPr>
        <w:t>Manuscript:</w:t>
      </w:r>
      <w:r>
        <w:rPr>
          <w:rFonts w:ascii="Times New Roman" w:hAnsi="Times New Roman" w:eastAsia="宋体"/>
          <w:sz w:val="20"/>
        </w:rPr>
        <w:t xml:space="preserve"> Cardiodermatology: From Shared Pathogenesis to Dual-Target Drug Repurposing (PRISMA 2020 systematic review; protocol registered on OSF, https://osf.io/25uf9)</w:t>
      </w:r>
    </w:p>
    <w:p>
      <w:r>
        <w:rPr>
          <w:rFonts w:ascii="Times New Roman" w:hAnsi="Times New Roman" w:eastAsia="宋体"/>
          <w:b/>
          <w:sz w:val="20"/>
        </w:rPr>
        <w:t>Contents:</w:t>
      </w:r>
      <w:r>
        <w:rPr>
          <w:rFonts w:ascii="Times New Roman" w:hAnsi="Times New Roman" w:eastAsia="宋体"/>
          <w:sz w:val="20"/>
        </w:rPr>
        <w:t xml:space="preserve"> Supplementary Appendix S1 (PRISMA 2020 checklist) and Supplementary Appendix S2 (full search strategies for all databases).</w:t>
      </w:r>
    </w:p>
    <w:p>
      <w:pPr>
        <w:spacing w:before="200"/>
      </w:pPr>
      <w:r>
        <w:rPr>
          <w:rFonts w:ascii="Times New Roman" w:hAnsi="Times New Roman"/>
          <w:b/>
          <w:sz w:val="24"/>
        </w:rPr>
        <w:t>Supplementary Appendix S1. PRISMA 2020 Checklist</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pPr>
            <w:r>
              <w:rPr>
                <w:b/>
              </w:rPr>
            </w:r>
            <w:r>
              <w:rPr>
                <w:rFonts w:ascii="Times New Roman" w:hAnsi="Times New Roman" w:eastAsia="宋体"/>
                <w:b/>
                <w:sz w:val="15"/>
              </w:rPr>
              <w:t>Item No.</w:t>
            </w:r>
          </w:p>
        </w:tc>
        <w:tc>
          <w:tcPr>
            <w:tcW w:type="dxa" w:w="3408"/>
          </w:tcPr>
          <w:p>
            <w:pPr>
              <w:spacing w:after="20"/>
            </w:pPr>
            <w:r>
              <w:rPr>
                <w:b/>
              </w:rPr>
            </w:r>
            <w:r>
              <w:rPr>
                <w:rFonts w:ascii="Times New Roman" w:hAnsi="Times New Roman" w:eastAsia="宋体"/>
                <w:b/>
                <w:sz w:val="15"/>
              </w:rPr>
              <w:t>PRISMA 2020 item</w:t>
            </w:r>
          </w:p>
        </w:tc>
        <w:tc>
          <w:tcPr>
            <w:tcW w:type="dxa" w:w="3408"/>
          </w:tcPr>
          <w:p>
            <w:pPr>
              <w:spacing w:after="20"/>
            </w:pPr>
            <w:r>
              <w:rPr>
                <w:b/>
              </w:rPr>
            </w:r>
            <w:r>
              <w:rPr>
                <w:rFonts w:ascii="Times New Roman" w:hAnsi="Times New Roman" w:eastAsia="宋体"/>
                <w:b/>
                <w:sz w:val="15"/>
              </w:rPr>
              <w:t>Location / reporting in this manuscript</w:t>
            </w:r>
          </w:p>
        </w:tc>
      </w:tr>
      <w:tr>
        <w:tc>
          <w:tcPr>
            <w:tcW w:type="dxa" w:w="3408"/>
          </w:tcPr>
          <w:p>
            <w:pPr>
              <w:spacing w:after="20"/>
            </w:pPr>
            <w:r/>
            <w:r>
              <w:rPr>
                <w:rFonts w:ascii="Times New Roman" w:hAnsi="Times New Roman" w:eastAsia="宋体"/>
                <w:sz w:val="15"/>
              </w:rPr>
              <w:t>1</w:t>
            </w:r>
          </w:p>
        </w:tc>
        <w:tc>
          <w:tcPr>
            <w:tcW w:type="dxa" w:w="3408"/>
          </w:tcPr>
          <w:p>
            <w:pPr>
              <w:spacing w:after="20"/>
            </w:pPr>
            <w:r/>
            <w:r>
              <w:rPr>
                <w:rFonts w:ascii="Times New Roman" w:hAnsi="Times New Roman" w:eastAsia="宋体"/>
                <w:sz w:val="15"/>
              </w:rPr>
              <w:t>Identify the report as a systematic review in the title</w:t>
            </w:r>
          </w:p>
        </w:tc>
        <w:tc>
          <w:tcPr>
            <w:tcW w:type="dxa" w:w="3408"/>
          </w:tcPr>
          <w:p>
            <w:pPr>
              <w:spacing w:after="20"/>
            </w:pPr>
            <w:r/>
            <w:r>
              <w:rPr>
                <w:rFonts w:ascii="Times New Roman" w:hAnsi="Times New Roman" w:eastAsia="宋体"/>
                <w:sz w:val="15"/>
              </w:rPr>
              <w:t>Title page ("systematic review" stated in Abstract; PRISMA 2020 compliance declared in Section 2.1)</w:t>
            </w:r>
          </w:p>
        </w:tc>
      </w:tr>
      <w:tr>
        <w:tc>
          <w:tcPr>
            <w:tcW w:type="dxa" w:w="3408"/>
          </w:tcPr>
          <w:p>
            <w:pPr>
              <w:spacing w:after="20"/>
            </w:pPr>
            <w:r/>
            <w:r>
              <w:rPr>
                <w:rFonts w:ascii="Times New Roman" w:hAnsi="Times New Roman" w:eastAsia="宋体"/>
                <w:sz w:val="15"/>
              </w:rPr>
              <w:t>2</w:t>
            </w:r>
          </w:p>
        </w:tc>
        <w:tc>
          <w:tcPr>
            <w:tcW w:type="dxa" w:w="3408"/>
          </w:tcPr>
          <w:p>
            <w:pPr>
              <w:spacing w:after="20"/>
            </w:pPr>
            <w:r/>
            <w:r>
              <w:rPr>
                <w:rFonts w:ascii="Times New Roman" w:hAnsi="Times New Roman" w:eastAsia="宋体"/>
                <w:sz w:val="15"/>
              </w:rPr>
              <w:t>Structured abstract</w:t>
            </w:r>
          </w:p>
        </w:tc>
        <w:tc>
          <w:tcPr>
            <w:tcW w:type="dxa" w:w="3408"/>
          </w:tcPr>
          <w:p>
            <w:pPr>
              <w:spacing w:after="20"/>
            </w:pPr>
            <w:r/>
            <w:r>
              <w:rPr>
                <w:rFonts w:ascii="Times New Roman" w:hAnsi="Times New Roman" w:eastAsia="宋体"/>
                <w:sz w:val="15"/>
              </w:rPr>
              <w:t>Abstract (Background, Methods, Results, Conclusions)</w:t>
            </w:r>
          </w:p>
        </w:tc>
      </w:tr>
      <w:tr>
        <w:tc>
          <w:tcPr>
            <w:tcW w:type="dxa" w:w="3408"/>
          </w:tcPr>
          <w:p>
            <w:pPr>
              <w:spacing w:after="20"/>
            </w:pPr>
            <w:r/>
            <w:r>
              <w:rPr>
                <w:rFonts w:ascii="Times New Roman" w:hAnsi="Times New Roman" w:eastAsia="宋体"/>
                <w:sz w:val="15"/>
              </w:rPr>
              <w:t>3</w:t>
            </w:r>
          </w:p>
        </w:tc>
        <w:tc>
          <w:tcPr>
            <w:tcW w:type="dxa" w:w="3408"/>
          </w:tcPr>
          <w:p>
            <w:pPr>
              <w:spacing w:after="20"/>
            </w:pPr>
            <w:r/>
            <w:r>
              <w:rPr>
                <w:rFonts w:ascii="Times New Roman" w:hAnsi="Times New Roman" w:eastAsia="宋体"/>
                <w:sz w:val="15"/>
              </w:rPr>
              <w:t>Rationale</w:t>
            </w:r>
          </w:p>
        </w:tc>
        <w:tc>
          <w:tcPr>
            <w:tcW w:type="dxa" w:w="3408"/>
          </w:tcPr>
          <w:p>
            <w:pPr>
              <w:spacing w:after="20"/>
            </w:pPr>
            <w:r/>
            <w:r>
              <w:rPr>
                <w:rFonts w:ascii="Times New Roman" w:hAnsi="Times New Roman" w:eastAsia="宋体"/>
                <w:sz w:val="15"/>
              </w:rPr>
              <w:t>Section 1 (Introduction)</w:t>
            </w:r>
          </w:p>
        </w:tc>
      </w:tr>
      <w:tr>
        <w:tc>
          <w:tcPr>
            <w:tcW w:type="dxa" w:w="3408"/>
          </w:tcPr>
          <w:p>
            <w:pPr>
              <w:spacing w:after="20"/>
            </w:pPr>
            <w:r/>
            <w:r>
              <w:rPr>
                <w:rFonts w:ascii="Times New Roman" w:hAnsi="Times New Roman" w:eastAsia="宋体"/>
                <w:sz w:val="15"/>
              </w:rPr>
              <w:t>4</w:t>
            </w:r>
          </w:p>
        </w:tc>
        <w:tc>
          <w:tcPr>
            <w:tcW w:type="dxa" w:w="3408"/>
          </w:tcPr>
          <w:p>
            <w:pPr>
              <w:spacing w:after="20"/>
            </w:pPr>
            <w:r/>
            <w:r>
              <w:rPr>
                <w:rFonts w:ascii="Times New Roman" w:hAnsi="Times New Roman" w:eastAsia="宋体"/>
                <w:sz w:val="15"/>
              </w:rPr>
              <w:t>Objectives</w:t>
            </w:r>
          </w:p>
        </w:tc>
        <w:tc>
          <w:tcPr>
            <w:tcW w:type="dxa" w:w="3408"/>
          </w:tcPr>
          <w:p>
            <w:pPr>
              <w:spacing w:after="20"/>
            </w:pPr>
            <w:r/>
            <w:r>
              <w:rPr>
                <w:rFonts w:ascii="Times New Roman" w:hAnsi="Times New Roman" w:eastAsia="宋体"/>
                <w:sz w:val="15"/>
              </w:rPr>
              <w:t>Section 1, final paragraph</w:t>
            </w:r>
          </w:p>
        </w:tc>
      </w:tr>
      <w:tr>
        <w:tc>
          <w:tcPr>
            <w:tcW w:type="dxa" w:w="3408"/>
          </w:tcPr>
          <w:p>
            <w:pPr>
              <w:spacing w:after="20"/>
            </w:pPr>
            <w:r/>
            <w:r>
              <w:rPr>
                <w:rFonts w:ascii="Times New Roman" w:hAnsi="Times New Roman" w:eastAsia="宋体"/>
                <w:sz w:val="15"/>
              </w:rPr>
              <w:t>5</w:t>
            </w:r>
          </w:p>
        </w:tc>
        <w:tc>
          <w:tcPr>
            <w:tcW w:type="dxa" w:w="3408"/>
          </w:tcPr>
          <w:p>
            <w:pPr>
              <w:spacing w:after="20"/>
            </w:pPr>
            <w:r/>
            <w:r>
              <w:rPr>
                <w:rFonts w:ascii="Times New Roman" w:hAnsi="Times New Roman" w:eastAsia="宋体"/>
                <w:sz w:val="15"/>
              </w:rPr>
              <w:t>Eligibility criteria</w:t>
            </w:r>
          </w:p>
        </w:tc>
        <w:tc>
          <w:tcPr>
            <w:tcW w:type="dxa" w:w="3408"/>
          </w:tcPr>
          <w:p>
            <w:pPr>
              <w:spacing w:after="20"/>
            </w:pPr>
            <w:r/>
            <w:r>
              <w:rPr>
                <w:rFonts w:ascii="Times New Roman" w:hAnsi="Times New Roman" w:eastAsia="宋体"/>
                <w:sz w:val="15"/>
              </w:rPr>
              <w:t>Section 2.3 (PICOS: design, population, intervention, outcomes, language/period)</w:t>
            </w:r>
          </w:p>
        </w:tc>
      </w:tr>
      <w:tr>
        <w:tc>
          <w:tcPr>
            <w:tcW w:type="dxa" w:w="3408"/>
          </w:tcPr>
          <w:p>
            <w:pPr>
              <w:spacing w:after="20"/>
            </w:pPr>
            <w:r/>
            <w:r>
              <w:rPr>
                <w:rFonts w:ascii="Times New Roman" w:hAnsi="Times New Roman" w:eastAsia="宋体"/>
                <w:sz w:val="15"/>
              </w:rPr>
              <w:t>6</w:t>
            </w:r>
          </w:p>
        </w:tc>
        <w:tc>
          <w:tcPr>
            <w:tcW w:type="dxa" w:w="3408"/>
          </w:tcPr>
          <w:p>
            <w:pPr>
              <w:spacing w:after="20"/>
            </w:pPr>
            <w:r/>
            <w:r>
              <w:rPr>
                <w:rFonts w:ascii="Times New Roman" w:hAnsi="Times New Roman" w:eastAsia="宋体"/>
                <w:sz w:val="15"/>
              </w:rPr>
              <w:t>Information sources</w:t>
            </w:r>
          </w:p>
        </w:tc>
        <w:tc>
          <w:tcPr>
            <w:tcW w:type="dxa" w:w="3408"/>
          </w:tcPr>
          <w:p>
            <w:pPr>
              <w:spacing w:after="20"/>
            </w:pPr>
            <w:r/>
            <w:r>
              <w:rPr>
                <w:rFonts w:ascii="Times New Roman" w:hAnsi="Times New Roman" w:eastAsia="宋体"/>
                <w:sz w:val="15"/>
              </w:rPr>
              <w:t>Section 2.2 (PubMed, Ovid MEDLINE, Web of Science Core Collection, CENTRAL; search window Jan 1, 2015–Jul 31, 2026; CENTRAL searched Aug 20, 2026)</w:t>
            </w:r>
          </w:p>
        </w:tc>
      </w:tr>
      <w:tr>
        <w:tc>
          <w:tcPr>
            <w:tcW w:type="dxa" w:w="3408"/>
          </w:tcPr>
          <w:p>
            <w:pPr>
              <w:spacing w:after="20"/>
            </w:pPr>
            <w:r/>
            <w:r>
              <w:rPr>
                <w:rFonts w:ascii="Times New Roman" w:hAnsi="Times New Roman" w:eastAsia="宋体"/>
                <w:sz w:val="15"/>
              </w:rPr>
              <w:t>7</w:t>
            </w:r>
          </w:p>
        </w:tc>
        <w:tc>
          <w:tcPr>
            <w:tcW w:type="dxa" w:w="3408"/>
          </w:tcPr>
          <w:p>
            <w:pPr>
              <w:spacing w:after="20"/>
            </w:pPr>
            <w:r/>
            <w:r>
              <w:rPr>
                <w:rFonts w:ascii="Times New Roman" w:hAnsi="Times New Roman" w:eastAsia="宋体"/>
                <w:sz w:val="15"/>
              </w:rPr>
              <w:t>Full search strategies</w:t>
            </w:r>
          </w:p>
        </w:tc>
        <w:tc>
          <w:tcPr>
            <w:tcW w:type="dxa" w:w="3408"/>
          </w:tcPr>
          <w:p>
            <w:pPr>
              <w:spacing w:after="20"/>
            </w:pPr>
            <w:r>
              <w:t>Section 2.2; full strategies in Supplementary Appendix S2; validated against PRESS 2015 [ref 17]</w:t>
            </w:r>
          </w:p>
        </w:tc>
      </w:tr>
      <w:tr>
        <w:tc>
          <w:tcPr>
            <w:tcW w:type="dxa" w:w="3408"/>
          </w:tcPr>
          <w:p>
            <w:pPr>
              <w:spacing w:after="20"/>
            </w:pPr>
            <w:r/>
            <w:r>
              <w:rPr>
                <w:rFonts w:ascii="Times New Roman" w:hAnsi="Times New Roman" w:eastAsia="宋体"/>
                <w:sz w:val="15"/>
              </w:rPr>
              <w:t>8</w:t>
            </w:r>
          </w:p>
        </w:tc>
        <w:tc>
          <w:tcPr>
            <w:tcW w:type="dxa" w:w="3408"/>
          </w:tcPr>
          <w:p>
            <w:pPr>
              <w:spacing w:after="20"/>
            </w:pPr>
            <w:r/>
            <w:r>
              <w:rPr>
                <w:rFonts w:ascii="Times New Roman" w:hAnsi="Times New Roman" w:eastAsia="宋体"/>
                <w:sz w:val="15"/>
              </w:rPr>
              <w:t>Selection process</w:t>
            </w:r>
          </w:p>
        </w:tc>
        <w:tc>
          <w:tcPr>
            <w:tcW w:type="dxa" w:w="3408"/>
          </w:tcPr>
          <w:p>
            <w:pPr>
              <w:spacing w:after="20"/>
            </w:pPr>
            <w:r/>
            <w:r>
              <w:rPr>
                <w:rFonts w:ascii="Times New Roman" w:hAnsi="Times New Roman" w:eastAsia="宋体"/>
                <w:sz w:val="15"/>
              </w:rPr>
              <w:t>Section 2.4 (two independent reviewers, Rayyan; third-reviewer adjudication; exclusion reasons in Figure 1 and Supplementary Table S4)</w:t>
            </w:r>
          </w:p>
        </w:tc>
      </w:tr>
      <w:tr>
        <w:tc>
          <w:tcPr>
            <w:tcW w:type="dxa" w:w="3408"/>
          </w:tcPr>
          <w:p>
            <w:pPr>
              <w:spacing w:after="20"/>
            </w:pPr>
            <w:r/>
            <w:r>
              <w:rPr>
                <w:rFonts w:ascii="Times New Roman" w:hAnsi="Times New Roman" w:eastAsia="宋体"/>
                <w:sz w:val="15"/>
              </w:rPr>
              <w:t>9</w:t>
            </w:r>
          </w:p>
        </w:tc>
        <w:tc>
          <w:tcPr>
            <w:tcW w:type="dxa" w:w="3408"/>
          </w:tcPr>
          <w:p>
            <w:pPr>
              <w:spacing w:after="20"/>
            </w:pPr>
            <w:r/>
            <w:r>
              <w:rPr>
                <w:rFonts w:ascii="Times New Roman" w:hAnsi="Times New Roman" w:eastAsia="宋体"/>
                <w:sz w:val="15"/>
              </w:rPr>
              <w:t>Data collection process</w:t>
            </w:r>
          </w:p>
        </w:tc>
        <w:tc>
          <w:tcPr>
            <w:tcW w:type="dxa" w:w="3408"/>
          </w:tcPr>
          <w:p>
            <w:pPr>
              <w:spacing w:after="20"/>
            </w:pPr>
            <w:r/>
            <w:r>
              <w:rPr>
                <w:rFonts w:ascii="Times New Roman" w:hAnsi="Times New Roman" w:eastAsia="宋体"/>
                <w:sz w:val="15"/>
              </w:rPr>
              <w:t>Section 2.5 (standardized piloted Excel form; independent extraction; third-reviewer adjudication)</w:t>
            </w:r>
          </w:p>
        </w:tc>
      </w:tr>
      <w:tr>
        <w:tc>
          <w:tcPr>
            <w:tcW w:type="dxa" w:w="3408"/>
          </w:tcPr>
          <w:p>
            <w:pPr>
              <w:spacing w:after="20"/>
            </w:pPr>
            <w:r/>
            <w:r>
              <w:rPr>
                <w:rFonts w:ascii="Times New Roman" w:hAnsi="Times New Roman" w:eastAsia="宋体"/>
                <w:sz w:val="15"/>
              </w:rPr>
              <w:t>10a</w:t>
            </w:r>
          </w:p>
        </w:tc>
        <w:tc>
          <w:tcPr>
            <w:tcW w:type="dxa" w:w="3408"/>
          </w:tcPr>
          <w:p>
            <w:pPr>
              <w:spacing w:after="20"/>
            </w:pPr>
            <w:r/>
            <w:r>
              <w:rPr>
                <w:rFonts w:ascii="Times New Roman" w:hAnsi="Times New Roman" w:eastAsia="宋体"/>
                <w:sz w:val="15"/>
              </w:rPr>
              <w:t>Outcome domains</w:t>
            </w:r>
          </w:p>
        </w:tc>
        <w:tc>
          <w:tcPr>
            <w:tcW w:type="dxa" w:w="3408"/>
          </w:tcPr>
          <w:p>
            <w:pPr>
              <w:spacing w:after="20"/>
            </w:pPr>
            <w:r/>
            <w:r>
              <w:rPr>
                <w:rFonts w:ascii="Times New Roman" w:hAnsi="Times New Roman" w:eastAsia="宋体"/>
                <w:sz w:val="15"/>
              </w:rPr>
              <w:t>Section 2.3 and 2.5 (MACE, revascularization, PASI/PASI-75/90, drug-induced psoriasis, inflammatory biomarkers, imaging endpoints)</w:t>
            </w:r>
          </w:p>
        </w:tc>
      </w:tr>
      <w:tr>
        <w:tc>
          <w:tcPr>
            <w:tcW w:type="dxa" w:w="3408"/>
          </w:tcPr>
          <w:p>
            <w:pPr>
              <w:spacing w:after="20"/>
            </w:pPr>
            <w:r/>
            <w:r>
              <w:rPr>
                <w:rFonts w:ascii="Times New Roman" w:hAnsi="Times New Roman" w:eastAsia="宋体"/>
                <w:sz w:val="15"/>
              </w:rPr>
              <w:t>10b</w:t>
            </w:r>
          </w:p>
        </w:tc>
        <w:tc>
          <w:tcPr>
            <w:tcW w:type="dxa" w:w="3408"/>
          </w:tcPr>
          <w:p>
            <w:pPr>
              <w:spacing w:after="20"/>
            </w:pPr>
            <w:r/>
            <w:r>
              <w:rPr>
                <w:rFonts w:ascii="Times New Roman" w:hAnsi="Times New Roman" w:eastAsia="宋体"/>
                <w:sz w:val="15"/>
              </w:rPr>
              <w:t>Other variables</w:t>
            </w:r>
          </w:p>
        </w:tc>
        <w:tc>
          <w:tcPr>
            <w:tcW w:type="dxa" w:w="3408"/>
          </w:tcPr>
          <w:p>
            <w:pPr>
              <w:spacing w:after="20"/>
            </w:pPr>
            <w:r/>
            <w:r>
              <w:rPr>
                <w:rFonts w:ascii="Times New Roman" w:hAnsi="Times New Roman" w:eastAsia="宋体"/>
                <w:sz w:val="15"/>
              </w:rPr>
              <w:t>Section 2.5 (demographics, severity, intervention details, funding)</w:t>
            </w:r>
          </w:p>
        </w:tc>
      </w:tr>
      <w:tr>
        <w:tc>
          <w:tcPr>
            <w:tcW w:type="dxa" w:w="3408"/>
          </w:tcPr>
          <w:p>
            <w:pPr>
              <w:spacing w:after="20"/>
            </w:pPr>
            <w:r/>
            <w:r>
              <w:rPr>
                <w:rFonts w:ascii="Times New Roman" w:hAnsi="Times New Roman" w:eastAsia="宋体"/>
                <w:sz w:val="15"/>
              </w:rPr>
              <w:t>11</w:t>
            </w:r>
          </w:p>
        </w:tc>
        <w:tc>
          <w:tcPr>
            <w:tcW w:type="dxa" w:w="3408"/>
          </w:tcPr>
          <w:p>
            <w:pPr>
              <w:spacing w:after="20"/>
            </w:pPr>
            <w:r/>
            <w:r>
              <w:rPr>
                <w:rFonts w:ascii="Times New Roman" w:hAnsi="Times New Roman" w:eastAsia="宋体"/>
                <w:sz w:val="15"/>
              </w:rPr>
              <w:t>Study risk-of-bias tools</w:t>
            </w:r>
          </w:p>
        </w:tc>
        <w:tc>
          <w:tcPr>
            <w:tcW w:type="dxa" w:w="3408"/>
          </w:tcPr>
          <w:p>
            <w:pPr>
              <w:spacing w:after="20"/>
            </w:pPr>
            <w:r>
              <w:t>Section 2.6 (RoB 2 [19], ROBINS-I [20], AMSTAR 2 [21], dedicated MR and pharmacovigilance criteria); results in Supplementary Table S2</w:t>
            </w:r>
          </w:p>
        </w:tc>
      </w:tr>
      <w:tr>
        <w:tc>
          <w:tcPr>
            <w:tcW w:type="dxa" w:w="3408"/>
          </w:tcPr>
          <w:p>
            <w:pPr>
              <w:spacing w:after="20"/>
            </w:pPr>
            <w:r/>
            <w:r>
              <w:rPr>
                <w:rFonts w:ascii="Times New Roman" w:hAnsi="Times New Roman" w:eastAsia="宋体"/>
                <w:sz w:val="15"/>
              </w:rPr>
              <w:t>12</w:t>
            </w:r>
          </w:p>
        </w:tc>
        <w:tc>
          <w:tcPr>
            <w:tcW w:type="dxa" w:w="3408"/>
          </w:tcPr>
          <w:p>
            <w:pPr>
              <w:spacing w:after="20"/>
            </w:pPr>
            <w:r/>
            <w:r>
              <w:rPr>
                <w:rFonts w:ascii="Times New Roman" w:hAnsi="Times New Roman" w:eastAsia="宋体"/>
                <w:sz w:val="15"/>
              </w:rPr>
              <w:t>Effect measures</w:t>
            </w:r>
          </w:p>
        </w:tc>
        <w:tc>
          <w:tcPr>
            <w:tcW w:type="dxa" w:w="3408"/>
          </w:tcPr>
          <w:p>
            <w:pPr>
              <w:spacing w:after="20"/>
            </w:pPr>
            <w:r/>
            <w:r>
              <w:rPr>
                <w:rFonts w:ascii="Times New Roman" w:hAnsi="Times New Roman" w:eastAsia="宋体"/>
                <w:sz w:val="15"/>
              </w:rPr>
              <w:t>As reported by primary studies (OR, HR, RR, SMD; no pooled meta-analysis performed; see Section 2.7)</w:t>
            </w:r>
          </w:p>
        </w:tc>
      </w:tr>
      <w:tr>
        <w:tc>
          <w:tcPr>
            <w:tcW w:type="dxa" w:w="3408"/>
          </w:tcPr>
          <w:p>
            <w:pPr>
              <w:spacing w:after="20"/>
            </w:pPr>
            <w:r/>
            <w:r>
              <w:rPr>
                <w:rFonts w:ascii="Times New Roman" w:hAnsi="Times New Roman" w:eastAsia="宋体"/>
                <w:sz w:val="15"/>
              </w:rPr>
              <w:t>13a–13e</w:t>
            </w:r>
          </w:p>
        </w:tc>
        <w:tc>
          <w:tcPr>
            <w:tcW w:type="dxa" w:w="3408"/>
          </w:tcPr>
          <w:p>
            <w:pPr>
              <w:spacing w:after="20"/>
            </w:pPr>
            <w:r/>
            <w:r>
              <w:rPr>
                <w:rFonts w:ascii="Times New Roman" w:hAnsi="Times New Roman" w:eastAsia="宋体"/>
                <w:sz w:val="15"/>
              </w:rPr>
              <w:t>Synthesis methods</w:t>
            </w:r>
          </w:p>
        </w:tc>
        <w:tc>
          <w:tcPr>
            <w:tcW w:type="dxa" w:w="3408"/>
          </w:tcPr>
          <w:p>
            <w:pPr>
              <w:spacing w:after="20"/>
            </w:pPr>
            <w:r/>
            <w:r>
              <w:rPr>
                <w:rFonts w:ascii="Times New Roman" w:hAnsi="Times New Roman" w:eastAsia="宋体"/>
                <w:sz w:val="15"/>
              </w:rPr>
              <w:t>Section 2.7 (narrative synthesis; quantitative pooling precluded by heterogeneity; hierarchical weighting; no subgroup/meta-regression analyses)</w:t>
            </w:r>
          </w:p>
        </w:tc>
      </w:tr>
      <w:tr>
        <w:tc>
          <w:tcPr>
            <w:tcW w:type="dxa" w:w="3408"/>
          </w:tcPr>
          <w:p>
            <w:pPr>
              <w:spacing w:after="20"/>
            </w:pPr>
            <w:r/>
            <w:r>
              <w:rPr>
                <w:rFonts w:ascii="Times New Roman" w:hAnsi="Times New Roman" w:eastAsia="宋体"/>
                <w:sz w:val="15"/>
              </w:rPr>
              <w:t>14</w:t>
            </w:r>
          </w:p>
        </w:tc>
        <w:tc>
          <w:tcPr>
            <w:tcW w:type="dxa" w:w="3408"/>
          </w:tcPr>
          <w:p>
            <w:pPr>
              <w:spacing w:after="20"/>
            </w:pPr>
            <w:r/>
            <w:r>
              <w:rPr>
                <w:rFonts w:ascii="Times New Roman" w:hAnsi="Times New Roman" w:eastAsia="宋体"/>
                <w:sz w:val="15"/>
              </w:rPr>
              <w:t>Reporting-bias assessment</w:t>
            </w:r>
          </w:p>
        </w:tc>
        <w:tc>
          <w:tcPr>
            <w:tcW w:type="dxa" w:w="3408"/>
          </w:tcPr>
          <w:p>
            <w:pPr>
              <w:spacing w:after="20"/>
            </w:pPr>
            <w:r/>
            <w:r>
              <w:rPr>
                <w:rFonts w:ascii="Times New Roman" w:hAnsi="Times New Roman" w:eastAsia="宋体"/>
                <w:sz w:val="15"/>
              </w:rPr>
              <w:t>Not applicable (no quantitative synthesis); asymmetry of pharmacovigilance signals addressed narratively in Section 5.10</w:t>
            </w:r>
          </w:p>
        </w:tc>
      </w:tr>
      <w:tr>
        <w:tc>
          <w:tcPr>
            <w:tcW w:type="dxa" w:w="3408"/>
          </w:tcPr>
          <w:p>
            <w:pPr>
              <w:spacing w:after="20"/>
            </w:pPr>
            <w:r/>
            <w:r>
              <w:rPr>
                <w:rFonts w:ascii="Times New Roman" w:hAnsi="Times New Roman" w:eastAsia="宋体"/>
                <w:sz w:val="15"/>
              </w:rPr>
              <w:t>15</w:t>
            </w:r>
          </w:p>
        </w:tc>
        <w:tc>
          <w:tcPr>
            <w:tcW w:type="dxa" w:w="3408"/>
          </w:tcPr>
          <w:p>
            <w:pPr>
              <w:spacing w:after="20"/>
            </w:pPr>
            <w:r/>
            <w:r>
              <w:rPr>
                <w:rFonts w:ascii="Times New Roman" w:hAnsi="Times New Roman" w:eastAsia="宋体"/>
                <w:sz w:val="15"/>
              </w:rPr>
              <w:t>Certainty assessment</w:t>
            </w:r>
          </w:p>
        </w:tc>
        <w:tc>
          <w:tcPr>
            <w:tcW w:type="dxa" w:w="3408"/>
          </w:tcPr>
          <w:p>
            <w:pPr>
              <w:spacing w:after="20"/>
            </w:pPr>
            <w:r>
              <w:t>Section 2.8 (GRADE [22]); evidence profile in Supplementary Table S3; ratings in Tables 1–2</w:t>
            </w:r>
          </w:p>
        </w:tc>
      </w:tr>
      <w:tr>
        <w:tc>
          <w:tcPr>
            <w:tcW w:type="dxa" w:w="3408"/>
          </w:tcPr>
          <w:p>
            <w:pPr>
              <w:spacing w:after="20"/>
            </w:pPr>
            <w:r/>
            <w:r>
              <w:rPr>
                <w:rFonts w:ascii="Times New Roman" w:hAnsi="Times New Roman" w:eastAsia="宋体"/>
                <w:sz w:val="15"/>
              </w:rPr>
              <w:t>16</w:t>
            </w:r>
          </w:p>
        </w:tc>
        <w:tc>
          <w:tcPr>
            <w:tcW w:type="dxa" w:w="3408"/>
          </w:tcPr>
          <w:p>
            <w:pPr>
              <w:spacing w:after="20"/>
            </w:pPr>
            <w:r/>
            <w:r>
              <w:rPr>
                <w:rFonts w:ascii="Times New Roman" w:hAnsi="Times New Roman" w:eastAsia="宋体"/>
                <w:sz w:val="15"/>
              </w:rPr>
              <w:t>Study selection (flow)</w:t>
            </w:r>
          </w:p>
        </w:tc>
        <w:tc>
          <w:tcPr>
            <w:tcW w:type="dxa" w:w="3408"/>
          </w:tcPr>
          <w:p>
            <w:pPr>
              <w:spacing w:after="20"/>
            </w:pPr>
            <w:r/>
            <w:r>
              <w:rPr>
                <w:rFonts w:ascii="Times New Roman" w:hAnsi="Times New Roman" w:eastAsia="宋体"/>
                <w:sz w:val="15"/>
              </w:rPr>
              <w:t>Section 2.4; PRISMA 2020 flow diagram (Figure 1); Supplementary Table S4</w:t>
            </w:r>
          </w:p>
        </w:tc>
      </w:tr>
      <w:tr>
        <w:tc>
          <w:tcPr>
            <w:tcW w:type="dxa" w:w="3408"/>
          </w:tcPr>
          <w:p>
            <w:pPr>
              <w:spacing w:after="20"/>
            </w:pPr>
            <w:r/>
            <w:r>
              <w:rPr>
                <w:rFonts w:ascii="Times New Roman" w:hAnsi="Times New Roman" w:eastAsia="宋体"/>
                <w:sz w:val="15"/>
              </w:rPr>
              <w:t>17</w:t>
            </w:r>
          </w:p>
        </w:tc>
        <w:tc>
          <w:tcPr>
            <w:tcW w:type="dxa" w:w="3408"/>
          </w:tcPr>
          <w:p>
            <w:pPr>
              <w:spacing w:after="20"/>
            </w:pPr>
            <w:r/>
            <w:r>
              <w:rPr>
                <w:rFonts w:ascii="Times New Roman" w:hAnsi="Times New Roman" w:eastAsia="宋体"/>
                <w:sz w:val="15"/>
              </w:rPr>
              <w:t>Study characteristics</w:t>
            </w:r>
          </w:p>
        </w:tc>
        <w:tc>
          <w:tcPr>
            <w:tcW w:type="dxa" w:w="3408"/>
          </w:tcPr>
          <w:p>
            <w:pPr>
              <w:spacing w:after="20"/>
            </w:pPr>
            <w:r/>
            <w:r>
              <w:rPr>
                <w:rFonts w:ascii="Times New Roman" w:hAnsi="Times New Roman" w:eastAsia="宋体"/>
                <w:sz w:val="15"/>
              </w:rPr>
              <w:t>Supplementary Table S1 (core evidence); Tables 1–4</w:t>
            </w:r>
          </w:p>
        </w:tc>
      </w:tr>
      <w:tr>
        <w:tc>
          <w:tcPr>
            <w:tcW w:type="dxa" w:w="3408"/>
          </w:tcPr>
          <w:p>
            <w:pPr>
              <w:spacing w:after="20"/>
            </w:pPr>
            <w:r/>
            <w:r>
              <w:rPr>
                <w:rFonts w:ascii="Times New Roman" w:hAnsi="Times New Roman" w:eastAsia="宋体"/>
                <w:sz w:val="15"/>
              </w:rPr>
              <w:t>18</w:t>
            </w:r>
          </w:p>
        </w:tc>
        <w:tc>
          <w:tcPr>
            <w:tcW w:type="dxa" w:w="3408"/>
          </w:tcPr>
          <w:p>
            <w:pPr>
              <w:spacing w:after="20"/>
            </w:pPr>
            <w:r/>
            <w:r>
              <w:rPr>
                <w:rFonts w:ascii="Times New Roman" w:hAnsi="Times New Roman" w:eastAsia="宋体"/>
                <w:sz w:val="15"/>
              </w:rPr>
              <w:t>Risk of bias in studies</w:t>
            </w:r>
          </w:p>
        </w:tc>
        <w:tc>
          <w:tcPr>
            <w:tcW w:type="dxa" w:w="3408"/>
          </w:tcPr>
          <w:p>
            <w:pPr>
              <w:spacing w:after="20"/>
            </w:pPr>
            <w:r/>
            <w:r>
              <w:rPr>
                <w:rFonts w:ascii="Times New Roman" w:hAnsi="Times New Roman" w:eastAsia="宋体"/>
                <w:sz w:val="15"/>
              </w:rPr>
              <w:t>Supplementary Table S2</w:t>
            </w:r>
          </w:p>
        </w:tc>
      </w:tr>
      <w:tr>
        <w:tc>
          <w:tcPr>
            <w:tcW w:type="dxa" w:w="3408"/>
          </w:tcPr>
          <w:p>
            <w:pPr>
              <w:spacing w:after="20"/>
            </w:pPr>
            <w:r/>
            <w:r>
              <w:rPr>
                <w:rFonts w:ascii="Times New Roman" w:hAnsi="Times New Roman" w:eastAsia="宋体"/>
                <w:sz w:val="15"/>
              </w:rPr>
              <w:t>19</w:t>
            </w:r>
          </w:p>
        </w:tc>
        <w:tc>
          <w:tcPr>
            <w:tcW w:type="dxa" w:w="3408"/>
          </w:tcPr>
          <w:p>
            <w:pPr>
              <w:spacing w:after="20"/>
            </w:pPr>
            <w:r/>
            <w:r>
              <w:rPr>
                <w:rFonts w:ascii="Times New Roman" w:hAnsi="Times New Roman" w:eastAsia="宋体"/>
                <w:sz w:val="15"/>
              </w:rPr>
              <w:t>Results of individual studies</w:t>
            </w:r>
          </w:p>
        </w:tc>
        <w:tc>
          <w:tcPr>
            <w:tcW w:type="dxa" w:w="3408"/>
          </w:tcPr>
          <w:p>
            <w:pPr>
              <w:spacing w:after="20"/>
            </w:pPr>
            <w:r/>
            <w:r>
              <w:rPr>
                <w:rFonts w:ascii="Times New Roman" w:hAnsi="Times New Roman" w:eastAsia="宋体"/>
                <w:sz w:val="15"/>
              </w:rPr>
              <w:t>Effect estimates reported per study in Sections 3–7 and Supplementary Table S1</w:t>
            </w:r>
          </w:p>
        </w:tc>
      </w:tr>
      <w:tr>
        <w:tc>
          <w:tcPr>
            <w:tcW w:type="dxa" w:w="3408"/>
          </w:tcPr>
          <w:p>
            <w:pPr>
              <w:spacing w:after="20"/>
            </w:pPr>
            <w:r/>
            <w:r>
              <w:rPr>
                <w:rFonts w:ascii="Times New Roman" w:hAnsi="Times New Roman" w:eastAsia="宋体"/>
                <w:sz w:val="15"/>
              </w:rPr>
              <w:t>20</w:t>
            </w:r>
          </w:p>
        </w:tc>
        <w:tc>
          <w:tcPr>
            <w:tcW w:type="dxa" w:w="3408"/>
          </w:tcPr>
          <w:p>
            <w:pPr>
              <w:spacing w:after="20"/>
            </w:pPr>
            <w:r/>
            <w:r>
              <w:rPr>
                <w:rFonts w:ascii="Times New Roman" w:hAnsi="Times New Roman" w:eastAsia="宋体"/>
                <w:sz w:val="15"/>
              </w:rPr>
              <w:t>Results of syntheses</w:t>
            </w:r>
          </w:p>
        </w:tc>
        <w:tc>
          <w:tcPr>
            <w:tcW w:type="dxa" w:w="3408"/>
          </w:tcPr>
          <w:p>
            <w:pPr>
              <w:spacing w:after="20"/>
            </w:pPr>
            <w:r/>
            <w:r>
              <w:rPr>
                <w:rFonts w:ascii="Times New Roman" w:hAnsi="Times New Roman" w:eastAsia="宋体"/>
                <w:sz w:val="15"/>
              </w:rPr>
              <w:t>Sections 3–7; Tables 1–4; Figure 2</w:t>
            </w:r>
          </w:p>
        </w:tc>
      </w:tr>
      <w:tr>
        <w:tc>
          <w:tcPr>
            <w:tcW w:type="dxa" w:w="3408"/>
          </w:tcPr>
          <w:p>
            <w:pPr>
              <w:spacing w:after="20"/>
            </w:pPr>
            <w:r/>
            <w:r>
              <w:rPr>
                <w:rFonts w:ascii="Times New Roman" w:hAnsi="Times New Roman" w:eastAsia="宋体"/>
                <w:sz w:val="15"/>
              </w:rPr>
              <w:t>21</w:t>
            </w:r>
          </w:p>
        </w:tc>
        <w:tc>
          <w:tcPr>
            <w:tcW w:type="dxa" w:w="3408"/>
          </w:tcPr>
          <w:p>
            <w:pPr>
              <w:spacing w:after="20"/>
            </w:pPr>
            <w:r/>
            <w:r>
              <w:rPr>
                <w:rFonts w:ascii="Times New Roman" w:hAnsi="Times New Roman" w:eastAsia="宋体"/>
                <w:sz w:val="15"/>
              </w:rPr>
              <w:t>Reporting biases (results)</w:t>
            </w:r>
          </w:p>
        </w:tc>
        <w:tc>
          <w:tcPr>
            <w:tcW w:type="dxa" w:w="3408"/>
          </w:tcPr>
          <w:p>
            <w:pPr>
              <w:spacing w:after="20"/>
            </w:pPr>
            <w:r/>
            <w:r>
              <w:rPr>
                <w:rFonts w:ascii="Times New Roman" w:hAnsi="Times New Roman" w:eastAsia="宋体"/>
                <w:sz w:val="15"/>
              </w:rPr>
              <w:t>Not applicable (no funnel plots; narrative design); Section 5.10 discusses divergent disproportionality signals</w:t>
            </w:r>
          </w:p>
        </w:tc>
      </w:tr>
      <w:tr>
        <w:tc>
          <w:tcPr>
            <w:tcW w:type="dxa" w:w="3408"/>
          </w:tcPr>
          <w:p>
            <w:pPr>
              <w:spacing w:after="20"/>
            </w:pPr>
            <w:r/>
            <w:r>
              <w:rPr>
                <w:rFonts w:ascii="Times New Roman" w:hAnsi="Times New Roman" w:eastAsia="宋体"/>
                <w:sz w:val="15"/>
              </w:rPr>
              <w:t>22</w:t>
            </w:r>
          </w:p>
        </w:tc>
        <w:tc>
          <w:tcPr>
            <w:tcW w:type="dxa" w:w="3408"/>
          </w:tcPr>
          <w:p>
            <w:pPr>
              <w:spacing w:after="20"/>
            </w:pPr>
            <w:r/>
            <w:r>
              <w:rPr>
                <w:rFonts w:ascii="Times New Roman" w:hAnsi="Times New Roman" w:eastAsia="宋体"/>
                <w:sz w:val="15"/>
              </w:rPr>
              <w:t>Certainty of evidence (results)</w:t>
            </w:r>
          </w:p>
        </w:tc>
        <w:tc>
          <w:tcPr>
            <w:tcW w:type="dxa" w:w="3408"/>
          </w:tcPr>
          <w:p>
            <w:pPr>
              <w:spacing w:after="20"/>
            </w:pPr>
            <w:r/>
            <w:r>
              <w:rPr>
                <w:rFonts w:ascii="Times New Roman" w:hAnsi="Times New Roman" w:eastAsia="宋体"/>
                <w:sz w:val="15"/>
              </w:rPr>
              <w:t>Tables 1–2; Supplementary Table S3; Section 6.7</w:t>
            </w:r>
          </w:p>
        </w:tc>
      </w:tr>
      <w:tr>
        <w:tc>
          <w:tcPr>
            <w:tcW w:type="dxa" w:w="3408"/>
          </w:tcPr>
          <w:p>
            <w:pPr>
              <w:spacing w:after="20"/>
            </w:pPr>
            <w:r/>
            <w:r>
              <w:rPr>
                <w:rFonts w:ascii="Times New Roman" w:hAnsi="Times New Roman" w:eastAsia="宋体"/>
                <w:sz w:val="15"/>
              </w:rPr>
              <w:t>23</w:t>
            </w:r>
          </w:p>
        </w:tc>
        <w:tc>
          <w:tcPr>
            <w:tcW w:type="dxa" w:w="3408"/>
          </w:tcPr>
          <w:p>
            <w:pPr>
              <w:spacing w:after="20"/>
            </w:pPr>
            <w:r/>
            <w:r>
              <w:rPr>
                <w:rFonts w:ascii="Times New Roman" w:hAnsi="Times New Roman" w:eastAsia="宋体"/>
                <w:sz w:val="15"/>
              </w:rPr>
              <w:t>Discussion / limitations</w:t>
            </w:r>
          </w:p>
        </w:tc>
        <w:tc>
          <w:tcPr>
            <w:tcW w:type="dxa" w:w="3408"/>
          </w:tcPr>
          <w:p>
            <w:pPr>
              <w:spacing w:after="20"/>
            </w:pPr>
            <w:r/>
            <w:r>
              <w:rPr>
                <w:rFonts w:ascii="Times New Roman" w:hAnsi="Times New Roman" w:eastAsia="宋体"/>
                <w:sz w:val="15"/>
              </w:rPr>
              <w:t>Sections 7–8 and Abstract Conclusions (observational predominance; no head-to-head CVOTs; Embase not subscribed)</w:t>
            </w:r>
          </w:p>
        </w:tc>
      </w:tr>
      <w:tr>
        <w:tc>
          <w:tcPr>
            <w:tcW w:type="dxa" w:w="3408"/>
          </w:tcPr>
          <w:p>
            <w:pPr>
              <w:spacing w:after="20"/>
            </w:pPr>
            <w:r/>
            <w:r>
              <w:rPr>
                <w:rFonts w:ascii="Times New Roman" w:hAnsi="Times New Roman" w:eastAsia="宋体"/>
                <w:sz w:val="15"/>
              </w:rPr>
              <w:t>24a</w:t>
            </w:r>
          </w:p>
        </w:tc>
        <w:tc>
          <w:tcPr>
            <w:tcW w:type="dxa" w:w="3408"/>
          </w:tcPr>
          <w:p>
            <w:pPr>
              <w:spacing w:after="20"/>
            </w:pPr>
            <w:r/>
            <w:r>
              <w:rPr>
                <w:rFonts w:ascii="Times New Roman" w:hAnsi="Times New Roman" w:eastAsia="宋体"/>
                <w:sz w:val="15"/>
              </w:rPr>
              <w:t>Registration</w:t>
            </w:r>
          </w:p>
        </w:tc>
        <w:tc>
          <w:tcPr>
            <w:tcW w:type="dxa" w:w="3408"/>
          </w:tcPr>
          <w:p>
            <w:pPr>
              <w:spacing w:after="20"/>
            </w:pPr>
            <w:r/>
            <w:r>
              <w:rPr>
                <w:rFonts w:ascii="Times New Roman" w:hAnsi="Times New Roman" w:eastAsia="宋体"/>
                <w:sz w:val="15"/>
              </w:rPr>
              <w:t>Section 2.1 (OSF, https://osf.io/25uf9)</w:t>
            </w:r>
          </w:p>
        </w:tc>
      </w:tr>
      <w:tr>
        <w:tc>
          <w:tcPr>
            <w:tcW w:type="dxa" w:w="3408"/>
          </w:tcPr>
          <w:p>
            <w:pPr>
              <w:spacing w:after="20"/>
            </w:pPr>
            <w:r/>
            <w:r>
              <w:rPr>
                <w:rFonts w:ascii="Times New Roman" w:hAnsi="Times New Roman" w:eastAsia="宋体"/>
                <w:sz w:val="15"/>
              </w:rPr>
              <w:t>24b</w:t>
            </w:r>
          </w:p>
        </w:tc>
        <w:tc>
          <w:tcPr>
            <w:tcW w:type="dxa" w:w="3408"/>
          </w:tcPr>
          <w:p>
            <w:pPr>
              <w:spacing w:after="20"/>
            </w:pPr>
            <w:r/>
            <w:r>
              <w:rPr>
                <w:rFonts w:ascii="Times New Roman" w:hAnsi="Times New Roman" w:eastAsia="宋体"/>
                <w:sz w:val="15"/>
              </w:rPr>
              <w:t>Protocol access</w:t>
            </w:r>
          </w:p>
        </w:tc>
        <w:tc>
          <w:tcPr>
            <w:tcW w:type="dxa" w:w="3408"/>
          </w:tcPr>
          <w:p>
            <w:pPr>
              <w:spacing w:after="20"/>
            </w:pPr>
            <w:r/>
            <w:r>
              <w:rPr>
                <w:rFonts w:ascii="Times New Roman" w:hAnsi="Times New Roman" w:eastAsia="宋体"/>
                <w:sz w:val="15"/>
              </w:rPr>
              <w:t>Section 2.1 (OSF)</w:t>
            </w:r>
          </w:p>
        </w:tc>
      </w:tr>
      <w:tr>
        <w:tc>
          <w:tcPr>
            <w:tcW w:type="dxa" w:w="3408"/>
          </w:tcPr>
          <w:p>
            <w:pPr>
              <w:spacing w:after="20"/>
            </w:pPr>
            <w:r/>
            <w:r>
              <w:rPr>
                <w:rFonts w:ascii="Times New Roman" w:hAnsi="Times New Roman" w:eastAsia="宋体"/>
                <w:sz w:val="15"/>
              </w:rPr>
              <w:t>24c</w:t>
            </w:r>
          </w:p>
        </w:tc>
        <w:tc>
          <w:tcPr>
            <w:tcW w:type="dxa" w:w="3408"/>
          </w:tcPr>
          <w:p>
            <w:pPr>
              <w:spacing w:after="20"/>
            </w:pPr>
            <w:r/>
            <w:r>
              <w:rPr>
                <w:rFonts w:ascii="Times New Roman" w:hAnsi="Times New Roman" w:eastAsia="宋体"/>
                <w:sz w:val="15"/>
              </w:rPr>
              <w:t>Amendments</w:t>
            </w:r>
          </w:p>
        </w:tc>
        <w:tc>
          <w:tcPr>
            <w:tcW w:type="dxa" w:w="3408"/>
          </w:tcPr>
          <w:p>
            <w:pPr>
              <w:spacing w:after="20"/>
            </w:pPr>
            <w:r/>
            <w:r>
              <w:rPr>
                <w:rFonts w:ascii="Times New Roman" w:hAnsi="Times New Roman" w:eastAsia="宋体"/>
                <w:sz w:val="15"/>
              </w:rPr>
              <w:t>None reported</w:t>
            </w:r>
          </w:p>
        </w:tc>
      </w:tr>
      <w:tr>
        <w:tc>
          <w:tcPr>
            <w:tcW w:type="dxa" w:w="3408"/>
          </w:tcPr>
          <w:p>
            <w:pPr>
              <w:spacing w:after="20"/>
            </w:pPr>
            <w:r/>
            <w:r>
              <w:rPr>
                <w:rFonts w:ascii="Times New Roman" w:hAnsi="Times New Roman" w:eastAsia="宋体"/>
                <w:sz w:val="15"/>
              </w:rPr>
              <w:t>25</w:t>
            </w:r>
          </w:p>
        </w:tc>
        <w:tc>
          <w:tcPr>
            <w:tcW w:type="dxa" w:w="3408"/>
          </w:tcPr>
          <w:p>
            <w:pPr>
              <w:spacing w:after="20"/>
            </w:pPr>
            <w:r/>
            <w:r>
              <w:rPr>
                <w:rFonts w:ascii="Times New Roman" w:hAnsi="Times New Roman" w:eastAsia="宋体"/>
                <w:sz w:val="15"/>
              </w:rPr>
              <w:t>Support</w:t>
            </w:r>
          </w:p>
        </w:tc>
        <w:tc>
          <w:tcPr>
            <w:tcW w:type="dxa" w:w="3408"/>
          </w:tcPr>
          <w:p>
            <w:pPr>
              <w:spacing w:after="20"/>
            </w:pPr>
            <w:r/>
            <w:r>
              <w:rPr>
                <w:rFonts w:ascii="Times New Roman" w:hAnsi="Times New Roman" w:eastAsia="宋体"/>
                <w:sz w:val="15"/>
              </w:rPr>
              <w:t>Declarations (no specific funding)</w:t>
            </w:r>
          </w:p>
        </w:tc>
      </w:tr>
      <w:tr>
        <w:tc>
          <w:tcPr>
            <w:tcW w:type="dxa" w:w="3408"/>
          </w:tcPr>
          <w:p>
            <w:pPr>
              <w:spacing w:after="20"/>
            </w:pPr>
            <w:r/>
            <w:r>
              <w:rPr>
                <w:rFonts w:ascii="Times New Roman" w:hAnsi="Times New Roman" w:eastAsia="宋体"/>
                <w:sz w:val="15"/>
              </w:rPr>
              <w:t>26</w:t>
            </w:r>
          </w:p>
        </w:tc>
        <w:tc>
          <w:tcPr>
            <w:tcW w:type="dxa" w:w="3408"/>
          </w:tcPr>
          <w:p>
            <w:pPr>
              <w:spacing w:after="20"/>
            </w:pPr>
            <w:r/>
            <w:r>
              <w:rPr>
                <w:rFonts w:ascii="Times New Roman" w:hAnsi="Times New Roman" w:eastAsia="宋体"/>
                <w:sz w:val="15"/>
              </w:rPr>
              <w:t>Competing interests</w:t>
            </w:r>
          </w:p>
        </w:tc>
        <w:tc>
          <w:tcPr>
            <w:tcW w:type="dxa" w:w="3408"/>
          </w:tcPr>
          <w:p>
            <w:pPr>
              <w:spacing w:after="20"/>
            </w:pPr>
            <w:r/>
            <w:r>
              <w:rPr>
                <w:rFonts w:ascii="Times New Roman" w:hAnsi="Times New Roman" w:eastAsia="宋体"/>
                <w:sz w:val="15"/>
              </w:rPr>
              <w:t>Declarations (none)</w:t>
            </w:r>
          </w:p>
        </w:tc>
      </w:tr>
      <w:tr>
        <w:tc>
          <w:tcPr>
            <w:tcW w:type="dxa" w:w="3408"/>
          </w:tcPr>
          <w:p>
            <w:pPr>
              <w:spacing w:after="20"/>
            </w:pPr>
            <w:r/>
            <w:r>
              <w:rPr>
                <w:rFonts w:ascii="Times New Roman" w:hAnsi="Times New Roman" w:eastAsia="宋体"/>
                <w:sz w:val="15"/>
              </w:rPr>
              <w:t>27</w:t>
            </w:r>
          </w:p>
        </w:tc>
        <w:tc>
          <w:tcPr>
            <w:tcW w:type="dxa" w:w="3408"/>
          </w:tcPr>
          <w:p>
            <w:pPr>
              <w:spacing w:after="20"/>
            </w:pPr>
            <w:r/>
            <w:r>
              <w:rPr>
                <w:rFonts w:ascii="Times New Roman" w:hAnsi="Times New Roman" w:eastAsia="宋体"/>
                <w:sz w:val="15"/>
              </w:rPr>
              <w:t>Data/code availability</w:t>
            </w:r>
          </w:p>
        </w:tc>
        <w:tc>
          <w:tcPr>
            <w:tcW w:type="dxa" w:w="3408"/>
          </w:tcPr>
          <w:p>
            <w:pPr>
              <w:spacing w:after="20"/>
            </w:pPr>
            <w:r/>
            <w:r>
              <w:rPr>
                <w:rFonts w:ascii="Times New Roman" w:hAnsi="Times New Roman" w:eastAsia="宋体"/>
                <w:sz w:val="15"/>
              </w:rPr>
              <w:t>Declarations (no primary data; all sources publicly available and cited)</w:t>
            </w:r>
          </w:p>
        </w:tc>
      </w:tr>
    </w:tbl>
    <w:p>
      <w:pPr>
        <w:spacing w:before="200"/>
      </w:pPr>
      <w:r>
        <w:rPr>
          <w:rFonts w:ascii="Times New Roman" w:hAnsi="Times New Roman"/>
          <w:b/>
          <w:sz w:val="24"/>
        </w:rPr>
        <w:t>Supplementary Appendix S2. Full Search Strategies for All Databases</w:t>
      </w:r>
    </w:p>
    <w:p>
      <w:r>
        <w:rPr>
          <w:rFonts w:ascii="Times New Roman" w:hAnsi="Times New Roman"/>
          <w:b/>
          <w:sz w:val="20"/>
        </w:rPr>
        <w:t>General design. Three conceptual domains were combined with Boolean operators: (i) psoriasis terms; (ii) cardiovascular disease terms; (iii) intervention terms covering both psoriasis pharmacotherapies and cardiovascular drugs. Controlled vocabulary (MeSH/Emtree) was combined with free text in title/abstract fields. No language or study-design filter was applied at the search stage; the publication window was January 1, 2015 to July 31, 2026 in all databases. CENTRAL was searched on August 20, 2026. The strategies were validated against the PRESS 2015 guideline [ref 17]. Final yields: PubMed 1,107; Ovid MEDLINE 1,064; Web of Science Core Collection 2,774; CENTRAL 433 (total 5,378 records).</w:t>
      </w:r>
    </w:p>
    <w:p>
      <w:pPr>
        <w:spacing w:before="160"/>
      </w:pPr>
      <w:r>
        <w:rPr>
          <w:rFonts w:ascii="Times New Roman" w:hAnsi="Times New Roman"/>
          <w:b/>
          <w:sz w:val="22"/>
        </w:rPr>
        <w:t>S2.1 PubMed (via PubMed Advanced Search; NLM)</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pPr>
            <w:r>
              <w:rPr>
                <w:b/>
              </w:rPr>
            </w:r>
            <w:r>
              <w:rPr>
                <w:rFonts w:ascii="Times New Roman" w:hAnsi="Times New Roman" w:eastAsia="宋体"/>
                <w:b/>
                <w:sz w:val="15"/>
              </w:rPr>
              <w:t>Step</w:t>
            </w:r>
          </w:p>
        </w:tc>
        <w:tc>
          <w:tcPr>
            <w:tcW w:type="dxa" w:w="3408"/>
          </w:tcPr>
          <w:p>
            <w:pPr>
              <w:spacing w:after="20"/>
            </w:pPr>
            <w:r>
              <w:rPr>
                <w:b/>
              </w:rPr>
            </w:r>
            <w:r>
              <w:rPr>
                <w:rFonts w:ascii="Times New Roman" w:hAnsi="Times New Roman" w:eastAsia="宋体"/>
                <w:b/>
                <w:sz w:val="15"/>
              </w:rPr>
              <w:t>Query</w:t>
            </w:r>
          </w:p>
        </w:tc>
        <w:tc>
          <w:tcPr>
            <w:tcW w:type="dxa" w:w="3408"/>
          </w:tcPr>
          <w:p>
            <w:pPr>
              <w:spacing w:after="20"/>
            </w:pPr>
            <w:r>
              <w:rPr>
                <w:b/>
              </w:rPr>
            </w:r>
            <w:r>
              <w:rPr>
                <w:rFonts w:ascii="Times New Roman" w:hAnsi="Times New Roman" w:eastAsia="宋体"/>
                <w:b/>
                <w:sz w:val="15"/>
              </w:rPr>
              <w:t>Results</w:t>
            </w:r>
          </w:p>
        </w:tc>
      </w:tr>
      <w:tr>
        <w:tc>
          <w:tcPr>
            <w:tcW w:type="dxa" w:w="3408"/>
          </w:tcPr>
          <w:p>
            <w:pPr>
              <w:spacing w:after="20"/>
            </w:pPr>
            <w:r/>
            <w:r>
              <w:rPr>
                <w:rFonts w:ascii="Times New Roman" w:hAnsi="Times New Roman" w:eastAsia="宋体"/>
                <w:sz w:val="15"/>
              </w:rPr>
              <w:t>1</w:t>
            </w:r>
          </w:p>
        </w:tc>
        <w:tc>
          <w:tcPr>
            <w:tcW w:type="dxa" w:w="3408"/>
          </w:tcPr>
          <w:p>
            <w:pPr>
              <w:spacing w:after="20"/>
            </w:pPr>
            <w:r/>
            <w:r>
              <w:rPr>
                <w:rFonts w:ascii="Times New Roman" w:hAnsi="Times New Roman" w:eastAsia="宋体"/>
                <w:sz w:val="15"/>
              </w:rPr>
              <w:t>"Psoriasis"[Mesh] OR psoria*[tiab] OR "psoriatic arthritis"[tiab] OR "pustular psoriasis"[tiab]</w:t>
            </w:r>
          </w:p>
        </w:tc>
        <w:tc>
          <w:tcPr>
            <w:tcW w:type="dxa" w:w="3408"/>
          </w:tcPr>
          <w:p>
            <w:pPr>
              <w:spacing w:after="20"/>
            </w:pPr>
            <w:r/>
            <w:r>
              <w:rPr>
                <w:rFonts w:ascii="Times New Roman" w:hAnsi="Times New Roman" w:eastAsia="宋体"/>
                <w:sz w:val="15"/>
              </w:rPr>
              <w:t>79,501</w:t>
            </w:r>
          </w:p>
        </w:tc>
      </w:tr>
      <w:tr>
        <w:tc>
          <w:tcPr>
            <w:tcW w:type="dxa" w:w="3408"/>
          </w:tcPr>
          <w:p>
            <w:pPr>
              <w:spacing w:after="20"/>
            </w:pPr>
            <w:r/>
            <w:r>
              <w:rPr>
                <w:rFonts w:ascii="Times New Roman" w:hAnsi="Times New Roman" w:eastAsia="宋体"/>
                <w:sz w:val="15"/>
              </w:rPr>
              <w:t>2</w:t>
            </w:r>
          </w:p>
        </w:tc>
        <w:tc>
          <w:tcPr>
            <w:tcW w:type="dxa" w:w="3408"/>
          </w:tcPr>
          <w:p>
            <w:pPr>
              <w:spacing w:after="20"/>
            </w:pPr>
            <w:r/>
            <w:r>
              <w:rPr>
                <w:rFonts w:ascii="Times New Roman" w:hAnsi="Times New Roman" w:eastAsia="宋体"/>
                <w:sz w:val="15"/>
              </w:rPr>
              <w:t>"Cardiovascular Diseases"[Mesh] OR "Atherosclerosis"[Mesh] OR "Myocardial Infarction"[Mesh] OR "Stroke"[Mesh] OR "Heart Failure"[Mesh] OR "Coronary Artery Disease"[Mesh] OR cardiovascular[tiab] OR atherosclero</w:t>
            </w:r>
            <w:r>
              <w:rPr>
                <w:rFonts w:ascii="Times New Roman" w:hAnsi="Times New Roman" w:eastAsia="宋体"/>
                <w:i/>
                <w:sz w:val="15"/>
              </w:rPr>
              <w:t>[tiab] OR MACE[tiab] OR "major adverse cardiovascular event</w:t>
            </w:r>
            <w:r>
              <w:rPr>
                <w:rFonts w:ascii="Times New Roman" w:hAnsi="Times New Roman" w:eastAsia="宋体"/>
                <w:sz w:val="15"/>
              </w:rPr>
              <w:t>"[tiab] OR "coronary artery disease"[tiab] OR "myocardial infarction"[tiab] OR "ischemic heart disease"[tiab] OR stroke[tiab] OR "heart failure"[tiab] OR "vascular inflammation"[tiab] OR "endothelial dysfunction"[tiab]</w:t>
            </w:r>
          </w:p>
        </w:tc>
        <w:tc>
          <w:tcPr>
            <w:tcW w:type="dxa" w:w="3408"/>
          </w:tcPr>
          <w:p>
            <w:pPr>
              <w:spacing w:after="20"/>
            </w:pPr>
            <w:r/>
            <w:r>
              <w:rPr>
                <w:rFonts w:ascii="Times New Roman" w:hAnsi="Times New Roman" w:eastAsia="宋体"/>
                <w:sz w:val="15"/>
              </w:rPr>
              <w:t>3,573,453</w:t>
            </w:r>
          </w:p>
        </w:tc>
      </w:tr>
      <w:tr>
        <w:tc>
          <w:tcPr>
            <w:tcW w:type="dxa" w:w="3408"/>
          </w:tcPr>
          <w:p>
            <w:pPr>
              <w:spacing w:after="20"/>
            </w:pPr>
            <w:r/>
            <w:r>
              <w:rPr>
                <w:rFonts w:ascii="Times New Roman" w:hAnsi="Times New Roman" w:eastAsia="宋体"/>
                <w:sz w:val="15"/>
              </w:rPr>
              <w:t>3</w:t>
            </w:r>
          </w:p>
        </w:tc>
        <w:tc>
          <w:tcPr>
            <w:tcW w:type="dxa" w:w="3408"/>
          </w:tcPr>
          <w:p>
            <w:pPr>
              <w:spacing w:after="20"/>
            </w:pPr>
            <w:r/>
            <w:r>
              <w:rPr>
                <w:rFonts w:ascii="Times New Roman" w:hAnsi="Times New Roman" w:eastAsia="宋体"/>
                <w:sz w:val="15"/>
              </w:rPr>
              <w:t>"Biological Products"[Mesh] OR "Tumor Necrosis Factor-alpha/antagonists and inhibitors"[Mesh] OR "Interleukin-17/antagonists and inhibitors"[Mesh] OR "Interleukin-23/antagonists and inhibitors"[Mesh] OR "Interleukin-12/antagonists and inhibitors"[Mesh] OR "Dermatologic Agents"[Mesh:NoExp] OR "Methotrexate"[Mesh] OR "Cyclosporine"[Mesh] OR "Acitretin"[Mesh] OR "apremilast"[nm] OR "Janus Kinase Inhibitors"[Mesh] OR adalimumab[tiab] OR etanercept[tiab] OR infliximab[tiab] OR certolizumab[tiab] OR secukinumab[tiab] OR ixekizumab[tiab] OR brodalumab[tiab] OR bimekizumab[tiab] OR guselkumab[tiab] OR tildrakizumab[tiab] OR risankizumab[tiab] OR ustekinumab[tiab] OR spesolimab[tiab] OR methotrexate[tiab] OR cyclosporine[tiab] OR ciclosporin[tiab] OR acitretin[tiab] OR apremilast[tiab] OR deucravacitinib[tiab] OR tofacitinib[tiab] OR upadacitinib[tiab] OR abrocitinib[tiab] OR briakinumab[tiab] OR "dimethyl fumarate"[tiab] OR "fumaric acid"[tiab] OR "TNF inhibitor</w:t>
            </w:r>
            <w:r>
              <w:rPr>
                <w:rFonts w:ascii="Times New Roman" w:hAnsi="Times New Roman" w:eastAsia="宋体"/>
                <w:i/>
                <w:sz w:val="15"/>
              </w:rPr>
              <w:t>"[tiab] OR "anti-TNF"[tiab] OR "anti-TNF-alpha"[tiab] OR "IL-17 inhibitor</w:t>
            </w:r>
            <w:r>
              <w:rPr>
                <w:rFonts w:ascii="Times New Roman" w:hAnsi="Times New Roman" w:eastAsia="宋体"/>
                <w:sz w:val="15"/>
              </w:rPr>
              <w:t>"[tiab] OR "anti-IL-17"[tiab] OR "IL-23 inhibitor</w:t>
            </w:r>
            <w:r>
              <w:rPr>
                <w:rFonts w:ascii="Times New Roman" w:hAnsi="Times New Roman" w:eastAsia="宋体"/>
                <w:i/>
                <w:sz w:val="15"/>
              </w:rPr>
              <w:t>"[tiab] OR "anti-IL-23"[tiab] OR "anti-IL-12/23"[tiab] OR "biologic therapy"[tiab] OR "biologic treatment"[tiab] OR "biological therapy"[tiab] OR "JAK inhibitor</w:t>
            </w:r>
            <w:r>
              <w:rPr>
                <w:rFonts w:ascii="Times New Roman" w:hAnsi="Times New Roman" w:eastAsia="宋体"/>
                <w:sz w:val="15"/>
              </w:rPr>
              <w:t>"[tiab] OR "TYK2 inhibitor*"[tiab] OR "systemic therapy"[tiab] OR "systemic treatment"[tiab] OR "psoriasis treatment"[tiab] OR "psoriasis therapy"[tiab] OR "anti-psoriatic"[tiab]</w:t>
            </w:r>
          </w:p>
        </w:tc>
        <w:tc>
          <w:tcPr>
            <w:tcW w:type="dxa" w:w="3408"/>
          </w:tcPr>
          <w:p>
            <w:pPr>
              <w:spacing w:after="20"/>
            </w:pPr>
            <w:r/>
            <w:r>
              <w:rPr>
                <w:rFonts w:ascii="Times New Roman" w:hAnsi="Times New Roman" w:eastAsia="宋体"/>
                <w:sz w:val="15"/>
              </w:rPr>
              <w:t>1,015,214</w:t>
            </w:r>
          </w:p>
        </w:tc>
      </w:tr>
      <w:tr>
        <w:tc>
          <w:tcPr>
            <w:tcW w:type="dxa" w:w="3408"/>
          </w:tcPr>
          <w:p>
            <w:pPr>
              <w:spacing w:after="20"/>
            </w:pPr>
            <w:r/>
            <w:r>
              <w:rPr>
                <w:rFonts w:ascii="Times New Roman" w:hAnsi="Times New Roman" w:eastAsia="宋体"/>
                <w:sz w:val="15"/>
              </w:rPr>
              <w:t>4</w:t>
            </w:r>
          </w:p>
        </w:tc>
        <w:tc>
          <w:tcPr>
            <w:tcW w:type="dxa" w:w="3408"/>
          </w:tcPr>
          <w:p>
            <w:pPr>
              <w:spacing w:after="20"/>
            </w:pPr>
            <w:r/>
            <w:r>
              <w:rPr>
                <w:rFonts w:ascii="Times New Roman" w:hAnsi="Times New Roman" w:eastAsia="宋体"/>
                <w:sz w:val="15"/>
              </w:rPr>
              <w:t>"Antihypertensive Agents"[Mesh] OR "Adrenergic beta-Antagonists"[Mesh] OR "Angiotensin-Converting Enzyme Inhibitors"[Mesh] OR "Angiotensin Receptor Antagonists"[Mesh] OR "Calcium Channel Blockers"[Mesh] OR "Hydroxymethylglutaryl-CoA Reductase Inhibitors"[Mesh] OR "Sodium-Glucose Transporter 2 Inhibitors"[Mesh] OR "Glucagon-Like Peptide-1 Receptor/agonists"[Mesh] OR "Metformin"[Mesh] OR "PCSK9 Inhibitors"[Mesh] OR "Colchicine"[Mesh] OR "Phosphodiesterase 5 Inhibitors"[Mesh] OR "Endothelin Receptor Antagonists"[Mesh] OR "Soluble Guanylyl Cyclase"[Mesh] OR "Thiazides"[Mesh] OR "beta-blocker</w:t>
            </w:r>
            <w:r>
              <w:rPr>
                <w:rFonts w:ascii="Times New Roman" w:hAnsi="Times New Roman" w:eastAsia="宋体"/>
                <w:i/>
                <w:sz w:val="15"/>
              </w:rPr>
              <w:t>"[tiab] OR "beta blocker</w:t>
            </w:r>
            <w:r>
              <w:rPr>
                <w:rFonts w:ascii="Times New Roman" w:hAnsi="Times New Roman" w:eastAsia="宋体"/>
                <w:sz w:val="15"/>
              </w:rPr>
              <w:t>"[tiab] OR "β-blocker</w:t>
            </w:r>
            <w:r>
              <w:rPr>
                <w:rFonts w:ascii="Times New Roman" w:hAnsi="Times New Roman" w:eastAsia="宋体"/>
                <w:i/>
                <w:sz w:val="15"/>
              </w:rPr>
              <w:t>"[tiab] OR "ACE inhibitor</w:t>
            </w:r>
            <w:r>
              <w:rPr>
                <w:rFonts w:ascii="Times New Roman" w:hAnsi="Times New Roman" w:eastAsia="宋体"/>
                <w:sz w:val="15"/>
              </w:rPr>
              <w:t>"[tiab] OR "angiotensin-converting enzyme inhibitor</w:t>
            </w:r>
            <w:r>
              <w:rPr>
                <w:rFonts w:ascii="Times New Roman" w:hAnsi="Times New Roman" w:eastAsia="宋体"/>
                <w:i/>
                <w:sz w:val="15"/>
              </w:rPr>
              <w:t>"[tiab] OR "angiotensin receptor blocker</w:t>
            </w:r>
            <w:r>
              <w:rPr>
                <w:rFonts w:ascii="Times New Roman" w:hAnsi="Times New Roman" w:eastAsia="宋体"/>
                <w:sz w:val="15"/>
              </w:rPr>
              <w:t>"[tiab] OR ARB[tiab] OR ARBs[tiab] OR "calcium channel blocker</w:t>
            </w:r>
            <w:r>
              <w:rPr>
                <w:rFonts w:ascii="Times New Roman" w:hAnsi="Times New Roman" w:eastAsia="宋体"/>
                <w:i/>
                <w:sz w:val="15"/>
              </w:rPr>
              <w:t>"[tiab] OR CCB[tiab] OR amlodipine[tiab] OR verapamil[tiab] OR diltiazem[tiab] OR nifedipine[tiab] OR statin</w:t>
            </w:r>
            <w:r>
              <w:rPr>
                <w:rFonts w:ascii="Times New Roman" w:hAnsi="Times New Roman" w:eastAsia="宋体"/>
                <w:sz w:val="15"/>
              </w:rPr>
              <w:t>[tiab] OR atorvastatin[tiab] OR rosuvastatin[tiab] OR simvastatin[tiab] OR pravastatin[tiab] OR SGLT2[tiab] OR "SGLT-2"[tiab] OR "sodium-glucose cotransporter"[tiab] OR dapagliflozin[tiab] OR empagliflozin[tiab] OR canagliflozin[tiab] OR "GLP-1"[tiab] OR "glucagon-like peptide-1"[tiab] OR liraglutide[tiab] OR semaglutide[tiab] OR dulaglutide[tiab] OR colchicine[tiab] OR tadalafil[tiab] OR sildenafil[tiab] OR "PDE5 inhibitor</w:t>
            </w:r>
            <w:r>
              <w:rPr>
                <w:rFonts w:ascii="Times New Roman" w:hAnsi="Times New Roman" w:eastAsia="宋体"/>
                <w:i/>
                <w:sz w:val="15"/>
              </w:rPr>
              <w:t>"[tiab] OR "phosphodiesterase-5 inhibitor</w:t>
            </w:r>
            <w:r>
              <w:rPr>
                <w:rFonts w:ascii="Times New Roman" w:hAnsi="Times New Roman" w:eastAsia="宋体"/>
                <w:sz w:val="15"/>
              </w:rPr>
              <w:t>"[tiab] OR PCSK9[tiab] OR evolocumab[tiab] OR alirocumab[tiab] OR metformin[tiab] OR thiazide[tiab] OR hydrochlorothiazide[tiab] OR bosentan[tiab] OR riociguat[tiab] OR antihypertensive[tiab] OR "anti-hypertensive"[tiab] OR "cardiovascular drug</w:t>
            </w:r>
            <w:r>
              <w:rPr>
                <w:rFonts w:ascii="Times New Roman" w:hAnsi="Times New Roman" w:eastAsia="宋体"/>
                <w:i/>
                <w:sz w:val="15"/>
              </w:rPr>
              <w:t>"[tiab] OR "cardiovascular medication</w:t>
            </w:r>
            <w:r>
              <w:rPr>
                <w:rFonts w:ascii="Times New Roman" w:hAnsi="Times New Roman" w:eastAsia="宋体"/>
                <w:sz w:val="15"/>
              </w:rPr>
              <w:t>"[tiab] OR "cardiovascular agent</w:t>
            </w:r>
            <w:r>
              <w:rPr>
                <w:rFonts w:ascii="Times New Roman" w:hAnsi="Times New Roman" w:eastAsia="宋体"/>
                <w:i/>
                <w:sz w:val="15"/>
              </w:rPr>
              <w:t>"[tiab] OR "cardiovascular therap</w:t>
            </w:r>
            <w:r>
              <w:rPr>
                <w:rFonts w:ascii="Times New Roman" w:hAnsi="Times New Roman" w:eastAsia="宋体"/>
                <w:sz w:val="15"/>
              </w:rPr>
              <w:t>"[tiab] OR "lipid-lowering"[tiab] OR "cardioprotective"[tiab]</w:t>
            </w:r>
          </w:p>
        </w:tc>
        <w:tc>
          <w:tcPr>
            <w:tcW w:type="dxa" w:w="3408"/>
          </w:tcPr>
          <w:p>
            <w:pPr>
              <w:spacing w:after="20"/>
            </w:pPr>
            <w:r/>
            <w:r>
              <w:rPr>
                <w:rFonts w:ascii="Times New Roman" w:hAnsi="Times New Roman" w:eastAsia="宋体"/>
                <w:sz w:val="15"/>
              </w:rPr>
              <w:t>537,697</w:t>
            </w:r>
          </w:p>
        </w:tc>
      </w:tr>
      <w:tr>
        <w:tc>
          <w:tcPr>
            <w:tcW w:type="dxa" w:w="3408"/>
          </w:tcPr>
          <w:p>
            <w:pPr>
              <w:spacing w:after="20"/>
            </w:pPr>
            <w:r/>
            <w:r>
              <w:rPr>
                <w:rFonts w:ascii="Times New Roman" w:hAnsi="Times New Roman" w:eastAsia="宋体"/>
                <w:sz w:val="15"/>
              </w:rPr>
              <w:t>5</w:t>
            </w:r>
          </w:p>
        </w:tc>
        <w:tc>
          <w:tcPr>
            <w:tcW w:type="dxa" w:w="3408"/>
          </w:tcPr>
          <w:p>
            <w:pPr>
              <w:spacing w:after="20"/>
            </w:pPr>
            <w:r/>
            <w:r>
              <w:rPr>
                <w:rFonts w:ascii="Times New Roman" w:hAnsi="Times New Roman" w:eastAsia="宋体"/>
                <w:sz w:val="15"/>
              </w:rPr>
              <w:t>#1 AND #2 AND (#3 OR #4)</w:t>
            </w:r>
          </w:p>
        </w:tc>
        <w:tc>
          <w:tcPr>
            <w:tcW w:type="dxa" w:w="3408"/>
          </w:tcPr>
          <w:p>
            <w:pPr>
              <w:spacing w:after="20"/>
            </w:pPr>
            <w:r/>
            <w:r>
              <w:rPr>
                <w:rFonts w:ascii="Times New Roman" w:hAnsi="Times New Roman" w:eastAsia="宋体"/>
                <w:sz w:val="15"/>
              </w:rPr>
              <w:t>1,647</w:t>
            </w:r>
          </w:p>
        </w:tc>
      </w:tr>
      <w:tr>
        <w:tc>
          <w:tcPr>
            <w:tcW w:type="dxa" w:w="3408"/>
          </w:tcPr>
          <w:p>
            <w:pPr>
              <w:spacing w:after="20"/>
            </w:pPr>
            <w:r/>
            <w:r>
              <w:rPr>
                <w:rFonts w:ascii="Times New Roman" w:hAnsi="Times New Roman" w:eastAsia="宋体"/>
                <w:sz w:val="15"/>
              </w:rPr>
              <w:t>6</w:t>
            </w:r>
          </w:p>
        </w:tc>
        <w:tc>
          <w:tcPr>
            <w:tcW w:type="dxa" w:w="3408"/>
          </w:tcPr>
          <w:p>
            <w:pPr>
              <w:spacing w:after="20"/>
            </w:pPr>
            <w:r/>
            <w:r>
              <w:rPr>
                <w:rFonts w:ascii="Times New Roman" w:hAnsi="Times New Roman" w:eastAsia="宋体"/>
                <w:sz w:val="15"/>
              </w:rPr>
              <w:t>#5 AND ("2015/01/01"[Date - Publication] : "2026/07/31"[Date - Publication])</w:t>
            </w:r>
          </w:p>
        </w:tc>
        <w:tc>
          <w:tcPr>
            <w:tcW w:type="dxa" w:w="3408"/>
          </w:tcPr>
          <w:p>
            <w:pPr>
              <w:spacing w:after="20"/>
            </w:pPr>
            <w:r/>
            <w:r>
              <w:rPr>
                <w:rFonts w:ascii="Times New Roman" w:hAnsi="Times New Roman" w:eastAsia="宋体"/>
                <w:sz w:val="15"/>
              </w:rPr>
              <w:t>1,107</w:t>
            </w:r>
          </w:p>
        </w:tc>
      </w:tr>
    </w:tbl>
    <w:p>
      <w:pPr>
        <w:spacing w:before="160"/>
      </w:pPr>
      <w:r>
        <w:rPr>
          <w:rFonts w:ascii="Times New Roman" w:hAnsi="Times New Roman"/>
          <w:b/>
          <w:sz w:val="22"/>
        </w:rPr>
        <w:t>S2.2 Ovid MEDLINE (via the Ovid platform; command-line syntax)</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pPr>
            <w:r>
              <w:rPr>
                <w:b/>
              </w:rPr>
            </w:r>
            <w:r>
              <w:rPr>
                <w:rFonts w:ascii="Times New Roman" w:hAnsi="Times New Roman" w:eastAsia="宋体"/>
                <w:b/>
                <w:sz w:val="15"/>
              </w:rPr>
              <w:t>Step</w:t>
            </w:r>
          </w:p>
        </w:tc>
        <w:tc>
          <w:tcPr>
            <w:tcW w:type="dxa" w:w="3408"/>
          </w:tcPr>
          <w:p>
            <w:pPr>
              <w:spacing w:after="20"/>
            </w:pPr>
            <w:r>
              <w:rPr>
                <w:b/>
              </w:rPr>
            </w:r>
            <w:r>
              <w:rPr>
                <w:rFonts w:ascii="Times New Roman" w:hAnsi="Times New Roman" w:eastAsia="宋体"/>
                <w:b/>
                <w:sz w:val="15"/>
              </w:rPr>
              <w:t>Query</w:t>
            </w:r>
          </w:p>
        </w:tc>
        <w:tc>
          <w:tcPr>
            <w:tcW w:type="dxa" w:w="3408"/>
          </w:tcPr>
          <w:p>
            <w:pPr>
              <w:spacing w:after="20"/>
            </w:pPr>
            <w:r>
              <w:rPr>
                <w:b/>
              </w:rPr>
            </w:r>
            <w:r>
              <w:rPr>
                <w:rFonts w:ascii="Times New Roman" w:hAnsi="Times New Roman" w:eastAsia="宋体"/>
                <w:b/>
                <w:sz w:val="15"/>
              </w:rPr>
              <w:t>Results</w:t>
            </w:r>
          </w:p>
        </w:tc>
      </w:tr>
      <w:tr>
        <w:tc>
          <w:tcPr>
            <w:tcW w:type="dxa" w:w="3408"/>
          </w:tcPr>
          <w:p>
            <w:pPr>
              <w:spacing w:after="20"/>
            </w:pPr>
            <w:r/>
            <w:r>
              <w:rPr>
                <w:rFonts w:ascii="Times New Roman" w:hAnsi="Times New Roman" w:eastAsia="宋体"/>
                <w:sz w:val="15"/>
              </w:rPr>
              <w:t>1</w:t>
            </w:r>
          </w:p>
        </w:tc>
        <w:tc>
          <w:tcPr>
            <w:tcW w:type="dxa" w:w="3408"/>
          </w:tcPr>
          <w:p>
            <w:pPr>
              <w:spacing w:after="20"/>
            </w:pPr>
            <w:r/>
            <w:r>
              <w:rPr>
                <w:rFonts w:ascii="Times New Roman" w:hAnsi="Times New Roman" w:eastAsia="宋体"/>
                <w:sz w:val="15"/>
              </w:rPr>
              <w:t>exp psoriasis/ OR psoria*.ti,ab,kw. OR "psoriatic arthritis".ti,ab,kw. OR "pustular psoriasis".ti,ab,kw.</w:t>
            </w:r>
          </w:p>
        </w:tc>
        <w:tc>
          <w:tcPr>
            <w:tcW w:type="dxa" w:w="3408"/>
          </w:tcPr>
          <w:p>
            <w:pPr>
              <w:spacing w:after="20"/>
            </w:pPr>
            <w:r/>
            <w:r>
              <w:rPr>
                <w:rFonts w:ascii="Times New Roman" w:hAnsi="Times New Roman" w:eastAsia="宋体"/>
                <w:sz w:val="15"/>
              </w:rPr>
              <w:t>79,423</w:t>
            </w:r>
          </w:p>
        </w:tc>
      </w:tr>
      <w:tr>
        <w:tc>
          <w:tcPr>
            <w:tcW w:type="dxa" w:w="3408"/>
          </w:tcPr>
          <w:p>
            <w:pPr>
              <w:spacing w:after="20"/>
            </w:pPr>
            <w:r/>
            <w:r>
              <w:rPr>
                <w:rFonts w:ascii="Times New Roman" w:hAnsi="Times New Roman" w:eastAsia="宋体"/>
                <w:sz w:val="15"/>
              </w:rPr>
              <w:t>2</w:t>
            </w:r>
          </w:p>
        </w:tc>
        <w:tc>
          <w:tcPr>
            <w:tcW w:type="dxa" w:w="3408"/>
          </w:tcPr>
          <w:p>
            <w:pPr>
              <w:spacing w:after="20"/>
            </w:pPr>
            <w:r/>
            <w:r>
              <w:rPr>
                <w:rFonts w:ascii="Times New Roman" w:hAnsi="Times New Roman" w:eastAsia="宋体"/>
                <w:sz w:val="15"/>
              </w:rPr>
              <w:t>exp cardiovascular disease/ OR exp atherosclerosis/ OR exp myocardial infarction/ OR exp cerebrovascular accident/ OR exp heart failure/ OR exp ischemic heart disease/ OR cardiovascular.ti,ab,kw. OR atherosclero</w:t>
            </w:r>
            <w:r>
              <w:rPr>
                <w:rFonts w:ascii="Times New Roman" w:hAnsi="Times New Roman" w:eastAsia="宋体"/>
                <w:i/>
                <w:sz w:val="15"/>
              </w:rPr>
              <w:t>.ti,ab,kw. OR MACE.ti,ab,kw. OR "major adverse cardiovascular event</w:t>
            </w:r>
            <w:r>
              <w:rPr>
                <w:rFonts w:ascii="Times New Roman" w:hAnsi="Times New Roman" w:eastAsia="宋体"/>
                <w:sz w:val="15"/>
              </w:rPr>
              <w:t>".ti,ab,kw. OR "coronary artery disease".ti,ab,kw. OR "myocardial infarction".ti,ab,kw. OR "ischemic heart disease".ti,ab,kw. OR stroke.ti,ab,kw. OR "heart failure".ti,ab,kw. OR "vascular inflammation".ti,ab,kw. OR "endothelial dysfunction".ti,ab,kw.</w:t>
            </w:r>
          </w:p>
        </w:tc>
        <w:tc>
          <w:tcPr>
            <w:tcW w:type="dxa" w:w="3408"/>
          </w:tcPr>
          <w:p>
            <w:pPr>
              <w:spacing w:after="20"/>
            </w:pPr>
            <w:r/>
            <w:r>
              <w:rPr>
                <w:rFonts w:ascii="Times New Roman" w:hAnsi="Times New Roman" w:eastAsia="宋体"/>
                <w:sz w:val="15"/>
              </w:rPr>
              <w:t>3,560,822</w:t>
            </w:r>
          </w:p>
        </w:tc>
      </w:tr>
      <w:tr>
        <w:tc>
          <w:tcPr>
            <w:tcW w:type="dxa" w:w="3408"/>
          </w:tcPr>
          <w:p>
            <w:pPr>
              <w:spacing w:after="20"/>
            </w:pPr>
            <w:r/>
            <w:r>
              <w:rPr>
                <w:rFonts w:ascii="Times New Roman" w:hAnsi="Times New Roman" w:eastAsia="宋体"/>
                <w:sz w:val="15"/>
              </w:rPr>
              <w:t>3</w:t>
            </w:r>
          </w:p>
        </w:tc>
        <w:tc>
          <w:tcPr>
            <w:tcW w:type="dxa" w:w="3408"/>
          </w:tcPr>
          <w:p>
            <w:pPr>
              <w:spacing w:after="20"/>
            </w:pPr>
            <w:r/>
            <w:r>
              <w:rPr>
                <w:rFonts w:ascii="Times New Roman" w:hAnsi="Times New Roman" w:eastAsia="宋体"/>
                <w:sz w:val="15"/>
              </w:rPr>
              <w:t>exp biological product/ OR exp tumor necrosis factor inhibitor/ OR exp interleukin 17/ OR exp interleukin 23/ OR exp interleukin 12/ OR exp methotrexate/ OR exp cyclosporine/ OR exp acitretin/ OR exp apremilast/ OR exp Janus kinase inhibitor/ OR adalimumab.ti,ab,kw. OR etanercept.ti,ab,kw. OR infliximab.ti,ab,kw. OR certolizumab.ti,ab,kw. OR secukinumab.ti,ab,kw. OR ixekizumab.ti,ab,kw. OR brodalumab.ti,ab,kw. OR bimekizumab.ti,ab,kw. OR guselkumab.ti,ab,kw. OR tildrakizumab.ti,ab,kw. OR risankizumab.ti,ab,kw. OR ustekinumab.ti,ab,kw. OR spesolimab.ti,ab,kw. OR methotrexate.ti,ab,kw. OR cyclosporine.ti,ab,kw. OR ciclosporin.ti,ab,kw. OR acitretin.ti,ab,kw. OR apremilast.ti,ab,kw. OR deucravacitinib.ti,ab,kw. OR tofacitinib.ti,ab,kw. OR upadacitinib.ti,ab,kw. OR abrocitinib.ti,ab,kw. OR briakinumab.ti,ab,kw. OR "dimethyl fumarate".ti,ab,kw. OR "fumaric acid".ti,ab,kw. OR "TNF inhibitor</w:t>
            </w:r>
            <w:r>
              <w:rPr>
                <w:rFonts w:ascii="Times New Roman" w:hAnsi="Times New Roman" w:eastAsia="宋体"/>
                <w:i/>
                <w:sz w:val="15"/>
              </w:rPr>
              <w:t>".ti,ab,kw. OR "anti-TNF".ti,ab,kw. OR "anti-TNF-alpha".ti,ab,kw. OR "IL-17 inhibitor</w:t>
            </w:r>
            <w:r>
              <w:rPr>
                <w:rFonts w:ascii="Times New Roman" w:hAnsi="Times New Roman" w:eastAsia="宋体"/>
                <w:sz w:val="15"/>
              </w:rPr>
              <w:t>".ti,ab,kw. OR "anti-IL-17".ti,ab,kw. OR "IL-23 inhibitor</w:t>
            </w:r>
            <w:r>
              <w:rPr>
                <w:rFonts w:ascii="Times New Roman" w:hAnsi="Times New Roman" w:eastAsia="宋体"/>
                <w:i/>
                <w:sz w:val="15"/>
              </w:rPr>
              <w:t>".ti,ab,kw. OR "anti-IL-23".ti,ab,kw. OR "anti-IL-12/23".ti,ab,kw. OR "biologic therapy".ti,ab,kw. OR "biologic treatment".ti,ab,kw. OR "biological therapy".ti,ab,kw. OR "JAK inhibitor</w:t>
            </w:r>
            <w:r>
              <w:rPr>
                <w:rFonts w:ascii="Times New Roman" w:hAnsi="Times New Roman" w:eastAsia="宋体"/>
                <w:sz w:val="15"/>
              </w:rPr>
              <w:t>".ti,ab,kw. OR "TYK2 inhibitor*".ti,ab,kw. OR "systemic therapy".ti,ab,kw. OR "systemic treatment".ti,ab,kw. OR "psoriasis treatment".ti,ab,kw. OR "psoriasis therapy".ti,ab,kw. OR "anti-psoriatic".ti,ab,kw.</w:t>
            </w:r>
          </w:p>
        </w:tc>
        <w:tc>
          <w:tcPr>
            <w:tcW w:type="dxa" w:w="3408"/>
          </w:tcPr>
          <w:p>
            <w:pPr>
              <w:spacing w:after="20"/>
            </w:pPr>
            <w:r/>
            <w:r>
              <w:rPr>
                <w:rFonts w:ascii="Times New Roman" w:hAnsi="Times New Roman" w:eastAsia="宋体"/>
                <w:sz w:val="15"/>
              </w:rPr>
              <w:t>988,284</w:t>
            </w:r>
          </w:p>
        </w:tc>
      </w:tr>
      <w:tr>
        <w:tc>
          <w:tcPr>
            <w:tcW w:type="dxa" w:w="3408"/>
          </w:tcPr>
          <w:p>
            <w:pPr>
              <w:spacing w:after="20"/>
            </w:pPr>
            <w:r/>
            <w:r>
              <w:rPr>
                <w:rFonts w:ascii="Times New Roman" w:hAnsi="Times New Roman" w:eastAsia="宋体"/>
                <w:sz w:val="15"/>
              </w:rPr>
              <w:t>4</w:t>
            </w:r>
          </w:p>
        </w:tc>
        <w:tc>
          <w:tcPr>
            <w:tcW w:type="dxa" w:w="3408"/>
          </w:tcPr>
          <w:p>
            <w:pPr>
              <w:spacing w:after="20"/>
            </w:pPr>
            <w:r/>
            <w:r>
              <w:rPr>
                <w:rFonts w:ascii="Times New Roman" w:hAnsi="Times New Roman" w:eastAsia="宋体"/>
                <w:sz w:val="15"/>
              </w:rPr>
              <w:t>exp antihypertensive agent/ OR exp beta adrenergic receptor blocking agent/ OR exp dipeptidyl carboxypeptidase inhibitor/ OR exp angiotensin receptor antagonist/ OR exp calcium channel blocking agent/ OR exp hydroxymethylglutaryl coenzyme A reductase inhibitor/ OR exp sodium glucose cotransporter 2 inhibitor/ OR exp glucagon like peptide 1 receptor agonist/ OR exp colchicine/ OR exp phosphodiesterase V inhibitor/ OR exp PCSK9 inhibitor/ OR exp metformin/ OR exp endothelin receptor antagonist/ OR exp soluble guanylyl cyclase stimulator/ OR exp thiazide diuretic agent/ OR "beta-blocker</w:t>
            </w:r>
            <w:r>
              <w:rPr>
                <w:rFonts w:ascii="Times New Roman" w:hAnsi="Times New Roman" w:eastAsia="宋体"/>
                <w:i/>
                <w:sz w:val="15"/>
              </w:rPr>
              <w:t>".ti,ab,kw. OR "beta blocker</w:t>
            </w:r>
            <w:r>
              <w:rPr>
                <w:rFonts w:ascii="Times New Roman" w:hAnsi="Times New Roman" w:eastAsia="宋体"/>
                <w:sz w:val="15"/>
              </w:rPr>
              <w:t>".ti,ab,kw. OR "β-blocker</w:t>
            </w:r>
            <w:r>
              <w:rPr>
                <w:rFonts w:ascii="Times New Roman" w:hAnsi="Times New Roman" w:eastAsia="宋体"/>
                <w:i/>
                <w:sz w:val="15"/>
              </w:rPr>
              <w:t>".ti,ab,kw. OR "ACE inhibitor</w:t>
            </w:r>
            <w:r>
              <w:rPr>
                <w:rFonts w:ascii="Times New Roman" w:hAnsi="Times New Roman" w:eastAsia="宋体"/>
                <w:sz w:val="15"/>
              </w:rPr>
              <w:t>".ti,ab,kw. OR "angiotensin-converting enzyme inhibitor</w:t>
            </w:r>
            <w:r>
              <w:rPr>
                <w:rFonts w:ascii="Times New Roman" w:hAnsi="Times New Roman" w:eastAsia="宋体"/>
                <w:i/>
                <w:sz w:val="15"/>
              </w:rPr>
              <w:t>".ti,ab,kw. OR "angiotensin receptor blocker</w:t>
            </w:r>
            <w:r>
              <w:rPr>
                <w:rFonts w:ascii="Times New Roman" w:hAnsi="Times New Roman" w:eastAsia="宋体"/>
                <w:sz w:val="15"/>
              </w:rPr>
              <w:t>".ti,ab,kw. OR ARB.ti,ab,kw. OR ARBs.ti,ab,kw. OR "calcium channel blocker</w:t>
            </w:r>
            <w:r>
              <w:rPr>
                <w:rFonts w:ascii="Times New Roman" w:hAnsi="Times New Roman" w:eastAsia="宋体"/>
                <w:i/>
                <w:sz w:val="15"/>
              </w:rPr>
              <w:t>".ti,ab,kw. OR CCB.ti,ab,kw. OR amlodipine.ti,ab,kw. OR verapamil.ti,ab,kw. OR diltiazem.ti,ab,kw. OR nifedipine.ti,ab,kw. OR statin</w:t>
            </w:r>
            <w:r>
              <w:rPr>
                <w:rFonts w:ascii="Times New Roman" w:hAnsi="Times New Roman" w:eastAsia="宋体"/>
                <w:sz w:val="15"/>
              </w:rPr>
              <w:t>.ti,ab,kw. OR atorvastatin.ti,ab,kw. OR rosuvastatin.ti,ab,kw. OR simvastatin.ti,ab,kw. OR pravastatin.ti,ab,kw. OR SGLT2.ti,ab,kw. OR "SGLT-2".ti,ab,kw. OR "sodium-glucose cotransporter".ti,ab,kw. OR dapagliflozin.ti,ab,kw. OR empagliflozin.ti,ab,kw. OR canagliflozin.ti,ab,kw. OR "GLP-1".ti,ab,kw. OR "glucagon-like peptide-1".ti,ab,kw. OR liraglutide.ti,ab,kw. OR semaglutide.ti,ab,kw. OR dulaglutide.ti,ab,kw. OR colchicine.ti,ab,kw. OR tadalafil.ti,ab,kw. OR sildenafil.ti,ab,kw. OR "PDE5 inhibitor</w:t>
            </w:r>
            <w:r>
              <w:rPr>
                <w:rFonts w:ascii="Times New Roman" w:hAnsi="Times New Roman" w:eastAsia="宋体"/>
                <w:i/>
                <w:sz w:val="15"/>
              </w:rPr>
              <w:t>".ti,ab,kw. OR "phosphodiesterase-5 inhibitor</w:t>
            </w:r>
            <w:r>
              <w:rPr>
                <w:rFonts w:ascii="Times New Roman" w:hAnsi="Times New Roman" w:eastAsia="宋体"/>
                <w:sz w:val="15"/>
              </w:rPr>
              <w:t>".ti,ab,kw. OR PCSK9.ti,ab,kw. OR evolocumab.ti,ab,kw. OR alirocumab.ti,ab,kw. OR metformin.ti,ab,kw. OR thiazide.ti,ab,kw. OR hydrochlorothiazide.ti,ab,kw. OR bosentan.ti,ab,kw. OR riociguat.ti,ab,kw. OR antihypertensive.ti,ab,kw. OR "anti-hypertensive".ti,ab,kw. OR "cardiovascular drug</w:t>
            </w:r>
            <w:r>
              <w:rPr>
                <w:rFonts w:ascii="Times New Roman" w:hAnsi="Times New Roman" w:eastAsia="宋体"/>
                <w:i/>
                <w:sz w:val="15"/>
              </w:rPr>
              <w:t>".ti,ab,kw. OR "cardiovascular medication</w:t>
            </w:r>
            <w:r>
              <w:rPr>
                <w:rFonts w:ascii="Times New Roman" w:hAnsi="Times New Roman" w:eastAsia="宋体"/>
                <w:sz w:val="15"/>
              </w:rPr>
              <w:t>".ti,ab,kw. OR "cardiovascular agent</w:t>
            </w:r>
            <w:r>
              <w:rPr>
                <w:rFonts w:ascii="Times New Roman" w:hAnsi="Times New Roman" w:eastAsia="宋体"/>
                <w:i/>
                <w:sz w:val="15"/>
              </w:rPr>
              <w:t>".ti,ab,kw. OR "cardiovascular therap</w:t>
            </w:r>
            <w:r>
              <w:rPr>
                <w:rFonts w:ascii="Times New Roman" w:hAnsi="Times New Roman" w:eastAsia="宋体"/>
                <w:sz w:val="15"/>
              </w:rPr>
              <w:t>".ti,ab,kw.</w:t>
            </w:r>
          </w:p>
        </w:tc>
        <w:tc>
          <w:tcPr>
            <w:tcW w:type="dxa" w:w="3408"/>
          </w:tcPr>
          <w:p>
            <w:pPr>
              <w:spacing w:after="20"/>
            </w:pPr>
            <w:r/>
            <w:r>
              <w:rPr>
                <w:rFonts w:ascii="Times New Roman" w:hAnsi="Times New Roman" w:eastAsia="宋体"/>
                <w:sz w:val="15"/>
              </w:rPr>
              <w:t>660,240</w:t>
            </w:r>
          </w:p>
        </w:tc>
      </w:tr>
      <w:tr>
        <w:tc>
          <w:tcPr>
            <w:tcW w:type="dxa" w:w="3408"/>
          </w:tcPr>
          <w:p>
            <w:pPr>
              <w:spacing w:after="20"/>
            </w:pPr>
            <w:r/>
            <w:r>
              <w:rPr>
                <w:rFonts w:ascii="Times New Roman" w:hAnsi="Times New Roman" w:eastAsia="宋体"/>
                <w:sz w:val="15"/>
              </w:rPr>
              <w:t>5</w:t>
            </w:r>
          </w:p>
        </w:tc>
        <w:tc>
          <w:tcPr>
            <w:tcW w:type="dxa" w:w="3408"/>
          </w:tcPr>
          <w:p>
            <w:pPr>
              <w:spacing w:after="20"/>
            </w:pPr>
            <w:r/>
            <w:r>
              <w:rPr>
                <w:rFonts w:ascii="Times New Roman" w:hAnsi="Times New Roman" w:eastAsia="宋体"/>
                <w:sz w:val="15"/>
              </w:rPr>
              <w:t>(1 AND 2) AND (3 OR 4)</w:t>
            </w:r>
          </w:p>
        </w:tc>
        <w:tc>
          <w:tcPr>
            <w:tcW w:type="dxa" w:w="3408"/>
          </w:tcPr>
          <w:p>
            <w:pPr>
              <w:spacing w:after="20"/>
            </w:pPr>
            <w:r/>
            <w:r>
              <w:rPr>
                <w:rFonts w:ascii="Times New Roman" w:hAnsi="Times New Roman" w:eastAsia="宋体"/>
                <w:sz w:val="15"/>
              </w:rPr>
              <w:t>1,586</w:t>
            </w:r>
          </w:p>
        </w:tc>
      </w:tr>
      <w:tr>
        <w:tc>
          <w:tcPr>
            <w:tcW w:type="dxa" w:w="3408"/>
          </w:tcPr>
          <w:p>
            <w:pPr>
              <w:spacing w:after="20"/>
            </w:pPr>
            <w:r/>
            <w:r>
              <w:rPr>
                <w:rFonts w:ascii="Times New Roman" w:hAnsi="Times New Roman" w:eastAsia="宋体"/>
                <w:sz w:val="15"/>
              </w:rPr>
              <w:t>6</w:t>
            </w:r>
          </w:p>
        </w:tc>
        <w:tc>
          <w:tcPr>
            <w:tcW w:type="dxa" w:w="3408"/>
          </w:tcPr>
          <w:p>
            <w:pPr>
              <w:spacing w:after="20"/>
            </w:pPr>
            <w:r/>
            <w:r>
              <w:rPr>
                <w:rFonts w:ascii="Times New Roman" w:hAnsi="Times New Roman" w:eastAsia="宋体"/>
                <w:sz w:val="15"/>
              </w:rPr>
              <w:t>limit 5 to yr="2015 - 2026"</w:t>
            </w:r>
          </w:p>
        </w:tc>
        <w:tc>
          <w:tcPr>
            <w:tcW w:type="dxa" w:w="3408"/>
          </w:tcPr>
          <w:p>
            <w:pPr>
              <w:spacing w:after="20"/>
            </w:pPr>
            <w:r/>
            <w:r>
              <w:rPr>
                <w:rFonts w:ascii="Times New Roman" w:hAnsi="Times New Roman" w:eastAsia="宋体"/>
                <w:sz w:val="15"/>
              </w:rPr>
              <w:t>1,064</w:t>
            </w:r>
          </w:p>
        </w:tc>
      </w:tr>
    </w:tbl>
    <w:p>
      <w:r>
        <w:rPr>
          <w:rFonts w:ascii="Times New Roman" w:hAnsi="Times New Roman" w:eastAsia="宋体"/>
          <w:i/>
          <w:sz w:val="20"/>
        </w:rPr>
        <w:t>Note:</w:t>
      </w:r>
      <w:r>
        <w:rPr>
          <w:rFonts w:ascii="Times New Roman" w:hAnsi="Times New Roman" w:eastAsia="宋体"/>
          <w:sz w:val="20"/>
        </w:rPr>
        <w:t xml:space="preserve"> A database-level limit to exclude records duplicated in another Ovid file was not applied at the interface level; overlapping records were removed with EndNote (DOI and title matching) during the deduplication stage, and the corresponding count was recorded in the PRISMA 2020 flow diagram (2,214 duplicates removed overall; 33 records were unique to Ovid MEDLINE).</w:t>
      </w:r>
    </w:p>
    <w:p>
      <w:pPr>
        <w:spacing w:before="160"/>
      </w:pPr>
      <w:r>
        <w:rPr>
          <w:rFonts w:ascii="Times New Roman" w:hAnsi="Times New Roman"/>
          <w:b/>
          <w:sz w:val="22"/>
        </w:rPr>
        <w:t>S2.3 Web of Science Core Collection (Advanced Search; Topic = TS)</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pPr>
            <w:r>
              <w:rPr>
                <w:b/>
              </w:rPr>
            </w:r>
            <w:r>
              <w:rPr>
                <w:rFonts w:ascii="Times New Roman" w:hAnsi="Times New Roman" w:eastAsia="宋体"/>
                <w:b/>
                <w:sz w:val="15"/>
              </w:rPr>
              <w:t>Step</w:t>
            </w:r>
          </w:p>
        </w:tc>
        <w:tc>
          <w:tcPr>
            <w:tcW w:type="dxa" w:w="3408"/>
          </w:tcPr>
          <w:p>
            <w:pPr>
              <w:spacing w:after="20"/>
            </w:pPr>
            <w:r>
              <w:rPr>
                <w:b/>
              </w:rPr>
            </w:r>
            <w:r>
              <w:rPr>
                <w:rFonts w:ascii="Times New Roman" w:hAnsi="Times New Roman" w:eastAsia="宋体"/>
                <w:b/>
                <w:sz w:val="15"/>
              </w:rPr>
              <w:t>Query</w:t>
            </w:r>
          </w:p>
        </w:tc>
        <w:tc>
          <w:tcPr>
            <w:tcW w:type="dxa" w:w="3408"/>
          </w:tcPr>
          <w:p>
            <w:pPr>
              <w:spacing w:after="20"/>
            </w:pPr>
            <w:r>
              <w:rPr>
                <w:b/>
              </w:rPr>
            </w:r>
            <w:r>
              <w:rPr>
                <w:rFonts w:ascii="Times New Roman" w:hAnsi="Times New Roman" w:eastAsia="宋体"/>
                <w:b/>
                <w:sz w:val="15"/>
              </w:rPr>
              <w:t>Results</w:t>
            </w:r>
          </w:p>
        </w:tc>
      </w:tr>
      <w:tr>
        <w:tc>
          <w:tcPr>
            <w:tcW w:type="dxa" w:w="3408"/>
          </w:tcPr>
          <w:p>
            <w:pPr>
              <w:spacing w:after="20"/>
            </w:pPr>
            <w:r/>
            <w:r>
              <w:rPr>
                <w:rFonts w:ascii="Times New Roman" w:hAnsi="Times New Roman" w:eastAsia="宋体"/>
                <w:sz w:val="15"/>
              </w:rPr>
              <w:t>#1</w:t>
            </w:r>
          </w:p>
        </w:tc>
        <w:tc>
          <w:tcPr>
            <w:tcW w:type="dxa" w:w="3408"/>
          </w:tcPr>
          <w:p>
            <w:pPr>
              <w:spacing w:after="20"/>
            </w:pPr>
            <w:r/>
            <w:r>
              <w:rPr>
                <w:rFonts w:ascii="Times New Roman" w:hAnsi="Times New Roman" w:eastAsia="宋体"/>
                <w:sz w:val="15"/>
              </w:rPr>
              <w:t>TS=(psoria* OR "psoriatic arthritis" OR "pustular psoriasis")</w:t>
            </w:r>
          </w:p>
        </w:tc>
        <w:tc>
          <w:tcPr>
            <w:tcW w:type="dxa" w:w="3408"/>
          </w:tcPr>
          <w:p>
            <w:pPr>
              <w:spacing w:after="20"/>
            </w:pPr>
            <w:r/>
            <w:r>
              <w:rPr>
                <w:rFonts w:ascii="Times New Roman" w:hAnsi="Times New Roman" w:eastAsia="宋体"/>
                <w:sz w:val="15"/>
              </w:rPr>
              <w:t>193,019</w:t>
            </w:r>
          </w:p>
        </w:tc>
      </w:tr>
      <w:tr>
        <w:tc>
          <w:tcPr>
            <w:tcW w:type="dxa" w:w="3408"/>
          </w:tcPr>
          <w:p>
            <w:pPr>
              <w:spacing w:after="20"/>
            </w:pPr>
            <w:r/>
            <w:r>
              <w:rPr>
                <w:rFonts w:ascii="Times New Roman" w:hAnsi="Times New Roman" w:eastAsia="宋体"/>
                <w:sz w:val="15"/>
              </w:rPr>
              <w:t>#2</w:t>
            </w:r>
          </w:p>
        </w:tc>
        <w:tc>
          <w:tcPr>
            <w:tcW w:type="dxa" w:w="3408"/>
          </w:tcPr>
          <w:p>
            <w:pPr>
              <w:spacing w:after="20"/>
            </w:pPr>
            <w:r/>
            <w:r>
              <w:rPr>
                <w:rFonts w:ascii="Times New Roman" w:hAnsi="Times New Roman" w:eastAsia="宋体"/>
                <w:sz w:val="15"/>
              </w:rPr>
              <w:t>TS=(cardiovascular OR atherosclero</w:t>
            </w:r>
            <w:r>
              <w:rPr>
                <w:rFonts w:ascii="Times New Roman" w:hAnsi="Times New Roman" w:eastAsia="宋体"/>
                <w:i/>
                <w:sz w:val="15"/>
              </w:rPr>
              <w:t xml:space="preserve"> OR MACE OR "major adverse cardiovascular event</w:t>
            </w:r>
            <w:r>
              <w:rPr>
                <w:rFonts w:ascii="Times New Roman" w:hAnsi="Times New Roman" w:eastAsia="宋体"/>
                <w:sz w:val="15"/>
              </w:rPr>
              <w:t>" OR "coronary artery disease" OR "myocardial infarction" OR "ischemic heart disease" OR stroke OR "heart failure" OR "vascular inflammation" OR "endothelial dysfunction")</w:t>
            </w:r>
          </w:p>
        </w:tc>
        <w:tc>
          <w:tcPr>
            <w:tcW w:type="dxa" w:w="3408"/>
          </w:tcPr>
          <w:p>
            <w:pPr>
              <w:spacing w:after="20"/>
            </w:pPr>
            <w:r/>
            <w:r>
              <w:rPr>
                <w:rFonts w:ascii="Times New Roman" w:hAnsi="Times New Roman" w:eastAsia="宋体"/>
                <w:sz w:val="15"/>
              </w:rPr>
              <w:t>5,749,753</w:t>
            </w:r>
          </w:p>
        </w:tc>
      </w:tr>
      <w:tr>
        <w:tc>
          <w:tcPr>
            <w:tcW w:type="dxa" w:w="3408"/>
          </w:tcPr>
          <w:p>
            <w:pPr>
              <w:spacing w:after="20"/>
            </w:pPr>
            <w:r/>
            <w:r>
              <w:rPr>
                <w:rFonts w:ascii="Times New Roman" w:hAnsi="Times New Roman" w:eastAsia="宋体"/>
                <w:sz w:val="15"/>
              </w:rPr>
              <w:t>#3</w:t>
            </w:r>
          </w:p>
        </w:tc>
        <w:tc>
          <w:tcPr>
            <w:tcW w:type="dxa" w:w="3408"/>
          </w:tcPr>
          <w:p>
            <w:pPr>
              <w:spacing w:after="20"/>
            </w:pPr>
            <w:r/>
            <w:r>
              <w:rPr>
                <w:rFonts w:ascii="Times New Roman" w:hAnsi="Times New Roman" w:eastAsia="宋体"/>
                <w:sz w:val="15"/>
              </w:rPr>
              <w:t>TS=(adalimumab OR etanercept OR infliximab OR certolizumab OR secukinumab OR ixekizumab OR brodalumab OR bimekizumab OR guselkumab OR tildrakizumab OR risankizumab OR ustekinumab OR spesolimab OR briakinumab OR methotrexate OR cyclosporine OR ciclosporin OR acitretin OR apremilast OR deucravacitinib OR tofacitinib OR upadacitinib OR abrocitinib OR "dimethyl fumarate" OR "fumaric acid" OR "TNF inhibitor</w:t>
            </w:r>
            <w:r>
              <w:rPr>
                <w:rFonts w:ascii="Times New Roman" w:hAnsi="Times New Roman" w:eastAsia="宋体"/>
                <w:i/>
                <w:sz w:val="15"/>
              </w:rPr>
              <w:t>" OR "anti-TNF" OR "anti-TNF-alpha" OR "IL-17 inhibitor</w:t>
            </w:r>
            <w:r>
              <w:rPr>
                <w:rFonts w:ascii="Times New Roman" w:hAnsi="Times New Roman" w:eastAsia="宋体"/>
                <w:sz w:val="15"/>
              </w:rPr>
              <w:t>" OR "anti-IL-17" OR "IL-23 inhibitor</w:t>
            </w:r>
            <w:r>
              <w:rPr>
                <w:rFonts w:ascii="Times New Roman" w:hAnsi="Times New Roman" w:eastAsia="宋体"/>
                <w:i/>
                <w:sz w:val="15"/>
              </w:rPr>
              <w:t>" OR "anti-IL-23" OR "anti-IL-12/23" OR "IL-12/23 inhibitor</w:t>
            </w:r>
            <w:r>
              <w:rPr>
                <w:rFonts w:ascii="Times New Roman" w:hAnsi="Times New Roman" w:eastAsia="宋体"/>
                <w:sz w:val="15"/>
              </w:rPr>
              <w:t>" OR "biologic therapy" OR "biologic treatment" OR "biological therapy" OR "JAK inhibitor</w:t>
            </w:r>
            <w:r>
              <w:rPr>
                <w:rFonts w:ascii="Times New Roman" w:hAnsi="Times New Roman" w:eastAsia="宋体"/>
                <w:i/>
                <w:sz w:val="15"/>
              </w:rPr>
              <w:t>" OR "TYK2 inhibitor</w:t>
            </w:r>
            <w:r>
              <w:rPr>
                <w:rFonts w:ascii="Times New Roman" w:hAnsi="Times New Roman" w:eastAsia="宋体"/>
                <w:sz w:val="15"/>
              </w:rPr>
              <w:t>" OR "systemic therapy" OR "systemic treatment" OR "conventional systemic" OR "psoriasis treatment" OR "psoriasis therapy" OR "anti-psoriatic")</w:t>
            </w:r>
          </w:p>
        </w:tc>
        <w:tc>
          <w:tcPr>
            <w:tcW w:type="dxa" w:w="3408"/>
          </w:tcPr>
          <w:p>
            <w:pPr>
              <w:spacing w:after="20"/>
            </w:pPr>
            <w:r/>
            <w:r>
              <w:rPr>
                <w:rFonts w:ascii="Times New Roman" w:hAnsi="Times New Roman" w:eastAsia="宋体"/>
                <w:sz w:val="15"/>
              </w:rPr>
              <w:t>427,029</w:t>
            </w:r>
          </w:p>
        </w:tc>
      </w:tr>
      <w:tr>
        <w:tc>
          <w:tcPr>
            <w:tcW w:type="dxa" w:w="3408"/>
          </w:tcPr>
          <w:p>
            <w:pPr>
              <w:spacing w:after="20"/>
            </w:pPr>
            <w:r/>
            <w:r>
              <w:rPr>
                <w:rFonts w:ascii="Times New Roman" w:hAnsi="Times New Roman" w:eastAsia="宋体"/>
                <w:sz w:val="15"/>
              </w:rPr>
              <w:t>#4</w:t>
            </w:r>
          </w:p>
        </w:tc>
        <w:tc>
          <w:tcPr>
            <w:tcW w:type="dxa" w:w="3408"/>
          </w:tcPr>
          <w:p>
            <w:pPr>
              <w:spacing w:after="20"/>
            </w:pPr>
            <w:r/>
            <w:r>
              <w:rPr>
                <w:rFonts w:ascii="Times New Roman" w:hAnsi="Times New Roman" w:eastAsia="宋体"/>
                <w:sz w:val="15"/>
              </w:rPr>
              <w:t>TS=("beta-blocker</w:t>
            </w:r>
            <w:r>
              <w:rPr>
                <w:rFonts w:ascii="Times New Roman" w:hAnsi="Times New Roman" w:eastAsia="宋体"/>
                <w:i/>
                <w:sz w:val="15"/>
              </w:rPr>
              <w:t>" OR "beta blocker</w:t>
            </w:r>
            <w:r>
              <w:rPr>
                <w:rFonts w:ascii="Times New Roman" w:hAnsi="Times New Roman" w:eastAsia="宋体"/>
                <w:sz w:val="15"/>
              </w:rPr>
              <w:t>" OR "β-blocker</w:t>
            </w:r>
            <w:r>
              <w:rPr>
                <w:rFonts w:ascii="Times New Roman" w:hAnsi="Times New Roman" w:eastAsia="宋体"/>
                <w:i/>
                <w:sz w:val="15"/>
              </w:rPr>
              <w:t>" OR "ACE inhibitor</w:t>
            </w:r>
            <w:r>
              <w:rPr>
                <w:rFonts w:ascii="Times New Roman" w:hAnsi="Times New Roman" w:eastAsia="宋体"/>
                <w:sz w:val="15"/>
              </w:rPr>
              <w:t>" OR "angiotensin-converting enzyme inhibitor</w:t>
            </w:r>
            <w:r>
              <w:rPr>
                <w:rFonts w:ascii="Times New Roman" w:hAnsi="Times New Roman" w:eastAsia="宋体"/>
                <w:i/>
                <w:sz w:val="15"/>
              </w:rPr>
              <w:t>" OR "angiotensin receptor blocker</w:t>
            </w:r>
            <w:r>
              <w:rPr>
                <w:rFonts w:ascii="Times New Roman" w:hAnsi="Times New Roman" w:eastAsia="宋体"/>
                <w:sz w:val="15"/>
              </w:rPr>
              <w:t>" OR ARB OR ARBs OR "calcium channel blocker</w:t>
            </w:r>
            <w:r>
              <w:rPr>
                <w:rFonts w:ascii="Times New Roman" w:hAnsi="Times New Roman" w:eastAsia="宋体"/>
                <w:i/>
                <w:sz w:val="15"/>
              </w:rPr>
              <w:t>" OR CCB OR amlodipine OR verapamil OR diltiazem OR nifedipine OR statin</w:t>
            </w:r>
            <w:r>
              <w:rPr>
                <w:rFonts w:ascii="Times New Roman" w:hAnsi="Times New Roman" w:eastAsia="宋体"/>
                <w:sz w:val="15"/>
              </w:rPr>
              <w:t xml:space="preserve"> OR atorvastatin OR rosuvastatin OR simvastatin OR pravastatin OR SGLT2 OR "SGLT-2" OR "sodium-glucose cotransporter" OR dapagliflozin OR empagliflozin OR canagliflozin OR "GLP-1" OR "glucagon-like peptide-1" OR liraglutide OR semaglutide OR dulaglutide OR colchicine OR tadalafil OR sildenafil OR "PDE5 inhibitor</w:t>
            </w:r>
            <w:r>
              <w:rPr>
                <w:rFonts w:ascii="Times New Roman" w:hAnsi="Times New Roman" w:eastAsia="宋体"/>
                <w:i/>
                <w:sz w:val="15"/>
              </w:rPr>
              <w:t>" OR "phosphodiesterase-5 inhibitor</w:t>
            </w:r>
            <w:r>
              <w:rPr>
                <w:rFonts w:ascii="Times New Roman" w:hAnsi="Times New Roman" w:eastAsia="宋体"/>
                <w:sz w:val="15"/>
              </w:rPr>
              <w:t>" OR PCSK9 OR evolocumab OR alirocumab OR metformin OR thiazide OR hydrochlorothiazide OR bosentan OR riociguat OR antihypertensive OR "anti-hypertensive" OR "cardiovascular drug</w:t>
            </w:r>
            <w:r>
              <w:rPr>
                <w:rFonts w:ascii="Times New Roman" w:hAnsi="Times New Roman" w:eastAsia="宋体"/>
                <w:i/>
                <w:sz w:val="15"/>
              </w:rPr>
              <w:t>" OR "cardiovascular medication</w:t>
            </w:r>
            <w:r>
              <w:rPr>
                <w:rFonts w:ascii="Times New Roman" w:hAnsi="Times New Roman" w:eastAsia="宋体"/>
                <w:sz w:val="15"/>
              </w:rPr>
              <w:t>" OR "cardiovascular agent</w:t>
            </w:r>
            <w:r>
              <w:rPr>
                <w:rFonts w:ascii="Times New Roman" w:hAnsi="Times New Roman" w:eastAsia="宋体"/>
                <w:i/>
                <w:sz w:val="15"/>
              </w:rPr>
              <w:t>" OR "cardiovascular therap</w:t>
            </w:r>
            <w:r>
              <w:rPr>
                <w:rFonts w:ascii="Times New Roman" w:hAnsi="Times New Roman" w:eastAsia="宋体"/>
                <w:sz w:val="15"/>
              </w:rPr>
              <w:t>" OR "cardiovascular treatment</w:t>
            </w:r>
            <w:r>
              <w:rPr>
                <w:rFonts w:ascii="Times New Roman" w:hAnsi="Times New Roman" w:eastAsia="宋体"/>
                <w:i/>
                <w:sz w:val="15"/>
              </w:rPr>
              <w:t>" OR "antihypertensive agent</w:t>
            </w:r>
            <w:r>
              <w:rPr>
                <w:rFonts w:ascii="Times New Roman" w:hAnsi="Times New Roman" w:eastAsia="宋体"/>
                <w:sz w:val="15"/>
              </w:rPr>
              <w:t>" OR "antihypertensive drug*" OR "lipid-lowering" OR "lipid lowering" OR "glucose-lowering" OR "glucose lowering" OR "cardioprotective" OR "cardio-protective")</w:t>
            </w:r>
          </w:p>
        </w:tc>
        <w:tc>
          <w:tcPr>
            <w:tcW w:type="dxa" w:w="3408"/>
          </w:tcPr>
          <w:p>
            <w:pPr>
              <w:spacing w:after="20"/>
            </w:pPr>
            <w:r/>
            <w:r>
              <w:rPr>
                <w:rFonts w:ascii="Times New Roman" w:hAnsi="Times New Roman" w:eastAsia="宋体"/>
                <w:sz w:val="15"/>
              </w:rPr>
              <w:t>1,127,054</w:t>
            </w:r>
          </w:p>
        </w:tc>
      </w:tr>
      <w:tr>
        <w:tc>
          <w:tcPr>
            <w:tcW w:type="dxa" w:w="3408"/>
          </w:tcPr>
          <w:p>
            <w:pPr>
              <w:spacing w:after="20"/>
            </w:pPr>
            <w:r/>
            <w:r>
              <w:rPr>
                <w:rFonts w:ascii="Times New Roman" w:hAnsi="Times New Roman" w:eastAsia="宋体"/>
                <w:sz w:val="15"/>
              </w:rPr>
              <w:t>#5</w:t>
            </w:r>
          </w:p>
        </w:tc>
        <w:tc>
          <w:tcPr>
            <w:tcW w:type="dxa" w:w="3408"/>
          </w:tcPr>
          <w:p>
            <w:pPr>
              <w:spacing w:after="20"/>
            </w:pPr>
            <w:r/>
            <w:r>
              <w:rPr>
                <w:rFonts w:ascii="Times New Roman" w:hAnsi="Times New Roman" w:eastAsia="宋体"/>
                <w:sz w:val="15"/>
              </w:rPr>
              <w:t>(#1 AND #2) AND (#3 OR #4)</w:t>
            </w:r>
          </w:p>
        </w:tc>
        <w:tc>
          <w:tcPr>
            <w:tcW w:type="dxa" w:w="3408"/>
          </w:tcPr>
          <w:p>
            <w:pPr>
              <w:spacing w:after="20"/>
            </w:pPr>
            <w:r/>
            <w:r>
              <w:rPr>
                <w:rFonts w:ascii="Times New Roman" w:hAnsi="Times New Roman" w:eastAsia="宋体"/>
                <w:sz w:val="15"/>
              </w:rPr>
              <w:t>4,338</w:t>
            </w:r>
          </w:p>
        </w:tc>
      </w:tr>
      <w:tr>
        <w:tc>
          <w:tcPr>
            <w:tcW w:type="dxa" w:w="3408"/>
          </w:tcPr>
          <w:p>
            <w:pPr>
              <w:spacing w:after="20"/>
            </w:pPr>
            <w:r/>
            <w:r>
              <w:rPr>
                <w:rFonts w:ascii="Times New Roman" w:hAnsi="Times New Roman" w:eastAsia="宋体"/>
                <w:sz w:val="15"/>
              </w:rPr>
              <w:t>#6</w:t>
            </w:r>
          </w:p>
        </w:tc>
        <w:tc>
          <w:tcPr>
            <w:tcW w:type="dxa" w:w="3408"/>
          </w:tcPr>
          <w:p>
            <w:pPr>
              <w:spacing w:after="20"/>
            </w:pPr>
            <w:r/>
            <w:r>
              <w:rPr>
                <w:rFonts w:ascii="Times New Roman" w:hAnsi="Times New Roman" w:eastAsia="宋体"/>
                <w:sz w:val="15"/>
              </w:rPr>
              <w:t>Publication Years refined to 2015–2026 (refine panel; WoS does not support embedded date limits in the query line)</w:t>
            </w:r>
          </w:p>
        </w:tc>
        <w:tc>
          <w:tcPr>
            <w:tcW w:type="dxa" w:w="3408"/>
          </w:tcPr>
          <w:p>
            <w:pPr>
              <w:spacing w:after="20"/>
            </w:pPr>
            <w:r/>
            <w:r>
              <w:rPr>
                <w:rFonts w:ascii="Times New Roman" w:hAnsi="Times New Roman" w:eastAsia="宋体"/>
                <w:sz w:val="15"/>
              </w:rPr>
              <w:t>2,774</w:t>
            </w:r>
          </w:p>
        </w:tc>
      </w:tr>
    </w:tbl>
    <w:p>
      <w:pPr>
        <w:spacing w:before="160"/>
      </w:pPr>
      <w:r>
        <w:rPr>
          <w:rFonts w:ascii="Times New Roman" w:hAnsi="Times New Roman"/>
          <w:b/>
          <w:sz w:val="22"/>
        </w:rPr>
        <w:t>S2.4 Cochrane CENTRAL (Cochrane Library, Trials collection; free-text in the Title Abstract Keyword field; searched August 20, 2026)</w:t>
      </w:r>
    </w:p>
    <w:p>
      <w:r>
        <w:rPr>
          <w:rFonts w:ascii="Times New Roman" w:hAnsi="Times New Roman" w:eastAsia="宋体"/>
          <w:sz w:val="20"/>
        </w:rPr>
        <w:t>CENTRAL does not support controlled-vocabulary mapping in the current interface, so the same three domains were searched as free text, restricted to the Trials collection.</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pPr>
            <w:r>
              <w:rPr>
                <w:b/>
              </w:rPr>
            </w:r>
            <w:r>
              <w:rPr>
                <w:rFonts w:ascii="Times New Roman" w:hAnsi="Times New Roman" w:eastAsia="宋体"/>
                <w:b/>
                <w:sz w:val="15"/>
              </w:rPr>
              <w:t>Line</w:t>
            </w:r>
          </w:p>
        </w:tc>
        <w:tc>
          <w:tcPr>
            <w:tcW w:type="dxa" w:w="3408"/>
          </w:tcPr>
          <w:p>
            <w:pPr>
              <w:spacing w:after="20"/>
            </w:pPr>
            <w:r>
              <w:rPr>
                <w:b/>
              </w:rPr>
            </w:r>
            <w:r>
              <w:rPr>
                <w:rFonts w:ascii="Times New Roman" w:hAnsi="Times New Roman" w:eastAsia="宋体"/>
                <w:b/>
                <w:sz w:val="15"/>
              </w:rPr>
              <w:t>Query (Title Abstract Keyword)</w:t>
            </w:r>
          </w:p>
        </w:tc>
        <w:tc>
          <w:tcPr>
            <w:tcW w:type="dxa" w:w="3408"/>
          </w:tcPr>
          <w:p>
            <w:pPr>
              <w:spacing w:after="20"/>
            </w:pPr>
            <w:r>
              <w:rPr>
                <w:b/>
              </w:rPr>
            </w:r>
          </w:p>
        </w:tc>
      </w:tr>
      <w:tr>
        <w:tc>
          <w:tcPr>
            <w:tcW w:type="dxa" w:w="3408"/>
          </w:tcPr>
          <w:p>
            <w:pPr>
              <w:spacing w:after="20"/>
            </w:pPr>
            <w:r/>
            <w:r>
              <w:rPr>
                <w:rFonts w:ascii="Times New Roman" w:hAnsi="Times New Roman" w:eastAsia="宋体"/>
                <w:sz w:val="15"/>
              </w:rPr>
              <w:t>1</w:t>
            </w:r>
          </w:p>
        </w:tc>
        <w:tc>
          <w:tcPr>
            <w:tcW w:type="dxa" w:w="3408"/>
          </w:tcPr>
          <w:p>
            <w:pPr>
              <w:spacing w:after="20"/>
            </w:pPr>
            <w:r/>
            <w:r>
              <w:rPr>
                <w:rFonts w:ascii="Times New Roman" w:hAnsi="Times New Roman" w:eastAsia="宋体"/>
                <w:sz w:val="15"/>
              </w:rPr>
              <w:t>psoria* or "psoriatic arthritis" or "pustular psoriasis"</w:t>
            </w:r>
          </w:p>
        </w:tc>
        <w:tc>
          <w:tcPr>
            <w:tcW w:type="dxa" w:w="3408"/>
          </w:tcPr>
          <w:p>
            <w:pPr>
              <w:spacing w:after="20"/>
            </w:pPr>
            <w:r/>
          </w:p>
        </w:tc>
      </w:tr>
      <w:tr>
        <w:tc>
          <w:tcPr>
            <w:tcW w:type="dxa" w:w="3408"/>
          </w:tcPr>
          <w:p>
            <w:pPr>
              <w:spacing w:after="20"/>
            </w:pPr>
            <w:r/>
            <w:r>
              <w:rPr>
                <w:rFonts w:ascii="Times New Roman" w:hAnsi="Times New Roman" w:eastAsia="宋体"/>
                <w:sz w:val="15"/>
              </w:rPr>
              <w:t>2</w:t>
            </w:r>
          </w:p>
        </w:tc>
        <w:tc>
          <w:tcPr>
            <w:tcW w:type="dxa" w:w="3408"/>
          </w:tcPr>
          <w:p>
            <w:pPr>
              <w:spacing w:after="20"/>
            </w:pPr>
            <w:r/>
            <w:r>
              <w:rPr>
                <w:rFonts w:ascii="Times New Roman" w:hAnsi="Times New Roman" w:eastAsia="宋体"/>
                <w:sz w:val="15"/>
              </w:rPr>
              <w:t>cardiovascular</w:t>
            </w:r>
            <w:r>
              <w:rPr>
                <w:rFonts w:ascii="Times New Roman" w:hAnsi="Times New Roman" w:eastAsia="宋体"/>
                <w:i/>
                <w:sz w:val="15"/>
              </w:rPr>
              <w:t xml:space="preserve"> or atherosclero</w:t>
            </w:r>
            <w:r>
              <w:rPr>
                <w:rFonts w:ascii="Times New Roman" w:hAnsi="Times New Roman" w:eastAsia="宋体"/>
                <w:sz w:val="15"/>
              </w:rPr>
              <w:t xml:space="preserve"> or MACE or "major adverse cardiovascular event*" or "coronary artery disease" or "myocardial infarction" or "ischemic heart disease" or stroke or "heart failure" or "vascular inflammation" or "endothelial dysfunction"</w:t>
            </w:r>
          </w:p>
        </w:tc>
        <w:tc>
          <w:tcPr>
            <w:tcW w:type="dxa" w:w="3408"/>
          </w:tcPr>
          <w:p>
            <w:pPr>
              <w:spacing w:after="20"/>
            </w:pPr>
            <w:r/>
          </w:p>
        </w:tc>
      </w:tr>
      <w:tr>
        <w:tc>
          <w:tcPr>
            <w:tcW w:type="dxa" w:w="3408"/>
          </w:tcPr>
          <w:p>
            <w:pPr>
              <w:spacing w:after="20"/>
            </w:pPr>
            <w:r/>
            <w:r>
              <w:rPr>
                <w:rFonts w:ascii="Times New Roman" w:hAnsi="Times New Roman" w:eastAsia="宋体"/>
                <w:sz w:val="15"/>
              </w:rPr>
              <w:t>3</w:t>
            </w:r>
          </w:p>
        </w:tc>
        <w:tc>
          <w:tcPr>
            <w:tcW w:type="dxa" w:w="3408"/>
          </w:tcPr>
          <w:p>
            <w:pPr>
              <w:spacing w:after="20"/>
            </w:pPr>
            <w:r/>
            <w:r>
              <w:rPr>
                <w:rFonts w:ascii="Times New Roman" w:hAnsi="Times New Roman" w:eastAsia="宋体"/>
                <w:sz w:val="15"/>
              </w:rPr>
              <w:t>adalimumab or etanercept or infliximab or certolizumab or secukinumab or ixekizumab or brodalumab or bimekizumab or guselkumab or tildrakizumab or risankizumab or ustekinumab or spesolimab or methotrexate or cyclosporine or ciclosporin or acitretin or apremilast or deucravacitinib or tofacitinib or upadacitinib or abrocitinib or "dimethyl fumarate" or "fumaric acid" or "TNF inhibitor</w:t>
            </w:r>
            <w:r>
              <w:rPr>
                <w:rFonts w:ascii="Times New Roman" w:hAnsi="Times New Roman" w:eastAsia="宋体"/>
                <w:i/>
                <w:sz w:val="15"/>
              </w:rPr>
              <w:t>" or "anti-TNF" or "IL-17 inhibitor</w:t>
            </w:r>
            <w:r>
              <w:rPr>
                <w:rFonts w:ascii="Times New Roman" w:hAnsi="Times New Roman" w:eastAsia="宋体"/>
                <w:sz w:val="15"/>
              </w:rPr>
              <w:t>" or "IL-23 inhibitor</w:t>
            </w:r>
            <w:r>
              <w:rPr>
                <w:rFonts w:ascii="Times New Roman" w:hAnsi="Times New Roman" w:eastAsia="宋体"/>
                <w:i/>
                <w:sz w:val="15"/>
              </w:rPr>
              <w:t>" or "anti-IL-12/23" or "biologic therapy" or "biological therapy" or "JAK inhibitor</w:t>
            </w:r>
            <w:r>
              <w:rPr>
                <w:rFonts w:ascii="Times New Roman" w:hAnsi="Times New Roman" w:eastAsia="宋体"/>
                <w:sz w:val="15"/>
              </w:rPr>
              <w:t>" or "TYK2 inhibitor*" or "systemic therapy" or "systemic treatment" or "psoriasis treatment" or "psoriasis therapy"</w:t>
            </w:r>
          </w:p>
        </w:tc>
        <w:tc>
          <w:tcPr>
            <w:tcW w:type="dxa" w:w="3408"/>
          </w:tcPr>
          <w:p>
            <w:pPr>
              <w:spacing w:after="20"/>
            </w:pPr>
            <w:r/>
          </w:p>
        </w:tc>
      </w:tr>
      <w:tr>
        <w:tc>
          <w:tcPr>
            <w:tcW w:type="dxa" w:w="3408"/>
          </w:tcPr>
          <w:p>
            <w:pPr>
              <w:spacing w:after="20"/>
            </w:pPr>
            <w:r/>
            <w:r>
              <w:rPr>
                <w:rFonts w:ascii="Times New Roman" w:hAnsi="Times New Roman" w:eastAsia="宋体"/>
                <w:sz w:val="15"/>
              </w:rPr>
              <w:t>4</w:t>
            </w:r>
          </w:p>
        </w:tc>
        <w:tc>
          <w:tcPr>
            <w:tcW w:type="dxa" w:w="3408"/>
          </w:tcPr>
          <w:p>
            <w:pPr>
              <w:spacing w:after="20"/>
            </w:pPr>
            <w:r/>
            <w:r>
              <w:rPr>
                <w:rFonts w:ascii="Times New Roman" w:hAnsi="Times New Roman" w:eastAsia="宋体"/>
                <w:sz w:val="15"/>
              </w:rPr>
              <w:t>"beta-blocker</w:t>
            </w:r>
            <w:r>
              <w:rPr>
                <w:rFonts w:ascii="Times New Roman" w:hAnsi="Times New Roman" w:eastAsia="宋体"/>
                <w:i/>
                <w:sz w:val="15"/>
              </w:rPr>
              <w:t>" or "beta blocker</w:t>
            </w:r>
            <w:r>
              <w:rPr>
                <w:rFonts w:ascii="Times New Roman" w:hAnsi="Times New Roman" w:eastAsia="宋体"/>
                <w:sz w:val="15"/>
              </w:rPr>
              <w:t>" or "ACE inhibitor</w:t>
            </w:r>
            <w:r>
              <w:rPr>
                <w:rFonts w:ascii="Times New Roman" w:hAnsi="Times New Roman" w:eastAsia="宋体"/>
                <w:i/>
                <w:sz w:val="15"/>
              </w:rPr>
              <w:t>" or "angiotensin-converting enzyme inhibitor</w:t>
            </w:r>
            <w:r>
              <w:rPr>
                <w:rFonts w:ascii="Times New Roman" w:hAnsi="Times New Roman" w:eastAsia="宋体"/>
                <w:sz w:val="15"/>
              </w:rPr>
              <w:t>" or "angiotensin receptor blocker</w:t>
            </w:r>
            <w:r>
              <w:rPr>
                <w:rFonts w:ascii="Times New Roman" w:hAnsi="Times New Roman" w:eastAsia="宋体"/>
                <w:i/>
                <w:sz w:val="15"/>
              </w:rPr>
              <w:t>" or ARB or "calcium channel blocker</w:t>
            </w:r>
            <w:r>
              <w:rPr>
                <w:rFonts w:ascii="Times New Roman" w:hAnsi="Times New Roman" w:eastAsia="宋体"/>
                <w:sz w:val="15"/>
              </w:rPr>
              <w:t>" or CCB or amlodipine or verapamil or diltiazem or nifedipine or statin</w:t>
            </w:r>
            <w:r>
              <w:rPr>
                <w:rFonts w:ascii="Times New Roman" w:hAnsi="Times New Roman" w:eastAsia="宋体"/>
                <w:i/>
                <w:sz w:val="15"/>
              </w:rPr>
              <w:t xml:space="preserve"> or atorvastatin or rosuvastatin or simvastatin or pravastatin or SGLT2 or "sodium-glucose cotransporter" or dapagliflozin or empagliflozin or canagliflozin or "GLP-1" or "glucagon-like peptide-1" or liraglutide or semaglutide or dulaglutide or colchicine or tadalafil or sildenafil or "PDE5 inhibitor</w:t>
            </w:r>
            <w:r>
              <w:rPr>
                <w:rFonts w:ascii="Times New Roman" w:hAnsi="Times New Roman" w:eastAsia="宋体"/>
                <w:sz w:val="15"/>
              </w:rPr>
              <w:t>" or PCSK9 or evolocumab or alirocumab or metformin or thiazide or hydrochlorothiazide or bosentan or riociguat or antihypertensive or "cardiovascular drug</w:t>
            </w:r>
            <w:r>
              <w:rPr>
                <w:rFonts w:ascii="Times New Roman" w:hAnsi="Times New Roman" w:eastAsia="宋体"/>
                <w:i/>
                <w:sz w:val="15"/>
              </w:rPr>
              <w:t>" or "cardiovascular medication</w:t>
            </w:r>
            <w:r>
              <w:rPr>
                <w:rFonts w:ascii="Times New Roman" w:hAnsi="Times New Roman" w:eastAsia="宋体"/>
                <w:sz w:val="15"/>
              </w:rPr>
              <w:t>"</w:t>
            </w:r>
          </w:p>
        </w:tc>
        <w:tc>
          <w:tcPr>
            <w:tcW w:type="dxa" w:w="3408"/>
          </w:tcPr>
          <w:p>
            <w:pPr>
              <w:spacing w:after="20"/>
            </w:pPr>
            <w:r/>
          </w:p>
        </w:tc>
      </w:tr>
      <w:tr>
        <w:tc>
          <w:tcPr>
            <w:tcW w:type="dxa" w:w="3408"/>
          </w:tcPr>
          <w:p>
            <w:pPr>
              <w:spacing w:after="20"/>
            </w:pPr>
            <w:r/>
            <w:r>
              <w:rPr>
                <w:rFonts w:ascii="Times New Roman" w:hAnsi="Times New Roman" w:eastAsia="宋体"/>
                <w:sz w:val="15"/>
              </w:rPr>
              <w:t>5</w:t>
            </w:r>
          </w:p>
        </w:tc>
        <w:tc>
          <w:tcPr>
            <w:tcW w:type="dxa" w:w="3408"/>
          </w:tcPr>
          <w:p>
            <w:pPr>
              <w:spacing w:after="20"/>
            </w:pPr>
            <w:r/>
            <w:r>
              <w:rPr>
                <w:rFonts w:ascii="Times New Roman" w:hAnsi="Times New Roman" w:eastAsia="宋体"/>
                <w:sz w:val="15"/>
              </w:rPr>
              <w:t>#1 and #2 and (#3 or #4), limited to Trials and Publication Year 2015–2026</w:t>
            </w:r>
          </w:p>
        </w:tc>
        <w:tc>
          <w:tcPr>
            <w:tcW w:type="dxa" w:w="3408"/>
          </w:tcPr>
          <w:p>
            <w:pPr>
              <w:spacing w:after="20"/>
            </w:pPr>
            <w:r/>
            <w:r>
              <w:rPr>
                <w:rFonts w:ascii="Times New Roman" w:hAnsi="Times New Roman" w:eastAsia="宋体"/>
                <w:sz w:val="15"/>
              </w:rPr>
              <w:t>433</w:t>
            </w:r>
          </w:p>
        </w:tc>
      </w:tr>
    </w:tbl>
    <w:p>
      <w:r>
        <w:rPr>
          <w:rFonts w:ascii="Times New Roman" w:hAnsi="Times New Roman" w:eastAsia="宋体"/>
          <w:i/>
          <w:sz w:val="20"/>
        </w:rPr>
        <w:t>Note:</w:t>
      </w:r>
      <w:r>
        <w:rPr>
          <w:rFonts w:ascii="Times New Roman" w:hAnsi="Times New Roman" w:eastAsia="宋体"/>
          <w:sz w:val="20"/>
        </w:rPr>
        <w:t xml:space="preserve"> Of the 433 CENTRAL records, 215 were unique after deduplication against the other three databases; 12 in-scope trial reports available only as conference abstracts were recorded as reports not retrieved (Section 2.2). Wildcards within quoted phrases (e.g., "beta-blocker*") generated a non-blocking interface warning only and did not affect execution.</w:t>
      </w:r>
    </w:p>
    <w:p>
      <w:pPr>
        <w:spacing w:before="160"/>
      </w:pPr>
      <w:r>
        <w:rPr>
          <w:rFonts w:ascii="Times New Roman" w:hAnsi="Times New Roman"/>
          <w:b/>
          <w:sz w:val="22"/>
        </w:rPr>
        <w:t>S2.5 Hand-searching</w:t>
      </w:r>
    </w:p>
    <w:p>
      <w:r>
        <w:rPr>
          <w:rFonts w:ascii="Times New Roman" w:hAnsi="Times New Roman"/>
          <w:sz w:val="20"/>
        </w:rPr>
        <w:t>Reference lists of included studies and five seminal review articles [refs 4, 5 and other narrative sources cited in Sections 1 and 3] were hand-searched to capture foundational evidence published before the 2015 window.</w:t>
      </w:r>
    </w:p>
    <w:p>
      <w:r>
        <w:rPr>
          <w:rFonts w:ascii="Times New Roman" w:hAnsi="Times New Roman" w:eastAsia="宋体"/>
          <w:i/>
          <w:sz w:val="20"/>
        </w:rPr>
        <w:t>End of Supplementary Appendices.</w:t>
      </w:r>
    </w:p>
    <w:sectPr w:rsidR="00FC693F" w:rsidRPr="0006063C" w:rsidSect="00034616">
      <w:pgSz w:w="12240" w:h="15840"/>
      <w:pgMar w:top="1152" w:right="1008" w:bottom="115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