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2"/>
        </w:rPr>
        <w:t>Table 3. Risk-Stratified Treatment Selection for Psoriasis Based on Cardiovascular Phenotype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pPr>
              <w:spacing w:line="240" w:lineRule="auto"/>
            </w:pPr>
            <w:r>
              <w:rPr>
                <w:b/>
                <w:sz w:val="18"/>
              </w:rPr>
              <w:t>Cardiovascular Phenotype</w:t>
            </w:r>
          </w:p>
        </w:tc>
        <w:tc>
          <w:tcPr>
            <w:tcW w:type="dxa" w:w="2160"/>
          </w:tcPr>
          <w:p>
            <w:pPr>
              <w:spacing w:line="240" w:lineRule="auto"/>
            </w:pPr>
            <w:r>
              <w:rPr>
                <w:b/>
                <w:sz w:val="18"/>
              </w:rPr>
              <w:t>Preferred Treatments (Evidence Level)</w:t>
            </w:r>
          </w:p>
        </w:tc>
        <w:tc>
          <w:tcPr>
            <w:tcW w:type="dxa" w:w="2160"/>
          </w:tcPr>
          <w:p>
            <w:pPr>
              <w:spacing w:line="240" w:lineRule="auto"/>
            </w:pPr>
            <w:r>
              <w:rPr>
                <w:b/>
                <w:sz w:val="18"/>
              </w:rPr>
              <w:t>Treatments to Avoid (Evidence Level)</w:t>
            </w:r>
          </w:p>
        </w:tc>
        <w:tc>
          <w:tcPr>
            <w:tcW w:type="dxa" w:w="2160"/>
          </w:tcPr>
          <w:p>
            <w:pPr>
              <w:spacing w:line="240" w:lineRule="auto"/>
            </w:pPr>
            <w:r>
              <w:rPr>
                <w:b/>
                <w:sz w:val="18"/>
              </w:rPr>
              <w:t>Additional Recommendations</w:t>
            </w:r>
          </w:p>
        </w:tc>
      </w:tr>
      <w:tr>
        <w:tc>
          <w:tcPr>
            <w:tcW w:type="dxa" w:w="2160"/>
          </w:tcPr>
          <w:p>
            <w:pPr>
              <w:spacing w:line="240" w:lineRule="auto"/>
            </w:pPr>
            <w:r>
              <w:rPr>
                <w:sz w:val="18"/>
              </w:rPr>
              <w:t>Hypertension</w:t>
            </w:r>
          </w:p>
        </w:tc>
        <w:tc>
          <w:tcPr>
            <w:tcW w:type="dxa" w:w="2160"/>
          </w:tcPr>
          <w:p>
            <w:pPr>
              <w:spacing w:line="240" w:lineRule="auto"/>
            </w:pPr>
            <w:r>
              <w:rPr>
                <w:sz w:val="18"/>
              </w:rPr>
              <w:t>IL-17 inhibitors (Level 2); apremilast (Level 3); MTX (Level 2)</w:t>
            </w:r>
          </w:p>
        </w:tc>
        <w:tc>
          <w:tcPr>
            <w:tcW w:type="dxa" w:w="2160"/>
          </w:tcPr>
          <w:p>
            <w:pPr>
              <w:spacing w:line="240" w:lineRule="auto"/>
            </w:pPr>
            <w:r>
              <w:rPr>
                <w:sz w:val="18"/>
              </w:rPr>
              <w:t>CsA (Level 2, ↑BP); systemic glucocorticoids (Level 2, ↑BP)</w:t>
            </w:r>
          </w:p>
        </w:tc>
        <w:tc>
          <w:tcPr>
            <w:tcW w:type="dxa" w:w="2160"/>
          </w:tcPr>
          <w:p>
            <w:pPr>
              <w:spacing w:line="240" w:lineRule="auto"/>
            </w:pPr>
            <w:r>
              <w:rPr>
                <w:sz w:val="18"/>
              </w:rPr>
              <w:t>Prefer ARBs; monitor BP</w:t>
            </w:r>
          </w:p>
        </w:tc>
      </w:tr>
      <w:tr>
        <w:tc>
          <w:tcPr>
            <w:tcW w:type="dxa" w:w="2160"/>
          </w:tcPr>
          <w:p>
            <w:pPr>
              <w:spacing w:line="240" w:lineRule="auto"/>
            </w:pPr>
            <w:r>
              <w:rPr>
                <w:sz w:val="18"/>
              </w:rPr>
              <w:t>Obesity / metabolic syndrome</w:t>
            </w:r>
          </w:p>
        </w:tc>
        <w:tc>
          <w:tcPr>
            <w:tcW w:type="dxa" w:w="2160"/>
          </w:tcPr>
          <w:p>
            <w:pPr>
              <w:spacing w:line="240" w:lineRule="auto"/>
            </w:pPr>
            <w:r>
              <w:rPr>
                <w:sz w:val="18"/>
              </w:rPr>
              <w:t>IL-17 inhibitors (Level 2, weight loss); IL-23 inhibitors (Level 3, weight loss); apremilast (Level 3, improved glucose metabolism)</w:t>
            </w:r>
          </w:p>
        </w:tc>
        <w:tc>
          <w:tcPr>
            <w:tcW w:type="dxa" w:w="2160"/>
          </w:tcPr>
          <w:p>
            <w:pPr>
              <w:spacing w:line="240" w:lineRule="auto"/>
            </w:pPr>
            <w:r>
              <w:rPr>
                <w:sz w:val="18"/>
              </w:rPr>
              <w:t>TNF-α inhibitors (Level 2, weight gain); systemic glucocorticoids (Level 2, insulin resistance, visceral adiposity)</w:t>
            </w:r>
          </w:p>
        </w:tc>
        <w:tc>
          <w:tcPr>
            <w:tcW w:type="dxa" w:w="2160"/>
          </w:tcPr>
          <w:p>
            <w:pPr>
              <w:spacing w:line="240" w:lineRule="auto"/>
            </w:pPr>
            <w:r>
              <w:rPr>
                <w:sz w:val="18"/>
              </w:rPr>
              <w:t>Lifestyle intervention; consider metformin</w:t>
            </w:r>
          </w:p>
        </w:tc>
      </w:tr>
      <w:tr>
        <w:tc>
          <w:tcPr>
            <w:tcW w:type="dxa" w:w="2160"/>
          </w:tcPr>
          <w:p>
            <w:pPr>
              <w:spacing w:line="240" w:lineRule="auto"/>
            </w:pPr>
            <w:r>
              <w:rPr>
                <w:sz w:val="18"/>
              </w:rPr>
              <w:t>Dyslipidemia</w:t>
            </w:r>
          </w:p>
        </w:tc>
        <w:tc>
          <w:tcPr>
            <w:tcW w:type="dxa" w:w="2160"/>
          </w:tcPr>
          <w:p>
            <w:pPr>
              <w:spacing w:line="240" w:lineRule="auto"/>
            </w:pPr>
            <w:r>
              <w:rPr>
                <w:sz w:val="18"/>
              </w:rPr>
              <w:t>MTX (Level 2); IL-17 inhibitors (Level 2); apremilast (Level 3)</w:t>
            </w:r>
          </w:p>
        </w:tc>
        <w:tc>
          <w:tcPr>
            <w:tcW w:type="dxa" w:w="2160"/>
          </w:tcPr>
          <w:p>
            <w:pPr>
              <w:spacing w:line="240" w:lineRule="auto"/>
            </w:pPr>
            <w:r>
              <w:rPr>
                <w:sz w:val="18"/>
              </w:rPr>
              <w:t>CsA (Level 2, ↑TC/TG); acitretin (Level 3, ↑TG); systemic glucocorticoids (Level 2, ↑VLDL)</w:t>
            </w:r>
          </w:p>
        </w:tc>
        <w:tc>
          <w:tcPr>
            <w:tcW w:type="dxa" w:w="2160"/>
          </w:tcPr>
          <w:p>
            <w:pPr>
              <w:spacing w:line="240" w:lineRule="auto"/>
            </w:pPr>
            <w:r>
              <w:rPr>
                <w:sz w:val="18"/>
              </w:rPr>
              <w:t>Statin therapy; monitor lipid profile</w:t>
            </w:r>
          </w:p>
        </w:tc>
      </w:tr>
      <w:tr>
        <w:tc>
          <w:tcPr>
            <w:tcW w:type="dxa" w:w="2160"/>
          </w:tcPr>
          <w:p>
            <w:pPr>
              <w:spacing w:line="240" w:lineRule="auto"/>
            </w:pPr>
            <w:r>
              <w:rPr>
                <w:sz w:val="18"/>
              </w:rPr>
              <w:t>Type 2 diabetes / impaired glucose tolerance</w:t>
            </w:r>
          </w:p>
        </w:tc>
        <w:tc>
          <w:tcPr>
            <w:tcW w:type="dxa" w:w="2160"/>
          </w:tcPr>
          <w:p>
            <w:pPr>
              <w:spacing w:line="240" w:lineRule="auto"/>
            </w:pPr>
            <w:r>
              <w:rPr>
                <w:sz w:val="18"/>
              </w:rPr>
              <w:t>Apremilast (Level 3, improved glucose metabolism); MTX (Level 2, no adverse glycemic effect)</w:t>
            </w:r>
          </w:p>
        </w:tc>
        <w:tc>
          <w:tcPr>
            <w:tcW w:type="dxa" w:w="2160"/>
          </w:tcPr>
          <w:p>
            <w:pPr>
              <w:spacing w:line="240" w:lineRule="auto"/>
            </w:pPr>
            <w:r>
              <w:rPr>
                <w:sz w:val="18"/>
              </w:rPr>
              <w:t>CsA (Level 2, impaired glucose tolerance); systemic glucocorticoids (Level 2, insulin resistance); TNF-α inhibitors (Level 2, weight gain)</w:t>
            </w:r>
          </w:p>
        </w:tc>
        <w:tc>
          <w:tcPr>
            <w:tcW w:type="dxa" w:w="2160"/>
          </w:tcPr>
          <w:p>
            <w:pPr>
              <w:spacing w:line="240" w:lineRule="auto"/>
            </w:pPr>
            <w:r>
              <w:rPr>
                <w:sz w:val="18"/>
              </w:rPr>
              <w:t>Monitor HbA1c; IL-17 and IL-23 inhibitors are associated with weight loss and may indirectly benefit glycemic control (Level 3), but direct glycemic endpoint data are lacking</w:t>
            </w:r>
          </w:p>
        </w:tc>
      </w:tr>
      <w:tr>
        <w:tc>
          <w:tcPr>
            <w:tcW w:type="dxa" w:w="2160"/>
          </w:tcPr>
          <w:p>
            <w:pPr>
              <w:spacing w:line="240" w:lineRule="auto"/>
            </w:pPr>
            <w:r>
              <w:rPr>
                <w:sz w:val="18"/>
              </w:rPr>
              <w:t>Established ASCVD</w:t>
            </w:r>
          </w:p>
        </w:tc>
        <w:tc>
          <w:tcPr>
            <w:tcW w:type="dxa" w:w="2160"/>
          </w:tcPr>
          <w:p>
            <w:pPr>
              <w:spacing w:line="240" w:lineRule="auto"/>
            </w:pPr>
            <w:r>
              <w:rPr>
                <w:sz w:val="18"/>
              </w:rPr>
              <w:t>TNF-α inhibitors (Level 2, strongest MACE evidence); MTX (Level 2); IL-17 inhibitors (Level 2); NB-UVB phototherapy (Level 2, no CV toxicity)</w:t>
            </w:r>
          </w:p>
        </w:tc>
        <w:tc>
          <w:tcPr>
            <w:tcW w:type="dxa" w:w="2160"/>
          </w:tcPr>
          <w:p>
            <w:pPr>
              <w:spacing w:line="240" w:lineRule="auto"/>
            </w:pPr>
            <w:r>
              <w:rPr>
                <w:sz w:val="18"/>
              </w:rPr>
              <w:t>CsA (Level 2, adverse CV profile); systemic glucocorticoids (Level 2, multiple CV toxicities)</w:t>
            </w:r>
          </w:p>
        </w:tc>
        <w:tc>
          <w:tcPr>
            <w:tcW w:type="dxa" w:w="2160"/>
          </w:tcPr>
          <w:p>
            <w:pPr>
              <w:spacing w:line="240" w:lineRule="auto"/>
            </w:pPr>
            <w:r>
              <w:rPr>
                <w:sz w:val="18"/>
              </w:rPr>
              <w:t>Statin for secondary prevention; colchicine 0.5 mg/day; cardio-dermatology co-management</w:t>
            </w:r>
          </w:p>
        </w:tc>
      </w:tr>
      <w:tr>
        <w:tc>
          <w:tcPr>
            <w:tcW w:type="dxa" w:w="2160"/>
          </w:tcPr>
          <w:p>
            <w:pPr>
              <w:spacing w:line="240" w:lineRule="auto"/>
            </w:pPr>
            <w:r>
              <w:rPr>
                <w:sz w:val="18"/>
              </w:rPr>
              <w:t>PsA with elevated CV risk</w:t>
            </w:r>
          </w:p>
        </w:tc>
        <w:tc>
          <w:tcPr>
            <w:tcW w:type="dxa" w:w="2160"/>
          </w:tcPr>
          <w:p>
            <w:pPr>
              <w:spacing w:line="240" w:lineRule="auto"/>
            </w:pPr>
            <w:r>
              <w:rPr>
                <w:sz w:val="18"/>
              </w:rPr>
              <w:t>TNF-α inhibitor + MTX combination (Level 2); IL-17 inhibitors (Level 2)</w:t>
            </w:r>
          </w:p>
        </w:tc>
        <w:tc>
          <w:tcPr>
            <w:tcW w:type="dxa" w:w="2160"/>
          </w:tcPr>
          <w:p>
            <w:pPr>
              <w:spacing w:line="240" w:lineRule="auto"/>
            </w:pPr>
            <w:r>
              <w:rPr>
                <w:sz w:val="18"/>
              </w:rPr>
              <w:t>JAK inhibitors (Level 2, ORAL Surveillance: MACE/VTE signal); CsA (Level 2)</w:t>
            </w:r>
          </w:p>
        </w:tc>
        <w:tc>
          <w:tcPr>
            <w:tcW w:type="dxa" w:w="2160"/>
          </w:tcPr>
          <w:p>
            <w:pPr>
              <w:spacing w:line="240" w:lineRule="auto"/>
            </w:pPr>
            <w:r>
              <w:rPr>
                <w:sz w:val="18"/>
              </w:rPr>
              <w:t>Incorporate CV risk stratification into csDMARD selection; standard risk calculators underestimate risk in PsA</w:t>
            </w:r>
          </w:p>
        </w:tc>
      </w:tr>
      <w:tr>
        <w:tc>
          <w:tcPr>
            <w:tcW w:type="dxa" w:w="2160"/>
          </w:tcPr>
          <w:p>
            <w:pPr>
              <w:spacing w:line="240" w:lineRule="auto"/>
            </w:pPr>
            <w:r>
              <w:rPr>
                <w:sz w:val="18"/>
              </w:rPr>
              <w:t>History of / risk for VTE</w:t>
            </w:r>
          </w:p>
        </w:tc>
        <w:tc>
          <w:tcPr>
            <w:tcW w:type="dxa" w:w="2160"/>
          </w:tcPr>
          <w:p>
            <w:pPr>
              <w:spacing w:line="240" w:lineRule="auto"/>
            </w:pPr>
            <w:r>
              <w:rPr>
                <w:sz w:val="18"/>
              </w:rPr>
              <w:t>IL-17 inhibitors (Level 3); IL-23 inhibitors (Level 3); MTX (Level 3); apremilast (Level 3)</w:t>
            </w:r>
          </w:p>
        </w:tc>
        <w:tc>
          <w:tcPr>
            <w:tcW w:type="dxa" w:w="2160"/>
          </w:tcPr>
          <w:p>
            <w:pPr>
              <w:spacing w:line="240" w:lineRule="auto"/>
            </w:pPr>
            <w:r>
              <w:rPr>
                <w:sz w:val="18"/>
              </w:rPr>
              <w:t>JAK inhibitors (Level 2, VTE signal); systemic glucocorticoids (Level 2, prothrombotic state)</w:t>
            </w:r>
          </w:p>
        </w:tc>
        <w:tc>
          <w:tcPr>
            <w:tcW w:type="dxa" w:w="2160"/>
          </w:tcPr>
          <w:p>
            <w:pPr>
              <w:spacing w:line="240" w:lineRule="auto"/>
            </w:pPr>
            <w:r>
              <w:rPr>
                <w:sz w:val="18"/>
              </w:rPr>
              <w:t>Avoid or use JAK inhibitors with caution; glucocorticoids only as short-term bridging</w:t>
            </w:r>
          </w:p>
        </w:tc>
      </w:tr>
      <w:tr>
        <w:tc>
          <w:tcPr>
            <w:tcW w:type="dxa" w:w="2160"/>
          </w:tcPr>
          <w:p>
            <w:pPr>
              <w:spacing w:line="240" w:lineRule="auto"/>
            </w:pPr>
            <w:r>
              <w:rPr>
                <w:sz w:val="18"/>
              </w:rPr>
              <w:t>GPP with acute hemodynamic stress</w:t>
            </w:r>
          </w:p>
        </w:tc>
        <w:tc>
          <w:tcPr>
            <w:tcW w:type="dxa" w:w="2160"/>
          </w:tcPr>
          <w:p>
            <w:pPr>
              <w:spacing w:line="240" w:lineRule="auto"/>
            </w:pPr>
            <w:r>
              <w:rPr>
                <w:sz w:val="18"/>
              </w:rPr>
              <w:t>Spesolimab (Level 2, Effisayil 1/2); short-term glucocorticoids (Level 3, shortest duration, rapid taper)</w:t>
            </w:r>
          </w:p>
        </w:tc>
        <w:tc>
          <w:tcPr>
            <w:tcW w:type="dxa" w:w="2160"/>
          </w:tcPr>
          <w:p>
            <w:pPr>
              <w:spacing w:line="240" w:lineRule="auto"/>
            </w:pPr>
            <w:r>
              <w:rPr>
                <w:sz w:val="18"/>
              </w:rPr>
              <w:t>CsA (Level 3, renal vasoconstriction, ↑BP); long-term glucocorticoids (Level 2, rebound risk, CV toxicity)</w:t>
            </w:r>
          </w:p>
        </w:tc>
        <w:tc>
          <w:tcPr>
            <w:tcW w:type="dxa" w:w="2160"/>
          </w:tcPr>
          <w:p>
            <w:pPr>
              <w:spacing w:line="240" w:lineRule="auto"/>
            </w:pPr>
            <w:r>
              <w:rPr>
                <w:sz w:val="18"/>
              </w:rPr>
              <w:t>Close monitoring of BP, glucose, electrolytes; transition to non-glucocorticoid maintenance as soon as inflammation is controlled</w:t>
            </w:r>
          </w:p>
        </w:tc>
      </w:tr>
      <w:tr>
        <w:tc>
          <w:tcPr>
            <w:tcW w:type="dxa" w:w="2160"/>
          </w:tcPr>
          <w:p>
            <w:pPr>
              <w:spacing w:line="240" w:lineRule="auto"/>
            </w:pPr>
            <w:r>
              <w:rPr>
                <w:sz w:val="18"/>
              </w:rPr>
              <w:t>Mild psoriasis, low CV risk</w:t>
            </w:r>
          </w:p>
        </w:tc>
        <w:tc>
          <w:tcPr>
            <w:tcW w:type="dxa" w:w="2160"/>
          </w:tcPr>
          <w:p>
            <w:pPr>
              <w:spacing w:line="240" w:lineRule="auto"/>
            </w:pPr>
            <w:r>
              <w:rPr>
                <w:sz w:val="18"/>
              </w:rPr>
              <w:t>Topical therapies (Level 1, no systemic CV effects); NB-UVB (Level 2)</w:t>
            </w:r>
          </w:p>
        </w:tc>
        <w:tc>
          <w:tcPr>
            <w:tcW w:type="dxa" w:w="2160"/>
          </w:tcPr>
          <w:p>
            <w:pPr>
              <w:spacing w:line="240" w:lineRule="auto"/>
            </w:pPr>
            <w:r>
              <w:rPr>
                <w:sz w:val="18"/>
              </w:rPr>
              <w:t>—</w:t>
            </w:r>
          </w:p>
        </w:tc>
        <w:tc>
          <w:tcPr>
            <w:tcW w:type="dxa" w:w="2160"/>
          </w:tcPr>
          <w:p>
            <w:pPr>
              <w:spacing w:line="240" w:lineRule="auto"/>
            </w:pPr>
            <w:r>
              <w:rPr>
                <w:sz w:val="18"/>
              </w:rPr>
              <w:t>If inflammatory burden is high (BSA &gt;10%, PASI &gt;10), do not rely on topical therapy alone; assess indication for systemic therapy to address CV risk</w:t>
            </w:r>
          </w:p>
        </w:tc>
      </w:tr>
    </w:tbl>
    <w:p>
      <w:pPr>
        <w:spacing w:line="240" w:lineRule="auto"/>
      </w:pPr>
      <w:r>
        <w:rPr>
          <w:i/>
          <w:sz w:val="18"/>
        </w:rPr>
        <w:t>Evidence levels: modified Oxford (CEBM) hierarchy, applied to the specific claim shown in parentheses. Level 1, systematic reviews of RCTs or an extensive RCT evidence base (for topical therapies, cardiovascular neutrality rests on minimal systemic absorption rather than on outcome trials); Level 2, individual RCTs - including large trial programmes and their pooled safety data (for example Effisayil 1/2 and ORAL Surveillance) - or large, well-designed observational studies, including meta-analyses of observational data; Level 3, small RCTs or prespecified trial subanalyses, smaller observational studies, case series and mechanistic studies; Level 4, case reports and expert opinion; Level 5, theoretical inference without direct evidence.</w:t>
      </w:r>
    </w:p>
    <w:p>
      <w:pPr>
        <w:spacing w:line="240" w:lineRule="auto"/>
      </w:pPr>
      <w:r>
        <w:rPr>
          <w:i/>
          <w:sz w:val="18"/>
        </w:rPr>
        <w:t>Abbreviations: ARB, angiotensin receptor blocker; ASCVD, atherosclerotic cardiovascular disease; BP, blood pressure; BSA, body surface area; csDMARD, conventional synthetic disease-modifying antirheumatic drug; CV, cardiovascular; GPP, generalized pustular psoriasis; HbA1c, glycated hemoglobin; JAK, Janus kinase; MACE, major adverse cardiovascular events; MTX, methotrexate; NB-UVB, narrowband ultraviolet B; PASI, Psoriasis Area and Severity Index; PsA, psoriatic arthritis; TC, total cholesterol; TG, triglycerides; VTE, venous thromboembolism; VLDL, very-low-density lipoprotein.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