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C83FB" w14:textId="556A88EC" w:rsidR="00C2563C" w:rsidRPr="008736B6" w:rsidRDefault="00C2563C" w:rsidP="00903466">
      <w:pPr>
        <w:pStyle w:val="Heading1Arillo"/>
        <w:ind w:left="567"/>
        <w:rPr>
          <w:sz w:val="28"/>
          <w:szCs w:val="22"/>
          <w:lang w:val="en-GB"/>
        </w:rPr>
      </w:pPr>
      <w:r w:rsidRPr="008736B6">
        <w:rPr>
          <w:sz w:val="28"/>
          <w:szCs w:val="22"/>
          <w:lang w:val="en-GB"/>
        </w:rPr>
        <w:t>S</w:t>
      </w:r>
      <w:r w:rsidR="008736B6">
        <w:rPr>
          <w:sz w:val="28"/>
          <w:szCs w:val="22"/>
          <w:lang w:val="en-GB"/>
        </w:rPr>
        <w:t>1</w:t>
      </w:r>
      <w:r w:rsidRPr="008736B6">
        <w:rPr>
          <w:sz w:val="28"/>
          <w:szCs w:val="22"/>
          <w:lang w:val="en-GB"/>
        </w:rPr>
        <w:t xml:space="preserve"> Literature review</w:t>
      </w:r>
    </w:p>
    <w:p w14:paraId="73401849" w14:textId="77777777" w:rsidR="00C2563C" w:rsidRPr="000A76CF" w:rsidRDefault="00C2563C" w:rsidP="00C2563C">
      <w:pPr>
        <w:pStyle w:val="TextArillo"/>
        <w:rPr>
          <w:rFonts w:cs="Times New Roman"/>
          <w:lang w:val="en-GB"/>
        </w:rPr>
      </w:pPr>
      <w:r w:rsidRPr="000A76CF">
        <w:rPr>
          <w:rFonts w:cs="Times New Roman"/>
          <w:lang w:val="en-GB"/>
        </w:rPr>
        <w:t xml:space="preserve">Viticulture and grapevine production account for a significant portion of the global crop production, representing 9% of perennial crop area </w:t>
      </w:r>
      <w:sdt>
        <w:sdtPr>
          <w:rPr>
            <w:rFonts w:cs="Times New Roman"/>
            <w:color w:val="000000"/>
            <w:lang w:val="en-GB"/>
          </w:rPr>
          <w:tag w:val="MENDELEY_CITATION_v3_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"/>
          <w:id w:val="-19394568"/>
          <w:placeholder>
            <w:docPart w:val="35583B26BF0140A39B291DF05DA51CD9"/>
          </w:placeholder>
        </w:sdtPr>
        <w:sdtContent>
          <w:r w:rsidRPr="000A76CF">
            <w:rPr>
              <w:rFonts w:cs="Times New Roman"/>
              <w:color w:val="000000"/>
              <w:lang w:val="en-GB"/>
            </w:rPr>
            <w:t>(Zielonka et al., 2024)</w:t>
          </w:r>
        </w:sdtContent>
      </w:sdt>
      <w:r w:rsidRPr="000A76CF">
        <w:rPr>
          <w:rFonts w:cs="Times New Roman"/>
          <w:lang w:val="en-GB"/>
        </w:rPr>
        <w:t xml:space="preserve"> and fostering strong relationships between the economy, territories and culture where it is grown</w:t>
      </w:r>
      <w:sdt>
        <w:sdtPr>
          <w:rPr>
            <w:rFonts w:cs="Times New Roman"/>
            <w:color w:val="000000"/>
            <w:lang w:val="en-GB"/>
          </w:rPr>
          <w:tag w:val="MENDELEY_CITATION_v3_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"/>
          <w:id w:val="22452474"/>
          <w:placeholder>
            <w:docPart w:val="C2E4205E0DC0415485CA64A958822F2A"/>
          </w:placeholder>
        </w:sdtPr>
        <w:sdtContent>
          <w:r w:rsidRPr="000A76CF">
            <w:rPr>
              <w:rFonts w:cs="Times New Roman"/>
              <w:color w:val="000000"/>
              <w:lang w:val="en-GB"/>
            </w:rPr>
            <w:t xml:space="preserve"> (</w:t>
          </w:r>
          <w:proofErr w:type="spellStart"/>
          <w:r w:rsidRPr="000A76CF">
            <w:rPr>
              <w:rFonts w:cs="Times New Roman"/>
              <w:color w:val="000000"/>
              <w:lang w:val="en-GB"/>
            </w:rPr>
            <w:t>Wolkovich</w:t>
          </w:r>
          <w:proofErr w:type="spellEnd"/>
          <w:r w:rsidRPr="000A76CF">
            <w:rPr>
              <w:rFonts w:cs="Times New Roman"/>
              <w:color w:val="000000"/>
              <w:lang w:val="en-GB"/>
            </w:rPr>
            <w:t xml:space="preserve"> et al., 2025)</w:t>
          </w:r>
        </w:sdtContent>
      </w:sdt>
      <w:r w:rsidRPr="000A76CF">
        <w:rPr>
          <w:rFonts w:cs="Times New Roman"/>
          <w:lang w:val="en-GB"/>
        </w:rPr>
        <w:t xml:space="preserve">. Italy alone accounts for 19.3% of global grapevine cultivation with 718,198 hectares </w:t>
      </w:r>
      <w:sdt>
        <w:sdtPr>
          <w:rPr>
            <w:rFonts w:cs="Times New Roman"/>
            <w:color w:val="000000"/>
            <w:lang w:val="en-GB"/>
          </w:rPr>
          <w:tag w:val="MENDELEY_CITATION_v3_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"/>
          <w:id w:val="212941655"/>
          <w:placeholder>
            <w:docPart w:val="C2E4205E0DC0415485CA64A958822F2A"/>
          </w:placeholder>
        </w:sdtPr>
        <w:sdtContent>
          <w:r w:rsidRPr="000A76CF">
            <w:rPr>
              <w:rFonts w:cs="Times New Roman"/>
              <w:color w:val="000000"/>
              <w:lang w:val="en-GB"/>
            </w:rPr>
            <w:t>(Orlandella et al., 2025)</w:t>
          </w:r>
        </w:sdtContent>
      </w:sdt>
      <w:r w:rsidRPr="000A76CF">
        <w:rPr>
          <w:rFonts w:cs="Times New Roman"/>
          <w:lang w:val="en-GB"/>
        </w:rPr>
        <w:t>, and has been producing wine for centuries</w:t>
      </w:r>
      <w:sdt>
        <w:sdtPr>
          <w:rPr>
            <w:rFonts w:cs="Times New Roman"/>
            <w:color w:val="000000"/>
            <w:lang w:val="en-GB"/>
          </w:rPr>
          <w:tag w:val="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"/>
          <w:id w:val="-1488399937"/>
          <w:placeholder>
            <w:docPart w:val="C2E4205E0DC0415485CA64A958822F2A"/>
          </w:placeholder>
        </w:sdtPr>
        <w:sdtContent>
          <w:r w:rsidRPr="000A76CF">
            <w:rPr>
              <w:rFonts w:cs="Times New Roman"/>
              <w:color w:val="000000"/>
              <w:lang w:val="en-GB"/>
            </w:rPr>
            <w:t xml:space="preserve"> (Laurent et al., 2025)</w:t>
          </w:r>
        </w:sdtContent>
      </w:sdt>
      <w:r w:rsidRPr="000A76CF">
        <w:rPr>
          <w:rFonts w:cs="Times New Roman"/>
          <w:lang w:val="en-GB"/>
        </w:rPr>
        <w:t>. The high commercial value of this product has led to increased research on improving environmental performance and maintaining product quality</w:t>
      </w:r>
      <w:sdt>
        <w:sdtPr>
          <w:rPr>
            <w:rFonts w:cs="Times New Roman"/>
            <w:color w:val="000000"/>
            <w:lang w:val="en-GB"/>
          </w:rPr>
          <w:tag w:val="MENDELEY_CITATION_v3_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"/>
          <w:id w:val="-490101861"/>
          <w:placeholder>
            <w:docPart w:val="C2E4205E0DC0415485CA64A958822F2A"/>
          </w:placeholder>
        </w:sdtPr>
        <w:sdtContent>
          <w:r w:rsidRPr="000A76CF">
            <w:rPr>
              <w:rFonts w:cs="Times New Roman"/>
              <w:color w:val="000000"/>
              <w:lang w:val="en-GB"/>
            </w:rPr>
            <w:t xml:space="preserve"> (Ruggeri et al., 2024)</w:t>
          </w:r>
        </w:sdtContent>
      </w:sdt>
      <w:r w:rsidRPr="000A76CF">
        <w:rPr>
          <w:rFonts w:cs="Times New Roman"/>
          <w:lang w:val="en-GB"/>
        </w:rPr>
        <w:t>. However, due to their cropping system, grapevines have a significant environmental impact, including the loss of soil carbon, through erosion and potentially harmful effects on biodiversity</w:t>
      </w:r>
      <w:sdt>
        <w:sdtPr>
          <w:rPr>
            <w:rFonts w:cs="Times New Roman"/>
            <w:color w:val="000000"/>
            <w:lang w:val="en-GB"/>
          </w:rPr>
          <w:tag w:val="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"/>
          <w:id w:val="-2046740131"/>
          <w:placeholder>
            <w:docPart w:val="C2E4205E0DC0415485CA64A958822F2A"/>
          </w:placeholder>
        </w:sdtPr>
        <w:sdtContent>
          <w:r w:rsidRPr="000A76CF">
            <w:rPr>
              <w:rFonts w:cs="Times New Roman"/>
              <w:color w:val="000000"/>
              <w:lang w:val="en-GB"/>
            </w:rPr>
            <w:t xml:space="preserve"> (Garcia et al., 2018; Zielonka et al., 2024)</w:t>
          </w:r>
        </w:sdtContent>
      </w:sdt>
      <w:r w:rsidRPr="000A76CF">
        <w:rPr>
          <w:rFonts w:cs="Times New Roman"/>
          <w:lang w:val="en-GB"/>
        </w:rPr>
        <w:t>. Field management coupled with sustainability schemes has therefore increased in recent years through national and international winegrowing certifications.</w:t>
      </w:r>
    </w:p>
    <w:p w14:paraId="7CF09C21" w14:textId="30CFFAB0" w:rsidR="00C2563C" w:rsidRPr="000A76CF" w:rsidRDefault="00C2563C" w:rsidP="00C2563C">
      <w:pPr>
        <w:pStyle w:val="TextArillo"/>
        <w:rPr>
          <w:rFonts w:cs="Times New Roman"/>
          <w:lang w:val="en-GB"/>
        </w:rPr>
      </w:pPr>
      <w:r w:rsidRPr="000A76CF">
        <w:rPr>
          <w:rFonts w:cs="Times New Roman"/>
          <w:lang w:val="en-GB"/>
        </w:rPr>
        <w:t xml:space="preserve">The International Organisation of Vine and Wine (OIV) </w:t>
      </w:r>
      <w:proofErr w:type="gramStart"/>
      <w:r w:rsidRPr="000A76CF">
        <w:rPr>
          <w:rFonts w:cs="Times New Roman"/>
          <w:lang w:val="en-GB"/>
        </w:rPr>
        <w:t>was</w:t>
      </w:r>
      <w:proofErr w:type="gramEnd"/>
      <w:r w:rsidRPr="000A76CF">
        <w:rPr>
          <w:rFonts w:cs="Times New Roman"/>
          <w:lang w:val="en-GB"/>
        </w:rPr>
        <w:t xml:space="preserve"> established in 1924 as one of the first institutions aiming at harmonising wine production protocols. Through the CST 1/2004 resolution, it introduced the principles and guidelines for sustainable viticulture, alongside the OIV-CST 518-2016 resolution. Focusing on Europe, the Common Agricultural Policy (CAP) promotes the adoption of obtaining Sustainability Certification for Wine throughout the System of National Integrated Quality Production (SQNPI)</w:t>
      </w:r>
      <w:sdt>
        <w:sdtPr>
          <w:rPr>
            <w:rFonts w:cs="Times New Roman"/>
            <w:color w:val="000000"/>
            <w:lang w:val="en-GB"/>
          </w:rPr>
          <w:tag w:val="MENDELEY_CITATION_v3_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"/>
          <w:id w:val="1404103543"/>
          <w:placeholder>
            <w:docPart w:val="C2E4205E0DC0415485CA64A958822F2A"/>
          </w:placeholder>
        </w:sdtPr>
        <w:sdtContent>
          <w:r w:rsidRPr="000A76CF">
            <w:rPr>
              <w:rFonts w:cs="Times New Roman"/>
              <w:color w:val="000000"/>
              <w:lang w:val="en-GB"/>
            </w:rPr>
            <w:t xml:space="preserve"> (Ceccacci et al., 2025)</w:t>
          </w:r>
        </w:sdtContent>
      </w:sdt>
      <w:r w:rsidRPr="000A76CF">
        <w:rPr>
          <w:rFonts w:cs="Times New Roman"/>
          <w:lang w:val="en-GB"/>
        </w:rPr>
        <w:t>. Besides that, almost every nation with significant wine production has a certification for sustainable winegrowing</w:t>
      </w:r>
      <w:r>
        <w:rPr>
          <w:rFonts w:cs="Times New Roman"/>
          <w:lang w:val="en-GB"/>
        </w:rPr>
        <w:t xml:space="preserve"> </w:t>
      </w:r>
      <w:r w:rsidRPr="00EA59DF">
        <w:rPr>
          <w:rFonts w:cs="Times New Roman"/>
          <w:lang w:val="en-GB"/>
        </w:rPr>
        <w:t>(</w:t>
      </w:r>
      <w:proofErr w:type="spellStart"/>
      <w:r w:rsidRPr="00EA59DF">
        <w:rPr>
          <w:rFonts w:cs="Times New Roman"/>
          <w:lang w:val="en-GB"/>
        </w:rPr>
        <w:t>Baiano</w:t>
      </w:r>
      <w:proofErr w:type="spellEnd"/>
      <w:r w:rsidRPr="00EA59DF">
        <w:rPr>
          <w:rFonts w:cs="Times New Roman"/>
          <w:lang w:val="en-GB"/>
        </w:rPr>
        <w:t>, 2021; Moscovici &amp; Reed, 2018</w:t>
      </w:r>
      <w:r>
        <w:rPr>
          <w:rFonts w:cs="Times New Roman"/>
          <w:lang w:val="en-GB"/>
        </w:rPr>
        <w:t>)</w:t>
      </w:r>
      <w:r w:rsidRPr="000A76CF">
        <w:rPr>
          <w:rFonts w:cs="Times New Roman"/>
          <w:lang w:val="en-GB"/>
        </w:rPr>
        <w:t xml:space="preserve">. </w:t>
      </w:r>
      <w:proofErr w:type="gramStart"/>
      <w:r w:rsidRPr="000A76CF">
        <w:rPr>
          <w:rFonts w:cs="Times New Roman"/>
          <w:lang w:val="en-GB"/>
        </w:rPr>
        <w:t>In order to</w:t>
      </w:r>
      <w:proofErr w:type="gramEnd"/>
      <w:r w:rsidRPr="000A76CF">
        <w:rPr>
          <w:rFonts w:cs="Times New Roman"/>
          <w:lang w:val="en-GB"/>
        </w:rPr>
        <w:t xml:space="preserve"> achieve </w:t>
      </w:r>
      <w:r>
        <w:rPr>
          <w:rFonts w:cs="Times New Roman"/>
          <w:lang w:val="en-GB"/>
        </w:rPr>
        <w:t xml:space="preserve">such </w:t>
      </w:r>
      <w:r w:rsidRPr="000A76CF">
        <w:rPr>
          <w:rFonts w:cs="Times New Roman"/>
          <w:lang w:val="en-GB"/>
        </w:rPr>
        <w:t>certification, winegrowers must disclose their environmental impact. The lack of homogeneity creates a constellation of different frameworks worldwide that share common principles and methodologies</w:t>
      </w:r>
      <w:sdt>
        <w:sdtPr>
          <w:rPr>
            <w:rFonts w:cs="Times New Roman"/>
            <w:color w:val="000000"/>
            <w:lang w:val="en-GB"/>
          </w:rPr>
          <w:tag w:val="MENDELEY_CITATION_v3_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"/>
          <w:id w:val="-1665458143"/>
          <w:placeholder>
            <w:docPart w:val="A64755DE201A48D38919038DB64E3FC8"/>
          </w:placeholder>
        </w:sdtPr>
        <w:sdtContent>
          <w:r w:rsidRPr="000A76CF">
            <w:rPr>
              <w:rFonts w:cs="Times New Roman"/>
              <w:color w:val="000000"/>
              <w:lang w:val="en-GB"/>
            </w:rPr>
            <w:t xml:space="preserve"> (Montalvo-Falcón et al., 2023)</w:t>
          </w:r>
        </w:sdtContent>
      </w:sdt>
      <w:r w:rsidRPr="000A76CF">
        <w:rPr>
          <w:rFonts w:cs="Times New Roman"/>
          <w:lang w:val="en-GB"/>
        </w:rPr>
        <w:t xml:space="preserve">. </w:t>
      </w:r>
    </w:p>
    <w:p w14:paraId="35A2A8AE" w14:textId="77777777" w:rsidR="00C2563C" w:rsidRPr="000A76CF" w:rsidRDefault="00C2563C" w:rsidP="00C2563C">
      <w:pPr>
        <w:pStyle w:val="TextArillo"/>
        <w:rPr>
          <w:rFonts w:cs="Times New Roman"/>
          <w:lang w:val="en-GB"/>
        </w:rPr>
      </w:pPr>
      <w:r w:rsidRPr="000A76CF">
        <w:rPr>
          <w:rFonts w:cs="Times New Roman"/>
          <w:lang w:val="en-GB"/>
        </w:rPr>
        <w:t>The most relevant of those is based on LCA</w:t>
      </w:r>
      <w:r>
        <w:rPr>
          <w:rFonts w:cs="Times New Roman"/>
          <w:lang w:val="en-GB"/>
        </w:rPr>
        <w:t xml:space="preserve"> and is made</w:t>
      </w:r>
      <w:r w:rsidRPr="000A76CF">
        <w:rPr>
          <w:rFonts w:cs="Times New Roman"/>
          <w:lang w:val="en-GB"/>
        </w:rPr>
        <w:t xml:space="preserve"> to assess the negative environmental impacts generated by the wine life cycle. Due to its standardised procedure (ISO 14025, 14040, 14067, 14046, etc.), LCA is an effective tool for assessing a range of different environmental impacts. In viticulture, it is becoming the reference methodology to support the environmental management of winegrowing, helping companies to detect environmental hotspots and identify which production activities and inputs can be improved to reduce environmental burdens</w:t>
      </w:r>
      <w:sdt>
        <w:sdtPr>
          <w:rPr>
            <w:rFonts w:cs="Times New Roman"/>
            <w:color w:val="000000"/>
          </w:rPr>
          <w:tag w:val="MENDELEY_CITATION_v3_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"/>
          <w:id w:val="2026893641"/>
          <w:placeholder>
            <w:docPart w:val="A64755DE201A48D38919038DB64E3FC8"/>
          </w:placeholder>
        </w:sdtPr>
        <w:sdtContent>
          <w:r w:rsidRPr="000A76CF">
            <w:rPr>
              <w:rFonts w:cs="Times New Roman"/>
              <w:color w:val="000000"/>
              <w:lang w:val="en-GB"/>
            </w:rPr>
            <w:t xml:space="preserve"> (Orlandella et al., 2025; Trigo et al., 2024)</w:t>
          </w:r>
        </w:sdtContent>
      </w:sdt>
      <w:r w:rsidRPr="000A76CF">
        <w:rPr>
          <w:rFonts w:cs="Times New Roman"/>
          <w:lang w:val="en-GB"/>
        </w:rPr>
        <w:t xml:space="preserve">. For this reason, most certification schemes aligned with national and international standards, like the European Product Environmental Footprint (PEF), </w:t>
      </w:r>
      <w:r w:rsidRPr="000A76CF">
        <w:rPr>
          <w:rFonts w:cs="Times New Roman"/>
          <w:lang w:val="en-GB"/>
        </w:rPr>
        <w:lastRenderedPageBreak/>
        <w:t>require an LCA application to ensure the quantification and monitoring of environmental performance indicators related to pollutant emissions and resource uses.</w:t>
      </w:r>
      <w:r>
        <w:rPr>
          <w:rFonts w:cs="Times New Roman"/>
          <w:lang w:val="en-GB"/>
        </w:rPr>
        <w:t xml:space="preserve"> </w:t>
      </w:r>
      <w:r w:rsidRPr="000A76CF">
        <w:rPr>
          <w:rFonts w:cs="Times New Roman"/>
          <w:lang w:val="en-GB"/>
        </w:rPr>
        <w:t>In Italy, the wine production protocols outlining the rules to ensure authenticity and quality of wines encourage the adoption of an environmental certification scheme (Stanco &amp; Lerro, 2020). The most common programs that foresee the release of a sustainability label based on LCA approaches are “</w:t>
      </w:r>
      <w:proofErr w:type="spellStart"/>
      <w:r w:rsidRPr="000A76CF">
        <w:rPr>
          <w:rFonts w:cs="Times New Roman"/>
          <w:lang w:val="en-GB"/>
        </w:rPr>
        <w:t>Equalitas</w:t>
      </w:r>
      <w:proofErr w:type="spellEnd"/>
      <w:r w:rsidRPr="000A76CF">
        <w:rPr>
          <w:rFonts w:cs="Times New Roman"/>
          <w:lang w:val="en-GB"/>
        </w:rPr>
        <w:t>” and “V.I.V.A.”</w:t>
      </w:r>
      <w:r w:rsidRPr="000A76CF">
        <w:rPr>
          <w:rFonts w:cs="Times New Roman"/>
          <w:color w:val="000000"/>
          <w:lang w:val="en-GB"/>
        </w:rPr>
        <w:t xml:space="preserve"> </w:t>
      </w:r>
      <w:r w:rsidRPr="000A76CF">
        <w:rPr>
          <w:rFonts w:cs="Times New Roman"/>
          <w:color w:val="000000"/>
          <w:lang w:val="en-GB"/>
        </w:rPr>
        <w:fldChar w:fldCharType="begin"/>
      </w:r>
      <w:r w:rsidRPr="000A76CF">
        <w:rPr>
          <w:rFonts w:cs="Times New Roman"/>
          <w:color w:val="000000"/>
          <w:lang w:val="en-GB"/>
        </w:rPr>
        <w:instrText xml:space="preserve"> ADDIN EN.CITE &lt;EndNote&gt;&lt;Cite&gt;&lt;Author&gt;Rugani&lt;/Author&gt;&lt;Year&gt;2023&lt;/Year&gt;&lt;RecNum&gt;11189&lt;/RecNum&gt;&lt;DisplayText&gt;(Rugani and Lamastra, 2023)&lt;/DisplayText&gt;&lt;record&gt;&lt;rec-number&gt;11189&lt;/rec-number&gt;&lt;foreign-keys&gt;&lt;key app="EN" db-id="5x9axdpd8a9t5eezwpdxvs92ezd0txatwwfe" timestamp="1671445036"&gt;11189&lt;/key&gt;&lt;/foreign-keys&gt;&lt;ref-type name="Journal Article"&gt;17&lt;/ref-type&gt;&lt;contributors&gt;&lt;authors&gt;&lt;author&gt;Rugani, Benedetto&lt;/author&gt;&lt;author&gt;Lamastra, Lucrezia&lt;/author&gt;&lt;/authors&gt;&lt;/contributors&gt;&lt;titles&gt;&lt;title&gt;A common framework for sustainability indicators in the wine sector: Dream or reality?&lt;/title&gt;&lt;secondary-title&gt;Current Opinion in Environmental Science &amp;amp; Health&lt;/secondary-title&gt;&lt;/titles&gt;&lt;periodical&gt;&lt;full-title&gt;Current Opinion in Environmental Science &amp;amp; Health&lt;/full-title&gt;&lt;abbr-1&gt;Curr. Opin. Environ. Sci. Health&lt;/abbr-1&gt;&lt;/periodical&gt;&lt;pages&gt;100408&lt;/pages&gt;&lt;volume&gt;31&lt;/volume&gt;&lt;keywords&gt;&lt;keyword&gt;Wine&lt;/keyword&gt;&lt;keyword&gt;Sustainability&lt;/keyword&gt;&lt;keyword&gt;Indicators&lt;/keyword&gt;&lt;keyword&gt;Ecosystem services&lt;/keyword&gt;&lt;keyword&gt;Multi-criteria assessment&lt;/keyword&gt;&lt;keyword&gt;Life cycle thinking&lt;/keyword&gt;&lt;/keywords&gt;&lt;dates&gt;&lt;year&gt;2023&lt;/year&gt;&lt;pub-dates&gt;&lt;date&gt;2023/02/01&lt;/date&gt;&lt;/pub-dates&gt;&lt;/dates&gt;&lt;isbn&gt;2468-5844&lt;/isbn&gt;&lt;urls&gt;&lt;related-urls&gt;&lt;url&gt;https://www.sciencedirect.com/science/article/pii/S2468584422000836&lt;/url&gt;&lt;/related-urls&gt;&lt;/urls&gt;&lt;electronic-resource-num&gt;10.1016/j.coesh.2022.100408&lt;/electronic-resource-num&gt;&lt;/record&gt;&lt;/Cite&gt;&lt;/EndNote&gt;</w:instrText>
      </w:r>
      <w:r w:rsidRPr="000A76CF">
        <w:rPr>
          <w:rFonts w:cs="Times New Roman"/>
          <w:color w:val="000000"/>
          <w:lang w:val="en-GB"/>
        </w:rPr>
        <w:fldChar w:fldCharType="separate"/>
      </w:r>
      <w:r w:rsidRPr="000A76CF">
        <w:rPr>
          <w:rFonts w:cs="Times New Roman"/>
          <w:noProof/>
          <w:color w:val="000000"/>
          <w:lang w:val="en-GB"/>
        </w:rPr>
        <w:t>(Rugani and Lamastra, 2023)</w:t>
      </w:r>
      <w:r w:rsidRPr="000A76CF">
        <w:rPr>
          <w:rFonts w:cs="Times New Roman"/>
          <w:color w:val="000000"/>
          <w:lang w:val="en-GB"/>
        </w:rPr>
        <w:fldChar w:fldCharType="end"/>
      </w:r>
      <w:r w:rsidRPr="000A76CF">
        <w:rPr>
          <w:rFonts w:cs="Times New Roman"/>
          <w:color w:val="000000"/>
          <w:lang w:val="en-GB"/>
        </w:rPr>
        <w:t>.</w:t>
      </w:r>
    </w:p>
    <w:p w14:paraId="3C2DFD71" w14:textId="77777777" w:rsidR="00C2563C" w:rsidRPr="000A76CF" w:rsidRDefault="00C2563C" w:rsidP="00C2563C">
      <w:pPr>
        <w:pStyle w:val="TextArillo"/>
        <w:rPr>
          <w:rFonts w:cs="Times New Roman"/>
          <w:lang w:val="en-GB"/>
        </w:rPr>
      </w:pPr>
      <w:r w:rsidRPr="000A76CF">
        <w:rPr>
          <w:rFonts w:cs="Times New Roman"/>
          <w:lang w:val="en-GB"/>
        </w:rPr>
        <w:t xml:space="preserve">Besides potentially detrimental impacts, a sustainable management of vineyards, like in many other agricultural activities, may </w:t>
      </w:r>
      <w:r>
        <w:rPr>
          <w:rFonts w:cs="Times New Roman"/>
          <w:lang w:val="en-GB"/>
        </w:rPr>
        <w:t xml:space="preserve">help </w:t>
      </w:r>
      <w:r w:rsidRPr="000A76CF">
        <w:rPr>
          <w:rFonts w:cs="Times New Roman"/>
          <w:lang w:val="en-GB"/>
        </w:rPr>
        <w:t>generate ecosystem services (ES) and positive externalities</w:t>
      </w:r>
      <w:sdt>
        <w:sdtPr>
          <w:rPr>
            <w:rFonts w:cs="Times New Roman"/>
            <w:color w:val="000000"/>
            <w:lang w:val="en-GB"/>
          </w:rPr>
          <w:tag w:val="MENDELEY_CITATION_v3_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"/>
          <w:id w:val="-1341385936"/>
          <w:placeholder>
            <w:docPart w:val="C2E4205E0DC0415485CA64A958822F2A"/>
          </w:placeholder>
        </w:sdtPr>
        <w:sdtContent>
          <w:r w:rsidRPr="000A76CF">
            <w:rPr>
              <w:rFonts w:cs="Times New Roman"/>
              <w:color w:val="000000"/>
              <w:lang w:val="en-GB"/>
            </w:rPr>
            <w:t xml:space="preserve"> (Payen et al., 2021), such as increased soil carbon stock, biodiversity or rate of biowaste recycling</w:t>
          </w:r>
        </w:sdtContent>
      </w:sdt>
      <w:r w:rsidRPr="000A76CF">
        <w:rPr>
          <w:rFonts w:cs="Times New Roman"/>
          <w:lang w:val="en-GB"/>
        </w:rPr>
        <w:t>. Those benefits can be traced and accounted with different approaches</w:t>
      </w:r>
      <w:r>
        <w:rPr>
          <w:rFonts w:cs="Times New Roman"/>
          <w:lang w:val="en-GB"/>
        </w:rPr>
        <w:t xml:space="preserve"> and tools</w:t>
      </w:r>
      <w:r w:rsidRPr="000A76CF">
        <w:rPr>
          <w:rFonts w:cs="Times New Roman"/>
          <w:lang w:val="en-GB"/>
        </w:rPr>
        <w:t xml:space="preserve">, which however are not </w:t>
      </w:r>
      <w:r>
        <w:rPr>
          <w:rFonts w:cs="Times New Roman"/>
          <w:lang w:val="en-GB"/>
        </w:rPr>
        <w:t>usually</w:t>
      </w:r>
      <w:r w:rsidRPr="000A76CF">
        <w:rPr>
          <w:rFonts w:cs="Times New Roman"/>
          <w:lang w:val="en-GB"/>
        </w:rPr>
        <w:t xml:space="preserve"> integrated with the LCA related certification schemes.</w:t>
      </w:r>
    </w:p>
    <w:p w14:paraId="4B60B6E9" w14:textId="77777777" w:rsidR="00C2563C" w:rsidRPr="000A76CF" w:rsidRDefault="00C2563C" w:rsidP="00C2563C">
      <w:pPr>
        <w:pStyle w:val="TextArillo"/>
        <w:rPr>
          <w:rFonts w:cs="Times New Roman"/>
          <w:lang w:val="en-GB"/>
        </w:rPr>
      </w:pPr>
      <w:r w:rsidRPr="000A76CF">
        <w:rPr>
          <w:rFonts w:cs="Times New Roman"/>
          <w:lang w:val="en-GB"/>
        </w:rPr>
        <w:t xml:space="preserve">The benefit of exploiting ecological goods and services is unvaluable for human societies, as represented by the so-called Nature’s Contributions to People (NCP), a policy and research field emerging from the concept of ES </w:t>
      </w:r>
      <w:r w:rsidRPr="000A76CF">
        <w:rPr>
          <w:rFonts w:cs="Times New Roman"/>
          <w:lang w:val="en-GB"/>
        </w:rPr>
        <w:fldChar w:fldCharType="begin"/>
      </w:r>
      <w:r w:rsidRPr="000A76CF">
        <w:rPr>
          <w:rFonts w:cs="Times New Roman"/>
          <w:lang w:val="en-GB"/>
        </w:rPr>
        <w:instrText xml:space="preserve"> ADDIN EN.CITE &lt;EndNote&gt;&lt;Cite AuthorYear="1"&gt;&lt;Author&gt;Pinto&lt;/Author&gt;&lt;Year&gt;2024&lt;/Year&gt;&lt;RecNum&gt;11771&lt;/RecNum&gt;&lt;DisplayText&gt;Pinto et al. (2024)&lt;/DisplayText&gt;&lt;record&gt;&lt;rec-number&gt;11771&lt;/rec-number&gt;&lt;foreign-keys&gt;&lt;key app="EN" db-id="5x9axdpd8a9t5eezwpdxvs92ezd0txatwwfe" timestamp="1742916834"&gt;11771&lt;/key&gt;&lt;/foreign-keys&gt;&lt;ref-type name="Journal Article"&gt;17&lt;/ref-type&gt;&lt;contributors&gt;&lt;authors&gt;&lt;author&gt;Pinto, T.&lt;/author&gt;&lt;author&gt;Machado, T.&lt;/author&gt;&lt;author&gt;Nicolau, D.&lt;/author&gt;&lt;author&gt;Oliveira, N. G.&lt;/author&gt;&lt;author&gt;Vaz, A. S.&lt;/author&gt;&lt;/authors&gt;&lt;/contributors&gt;&lt;titles&gt;&lt;title&gt;Accounting for nature contributions to people in corporate sustainability: The case of a waste management company in Portugal&lt;/title&gt;&lt;secondary-title&gt;Corporate Social Responsibility and Environmental Management&lt;/secondary-title&gt;&lt;/titles&gt;&lt;periodical&gt;&lt;full-title&gt;Corporate Social Responsibility and Environmental Management&lt;/full-title&gt;&lt;abbr-1&gt;Corp. Soc. Resp. Env. Ma.&lt;/abbr-1&gt;&lt;abbr-2&gt;Corp Soc Resp Env Ma&lt;/abbr-2&gt;&lt;/periodical&gt;&lt;pages&gt;2619-2628&lt;/pages&gt;&lt;volume&gt;31&lt;/volume&gt;&lt;number&gt;4&lt;/number&gt;&lt;keywords&gt;&lt;keyword&gt;biodiversity&lt;/keyword&gt;&lt;keyword&gt;ecosystem services&lt;/keyword&gt;&lt;keyword&gt;monetary valuation&lt;/keyword&gt;&lt;keyword&gt;nature contributions to people&lt;/keyword&gt;&lt;keyword&gt;participatory approach&lt;/keyword&gt;&lt;keyword&gt;waste management&lt;/keyword&gt;&lt;/keywords&gt;&lt;dates&gt;&lt;year&gt;2024&lt;/year&gt;&lt;/dates&gt;&lt;work-type&gt;Article&lt;/work-type&gt;&lt;urls&gt;&lt;related-urls&gt;&lt;url&gt;https://www.scopus.com/inward/record.uri?eid=2-s2.0-85181500898&amp;amp;doi=10.1002%2fcsr.2706&amp;amp;partnerID=40&amp;amp;md5=e130a41c8f76e4496ae4e797e0e980c9&lt;/url&gt;&lt;/related-urls&gt;&lt;/urls&gt;&lt;electronic-resource-num&gt;10.1002/csr.2706&lt;/electronic-resource-num&gt;&lt;remote-database-name&gt;Scopus&lt;/remote-database-name&gt;&lt;/record&gt;&lt;/Cite&gt;&lt;/EndNote&gt;</w:instrText>
      </w:r>
      <w:r w:rsidRPr="000A76CF">
        <w:rPr>
          <w:rFonts w:cs="Times New Roman"/>
          <w:lang w:val="en-GB"/>
        </w:rPr>
        <w:fldChar w:fldCharType="separate"/>
      </w:r>
      <w:r w:rsidRPr="000A76CF">
        <w:rPr>
          <w:rFonts w:cs="Times New Roman"/>
          <w:noProof/>
          <w:lang w:val="en-GB"/>
        </w:rPr>
        <w:t>Pinto et al. (2024)</w:t>
      </w:r>
      <w:r w:rsidRPr="000A76CF">
        <w:rPr>
          <w:rFonts w:cs="Times New Roman"/>
          <w:lang w:val="en-GB"/>
        </w:rPr>
        <w:fldChar w:fldCharType="end"/>
      </w:r>
      <w:r w:rsidRPr="000A76CF">
        <w:rPr>
          <w:rFonts w:cs="Times New Roman"/>
          <w:lang w:val="en-GB"/>
        </w:rPr>
        <w:t>. NCPs refer to the contributions of living nature to the quality of life of the people (Díaz et al</w:t>
      </w:r>
      <w:r w:rsidRPr="000A76CF">
        <w:rPr>
          <w:rFonts w:cs="Times New Roman"/>
          <w:color w:val="000000" w:themeColor="text1"/>
          <w:lang w:val="en-GB"/>
        </w:rPr>
        <w:t xml:space="preserve">., </w:t>
      </w:r>
      <w:hyperlink r:id="rId8" w:anchor="csr2706-bib-0012" w:history="1">
        <w:r w:rsidRPr="000A76CF">
          <w:rPr>
            <w:rStyle w:val="Hyperlink"/>
            <w:rFonts w:cs="Times New Roman"/>
            <w:color w:val="000000" w:themeColor="text1"/>
            <w:lang w:val="en-GB"/>
          </w:rPr>
          <w:t>2018</w:t>
        </w:r>
      </w:hyperlink>
      <w:r w:rsidRPr="000A76CF">
        <w:rPr>
          <w:rFonts w:cs="Times New Roman"/>
          <w:lang w:val="en-GB"/>
        </w:rPr>
        <w:t xml:space="preserve">). The integration of ES valuation into economic decision-making heralds a transformative approach. It beckons decision-makers to adopt holistic evaluation metrics, considering ecological impacts alongside economic metrics to forge development strategies that harmonize economic progress with ecological preservation </w:t>
      </w:r>
      <w:r w:rsidRPr="000A76CF">
        <w:rPr>
          <w:rFonts w:cs="Times New Roman"/>
          <w:lang w:val="en-GB"/>
        </w:rPr>
        <w:fldChar w:fldCharType="begin"/>
      </w:r>
      <w:r w:rsidRPr="000A76CF">
        <w:rPr>
          <w:rFonts w:cs="Times New Roman"/>
          <w:lang w:val="en-GB"/>
        </w:rPr>
        <w:instrText xml:space="preserve"> ADDIN EN.CITE &lt;EndNote&gt;&lt;Cite&gt;&lt;Author&gt;Jiang&lt;/Author&gt;&lt;Year&gt;2025&lt;/Year&gt;&lt;RecNum&gt;11764&lt;/RecNum&gt;&lt;DisplayText&gt;(Jiang and Ding, 2025)&lt;/DisplayText&gt;&lt;record&gt;&lt;rec-number&gt;11764&lt;/rec-number&gt;&lt;foreign-keys&gt;&lt;key app="EN" db-id="5x9axdpd8a9t5eezwpdxvs92ezd0txatwwfe" timestamp="1742916834"&gt;11764&lt;/key&gt;&lt;/foreign-keys&gt;&lt;ref-type name="Journal Article"&gt;17&lt;/ref-type&gt;&lt;contributors&gt;&lt;authors&gt;&lt;author&gt;Jiang, Y.&lt;/author&gt;&lt;author&gt;Ding, X.&lt;/author&gt;&lt;/authors&gt;&lt;/contributors&gt;&lt;titles&gt;&lt;title&gt;Exploring the Nexus Between Ecosystem Services and Economic Sustainability: A Stakeholder Perspective&lt;/title&gt;&lt;secondary-title&gt;Corporate Social Responsibility and Environmental Management&lt;/secondary-title&gt;&lt;/titles&gt;&lt;periodical&gt;&lt;full-title&gt;Corporate Social Responsibility and Environmental Management&lt;/full-title&gt;&lt;abbr-1&gt;Corp. Soc. Resp. Env. Ma.&lt;/abbr-1&gt;&lt;abbr-2&gt;Corp Soc Resp Env Ma&lt;/abbr-2&gt;&lt;/periodical&gt;&lt;keywords&gt;&lt;keyword&gt;ecological economics&lt;/keyword&gt;&lt;keyword&gt;environmental policy&lt;/keyword&gt;&lt;keyword&gt;stakeholder engagement&lt;/keyword&gt;&lt;keyword&gt;sustainable development&lt;/keyword&gt;&lt;keyword&gt;valuation of ecosystem services&lt;/keyword&gt;&lt;/keywords&gt;&lt;dates&gt;&lt;year&gt;2025&lt;/year&gt;&lt;/dates&gt;&lt;work-type&gt;Article&lt;/work-type&gt;&lt;urls&gt;&lt;related-urls&gt;&lt;url&gt;https://www.scopus.com/inward/record.uri?eid=2-s2.0-85218833047&amp;amp;doi=10.1002%2fcsr.3110&amp;amp;partnerID=40&amp;amp;md5=3e5def042d3b0cc6ab1807283180cf32&lt;/url&gt;&lt;/related-urls&gt;&lt;/urls&gt;&lt;electronic-resource-num&gt;10.1002/csr.3110&lt;/electronic-resource-num&gt;&lt;remote-database-name&gt;Scopus&lt;/remote-database-name&gt;&lt;/record&gt;&lt;/Cite&gt;&lt;/EndNote&gt;</w:instrText>
      </w:r>
      <w:r w:rsidRPr="000A76CF">
        <w:rPr>
          <w:rFonts w:cs="Times New Roman"/>
          <w:lang w:val="en-GB"/>
        </w:rPr>
        <w:fldChar w:fldCharType="separate"/>
      </w:r>
      <w:r w:rsidRPr="000A76CF">
        <w:rPr>
          <w:rFonts w:cs="Times New Roman"/>
          <w:noProof/>
          <w:lang w:val="en-GB"/>
        </w:rPr>
        <w:t>(Jiang and Ding, 2025)</w:t>
      </w:r>
      <w:r w:rsidRPr="000A76CF">
        <w:rPr>
          <w:rFonts w:cs="Times New Roman"/>
          <w:lang w:val="en-GB"/>
        </w:rPr>
        <w:fldChar w:fldCharType="end"/>
      </w:r>
      <w:r w:rsidRPr="000A76CF">
        <w:rPr>
          <w:rFonts w:cs="Times New Roman"/>
          <w:lang w:val="en-GB"/>
        </w:rPr>
        <w:t xml:space="preserve">. Well-known examples in the forestry sector are two international certification programs allowing to quantify and monitor the increase in forest ES associated with expectedly sustainable management interventions, namely the ‘Forest Stewardship Council’, or FSC (Boubacar &amp; Sissoko, 2025), and the ‘Programme for Endorsement of Forest Certification’, or PEFC </w:t>
      </w:r>
      <w:sdt>
        <w:sdtPr>
          <w:rPr>
            <w:rFonts w:cs="Times New Roman"/>
            <w:color w:val="000000"/>
            <w:lang w:val="en-GB"/>
          </w:rPr>
          <w:tag w:val="MENDELEY_CITATION_v3_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"/>
          <w:id w:val="-1202164317"/>
          <w:placeholder>
            <w:docPart w:val="5463D7B6B048491CB8F7DCE49A1E4E19"/>
          </w:placeholder>
        </w:sdtPr>
        <w:sdtContent>
          <w:r w:rsidRPr="000A76CF">
            <w:rPr>
              <w:rFonts w:cs="Times New Roman"/>
              <w:color w:val="000000"/>
              <w:lang w:val="en-GB"/>
            </w:rPr>
            <w:t>(Bruzzese et al., 2025)</w:t>
          </w:r>
        </w:sdtContent>
      </w:sdt>
      <w:r w:rsidRPr="000A76CF">
        <w:rPr>
          <w:rFonts w:cs="Times New Roman"/>
          <w:lang w:val="en-GB"/>
        </w:rPr>
        <w:t xml:space="preserve">. Adopting an FSC and/or PEFC certification label is guarantee of traceability of ES flows and their management in case of buying and selling, for example through the implementation of a Payment for Ecosystem Services (PES) scheme. </w:t>
      </w:r>
    </w:p>
    <w:p w14:paraId="5855E0D5" w14:textId="77777777" w:rsidR="00C2563C" w:rsidRPr="000A76CF" w:rsidRDefault="00C2563C" w:rsidP="00C2563C">
      <w:pPr>
        <w:pStyle w:val="TextArillo"/>
        <w:rPr>
          <w:rFonts w:cs="Times New Roman"/>
          <w:lang w:val="en-GB"/>
        </w:rPr>
      </w:pPr>
      <w:r w:rsidRPr="000A76CF">
        <w:rPr>
          <w:rFonts w:cs="Times New Roman"/>
          <w:lang w:val="en-GB"/>
        </w:rPr>
        <w:t xml:space="preserve">The concept of PES, where a landowner or manager is paid </w:t>
      </w:r>
      <w:proofErr w:type="gramStart"/>
      <w:r w:rsidRPr="000A76CF">
        <w:rPr>
          <w:rFonts w:cs="Times New Roman"/>
          <w:lang w:val="en-GB"/>
        </w:rPr>
        <w:t>on the basis of</w:t>
      </w:r>
      <w:proofErr w:type="gramEnd"/>
      <w:r w:rsidRPr="000A76CF">
        <w:rPr>
          <w:rFonts w:cs="Times New Roman"/>
          <w:lang w:val="en-GB"/>
        </w:rPr>
        <w:t xml:space="preserve"> the ecosystem services his/her natural capital provides, is however not without controversy because the PES connected with VCMs (Value Stream Mapping) have been particularly contentious. As </w:t>
      </w:r>
      <w:sdt>
        <w:sdtPr>
          <w:rPr>
            <w:rFonts w:cs="Times New Roman"/>
            <w:color w:val="000000"/>
            <w:lang w:val="en-GB"/>
          </w:rPr>
          <w:tag w:val="MENDELEY_CITATION_v3_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"/>
          <w:id w:val="-1679115439"/>
          <w:placeholder>
            <w:docPart w:val="96031150041546C585B460703E1909F8"/>
          </w:placeholder>
        </w:sdtPr>
        <w:sdtContent>
          <w:r w:rsidRPr="00EA59DF">
            <w:rPr>
              <w:rFonts w:cs="Times New Roman"/>
              <w:color w:val="000000"/>
              <w:lang w:val="en-GB"/>
            </w:rPr>
            <w:t>Folkersen (2018)</w:t>
          </w:r>
        </w:sdtContent>
      </w:sdt>
      <w:r w:rsidRPr="000A76CF">
        <w:rPr>
          <w:rFonts w:cs="Times New Roman"/>
          <w:color w:val="000000"/>
          <w:lang w:val="en-GB"/>
        </w:rPr>
        <w:t xml:space="preserve"> concludes</w:t>
      </w:r>
      <w:r>
        <w:rPr>
          <w:rFonts w:cs="Times New Roman"/>
          <w:color w:val="000000"/>
          <w:lang w:val="en-GB"/>
        </w:rPr>
        <w:t>,</w:t>
      </w:r>
      <w:r w:rsidRPr="000A76CF">
        <w:rPr>
          <w:rFonts w:cs="Times New Roman"/>
          <w:color w:val="000000"/>
          <w:lang w:val="en-GB"/>
        </w:rPr>
        <w:t xml:space="preserve"> only PES can mislead the main objective of sustainability assessment and NCP, which is to generate wealth and human well-being throughout environmental management strategies. This is because the instrumentalization of environmental value fails to </w:t>
      </w:r>
      <w:proofErr w:type="gramStart"/>
      <w:r w:rsidRPr="000A76CF">
        <w:rPr>
          <w:rFonts w:cs="Times New Roman"/>
          <w:color w:val="000000"/>
          <w:lang w:val="en-GB"/>
        </w:rPr>
        <w:t>take into account</w:t>
      </w:r>
      <w:proofErr w:type="gramEnd"/>
      <w:r w:rsidRPr="000A76CF">
        <w:rPr>
          <w:rFonts w:cs="Times New Roman"/>
          <w:color w:val="000000"/>
          <w:lang w:val="en-GB"/>
        </w:rPr>
        <w:t xml:space="preserve"> the diversity of human-nature relationships. This can lead to the marginalisation </w:t>
      </w:r>
      <w:r w:rsidRPr="000A76CF">
        <w:rPr>
          <w:rFonts w:cs="Times New Roman"/>
          <w:color w:val="000000"/>
          <w:lang w:val="en-GB"/>
        </w:rPr>
        <w:lastRenderedPageBreak/>
        <w:t>of local practices and knowledge, as well as increased conflict and inequity</w:t>
      </w:r>
      <w:sdt>
        <w:sdtPr>
          <w:rPr>
            <w:rFonts w:cs="Times New Roman"/>
            <w:color w:val="000000"/>
            <w:lang w:val="en-GB"/>
          </w:rPr>
          <w:tag w:val="MENDELEY_CITATION_v3_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"/>
          <w:id w:val="-1146974550"/>
          <w:placeholder>
            <w:docPart w:val="F375640A81644034B8A0546FE0995E22"/>
          </w:placeholder>
        </w:sdtPr>
        <w:sdtContent>
          <w:r w:rsidRPr="00EA59DF">
            <w:rPr>
              <w:rFonts w:cs="Times New Roman"/>
              <w:color w:val="000000"/>
              <w:lang w:val="en-GB"/>
            </w:rPr>
            <w:t xml:space="preserve"> </w:t>
          </w:r>
          <w:r w:rsidRPr="000A76CF">
            <w:rPr>
              <w:rFonts w:cs="Times New Roman"/>
              <w:color w:val="000000"/>
              <w:lang w:val="en-GB"/>
            </w:rPr>
            <w:t>(Arias-Arévalo et al., 2025)</w:t>
          </w:r>
        </w:sdtContent>
      </w:sdt>
      <w:r w:rsidRPr="000A76CF">
        <w:rPr>
          <w:rFonts w:cs="Times New Roman"/>
          <w:color w:val="000000"/>
          <w:lang w:val="en-GB"/>
        </w:rPr>
        <w:t>.</w:t>
      </w:r>
      <w:r w:rsidRPr="000A76CF">
        <w:rPr>
          <w:rFonts w:cs="Times New Roman"/>
          <w:lang w:val="en-GB"/>
        </w:rPr>
        <w:t xml:space="preserve"> </w:t>
      </w:r>
      <w:proofErr w:type="gramStart"/>
      <w:r w:rsidRPr="000A76CF">
        <w:rPr>
          <w:rFonts w:cs="Times New Roman"/>
          <w:lang w:val="en-GB"/>
        </w:rPr>
        <w:t>A number of</w:t>
      </w:r>
      <w:proofErr w:type="gramEnd"/>
      <w:r w:rsidRPr="000A76CF">
        <w:rPr>
          <w:rFonts w:cs="Times New Roman"/>
          <w:lang w:val="en-GB"/>
        </w:rPr>
        <w:t xml:space="preserve"> reasons feed the debate around the use of PES as separate from issues of ideology and economics. One aspect of discussion focuses on the monitoring, reporting and verification (MRV), the additionality and the permanence of </w:t>
      </w:r>
      <w:r w:rsidRPr="007454D4">
        <w:rPr>
          <w:rFonts w:cs="Times New Roman"/>
          <w:lang w:val="en-GB"/>
        </w:rPr>
        <w:t>projects (</w:t>
      </w:r>
      <w:r w:rsidRPr="008C59D8">
        <w:rPr>
          <w:rFonts w:cs="Times New Roman"/>
          <w:color w:val="000000"/>
          <w:lang w:val="en-GB"/>
        </w:rPr>
        <w:t xml:space="preserve">Miltenberger et al., 2021). </w:t>
      </w:r>
      <w:r w:rsidRPr="007454D4">
        <w:rPr>
          <w:rFonts w:cs="Times New Roman"/>
          <w:lang w:val="en-GB"/>
        </w:rPr>
        <w:t>Some</w:t>
      </w:r>
      <w:r w:rsidRPr="000A76CF">
        <w:rPr>
          <w:rFonts w:cs="Times New Roman"/>
          <w:lang w:val="en-GB"/>
        </w:rPr>
        <w:t xml:space="preserve"> authors recognise, however, that forest certification can help PES schemes overcoming their weak monitoring systems based on limited information about the actual delivery of the intended services to beneficiaries </w:t>
      </w:r>
      <w:r w:rsidRPr="000A76CF">
        <w:rPr>
          <w:rFonts w:cs="Times New Roman"/>
          <w:lang w:val="en-GB"/>
        </w:rPr>
        <w:fldChar w:fldCharType="begin"/>
      </w:r>
      <w:r w:rsidRPr="000A76CF">
        <w:rPr>
          <w:rFonts w:cs="Times New Roman"/>
          <w:lang w:val="en-GB"/>
        </w:rPr>
        <w:instrText xml:space="preserve"> ADDIN EN.CITE &lt;EndNote&gt;&lt;Cite&gt;&lt;Author&gt;Jaung&lt;/Author&gt;&lt;Year&gt;2018&lt;/Year&gt;&lt;RecNum&gt;11792&lt;/RecNum&gt;&lt;DisplayText&gt;(Jaung et al., 2018)&lt;/DisplayText&gt;&lt;record&gt;&lt;rec-number&gt;11792&lt;/rec-number&gt;&lt;foreign-keys&gt;&lt;key app="EN" db-id="5x9axdpd8a9t5eezwpdxvs92ezd0txatwwfe" timestamp="1755006798"&gt;11792&lt;/key&gt;&lt;/foreign-keys&gt;&lt;ref-type name="Journal Article"&gt;17&lt;/ref-type&gt;&lt;contributors&gt;&lt;authors&gt;&lt;author&gt;Jaung, Wanggi&lt;/author&gt;&lt;author&gt;Bull, Gary Q.&lt;/author&gt;&lt;author&gt;Sumaila, Ussif Rashid&lt;/author&gt;&lt;author&gt;Markum,&lt;/author&gt;&lt;author&gt;Putzel, Louis&lt;/author&gt;&lt;/authors&gt;&lt;/contributors&gt;&lt;titles&gt;&lt;title&gt;Estimating water user demand for certification of forest watershed services&lt;/title&gt;&lt;secondary-title&gt;Journal of Environmental Management&lt;/secondary-title&gt;&lt;/titles&gt;&lt;periodical&gt;&lt;full-title&gt;Journal of Environmental Management&lt;/full-title&gt;&lt;abbr-1&gt;J. Environ. Manage.&lt;/abbr-1&gt;&lt;abbr-2&gt;J Environ Manage&lt;/abbr-2&gt;&lt;/periodical&gt;&lt;pages&gt;469-478&lt;/pages&gt;&lt;volume&gt;212&lt;/volume&gt;&lt;keywords&gt;&lt;keyword&gt;Certification of forest ecosystem services&lt;/keyword&gt;&lt;keyword&gt;Payments for environmental services (PES)&lt;/keyword&gt;&lt;keyword&gt;Forest Stewardship Council (FSC)&lt;/keyword&gt;&lt;keyword&gt;Choice experiment&lt;/keyword&gt;&lt;keyword&gt;Lombok, Indonesia&lt;/keyword&gt;&lt;/keywords&gt;&lt;dates&gt;&lt;year&gt;2018&lt;/year&gt;&lt;pub-dates&gt;&lt;date&gt;2018/04/15/&lt;/date&gt;&lt;/pub-dates&gt;&lt;/dates&gt;&lt;isbn&gt;0301-4797&lt;/isbn&gt;&lt;urls&gt;&lt;related-urls&gt;&lt;url&gt;https://www.sciencedirect.com/science/article/pii/S030147971830149X&lt;/url&gt;&lt;/related-urls&gt;&lt;/urls&gt;&lt;electronic-resource-num&gt;https://doi.org/10.1016/j.jenvman.2018.02.042&lt;/electronic-resource-num&gt;&lt;/record&gt;&lt;/Cite&gt;&lt;/EndNote&gt;</w:instrText>
      </w:r>
      <w:r w:rsidRPr="000A76CF">
        <w:rPr>
          <w:rFonts w:cs="Times New Roman"/>
          <w:lang w:val="en-GB"/>
        </w:rPr>
        <w:fldChar w:fldCharType="separate"/>
      </w:r>
      <w:r w:rsidRPr="000A76CF">
        <w:rPr>
          <w:rFonts w:cs="Times New Roman"/>
          <w:noProof/>
          <w:lang w:val="en-GB"/>
        </w:rPr>
        <w:t>(Jaung et al., 2018)</w:t>
      </w:r>
      <w:r w:rsidRPr="000A76CF">
        <w:rPr>
          <w:rFonts w:cs="Times New Roman"/>
          <w:lang w:val="en-GB"/>
        </w:rPr>
        <w:fldChar w:fldCharType="end"/>
      </w:r>
      <w:r w:rsidRPr="000A76CF">
        <w:rPr>
          <w:rFonts w:cs="Times New Roman"/>
          <w:lang w:val="en-GB"/>
        </w:rPr>
        <w:t xml:space="preserve">. Not surprisingly, </w:t>
      </w:r>
      <w:r w:rsidRPr="000A76CF">
        <w:rPr>
          <w:rFonts w:cs="Times New Roman"/>
          <w:lang w:val="en-GB"/>
        </w:rPr>
        <w:fldChar w:fldCharType="begin"/>
      </w:r>
      <w:r w:rsidRPr="000A76CF">
        <w:rPr>
          <w:rFonts w:cs="Times New Roman"/>
          <w:lang w:val="en-GB"/>
        </w:rPr>
        <w:instrText xml:space="preserve"> ADDIN EN.CITE &lt;EndNote&gt;&lt;Cite AuthorYear="1"&gt;&lt;Author&gt;Savilaakso&lt;/Author&gt;&lt;Year&gt;2017&lt;/Year&gt;&lt;RecNum&gt;11793&lt;/RecNum&gt;&lt;DisplayText&gt;Savilaakso and Guariguata (2017)&lt;/DisplayText&gt;&lt;record&gt;&lt;rec-number&gt;11793&lt;/rec-number&gt;&lt;foreign-keys&gt;&lt;key app="EN" db-id="5x9axdpd8a9t5eezwpdxvs92ezd0txatwwfe" timestamp="1755007139"&gt;11793&lt;/key&gt;&lt;/foreign-keys&gt;&lt;ref-type name="Journal Article"&gt;17&lt;/ref-type&gt;&lt;contributors&gt;&lt;authors&gt;&lt;author&gt;Savilaakso, Sini&lt;/author&gt;&lt;author&gt;Guariguata, Manuel R.&lt;/author&gt;&lt;/authors&gt;&lt;/contributors&gt;&lt;titles&gt;&lt;title&gt;Challenges for developing Forest Stewardship Council certification for ecosystem services: How to enhance local adoption?&lt;/title&gt;&lt;secondary-title&gt;Ecosystem Services&lt;/secondary-title&gt;&lt;/titles&gt;&lt;periodical&gt;&lt;full-title&gt;Ecosystem Services&lt;/full-title&gt;&lt;abbr-1&gt;Ecosyst. Serv.&lt;/abbr-1&gt;&lt;/periodical&gt;&lt;pages&gt;55-66&lt;/pages&gt;&lt;volume&gt;28&lt;/volume&gt;&lt;keywords&gt;&lt;keyword&gt;Biodiversity conservation&lt;/keyword&gt;&lt;keyword&gt;Forest management&lt;/keyword&gt;&lt;keyword&gt;Innovation&lt;/keyword&gt;&lt;keyword&gt;Payments for ecosystem services&lt;/keyword&gt;&lt;keyword&gt;Sustainability transition&lt;/keyword&gt;&lt;/keywords&gt;&lt;dates&gt;&lt;year&gt;2017&lt;/year&gt;&lt;pub-dates&gt;&lt;date&gt;2017/12/01/&lt;/date&gt;&lt;/pub-dates&gt;&lt;/dates&gt;&lt;isbn&gt;2212-0416&lt;/isbn&gt;&lt;urls&gt;&lt;related-urls&gt;&lt;url&gt;https://www.sciencedirect.com/science/article/pii/S2212041616303199&lt;/url&gt;&lt;/related-urls&gt;&lt;/urls&gt;&lt;electronic-resource-num&gt;https://doi.org/10.1016/j.ecoser.2017.10.001&lt;/electronic-resource-num&gt;&lt;/record&gt;&lt;/Cite&gt;&lt;/EndNote&gt;</w:instrText>
      </w:r>
      <w:r w:rsidRPr="000A76CF">
        <w:rPr>
          <w:rFonts w:cs="Times New Roman"/>
          <w:lang w:val="en-GB"/>
        </w:rPr>
        <w:fldChar w:fldCharType="separate"/>
      </w:r>
      <w:r w:rsidRPr="000A76CF">
        <w:rPr>
          <w:rFonts w:cs="Times New Roman"/>
          <w:noProof/>
          <w:lang w:val="en-GB"/>
        </w:rPr>
        <w:t>Savilaakso and Guariguata (2017)</w:t>
      </w:r>
      <w:r w:rsidRPr="000A76CF">
        <w:rPr>
          <w:rFonts w:cs="Times New Roman"/>
          <w:lang w:val="en-GB"/>
        </w:rPr>
        <w:fldChar w:fldCharType="end"/>
      </w:r>
      <w:r w:rsidRPr="000A76CF">
        <w:rPr>
          <w:rFonts w:cs="Times New Roman"/>
          <w:lang w:val="en-GB"/>
        </w:rPr>
        <w:t xml:space="preserve"> define the certification of forest </w:t>
      </w:r>
      <w:r>
        <w:rPr>
          <w:rFonts w:cs="Times New Roman"/>
          <w:lang w:val="en-GB"/>
        </w:rPr>
        <w:t>ES</w:t>
      </w:r>
      <w:r w:rsidRPr="000A76CF">
        <w:rPr>
          <w:rFonts w:cs="Times New Roman"/>
          <w:lang w:val="en-GB"/>
        </w:rPr>
        <w:t xml:space="preserve"> as a “market-based mechanism that includes activities meant to guarantee that a given forest stand is explicitly managed in a way that maintains or enhances the provision of a specified ES”.</w:t>
      </w:r>
    </w:p>
    <w:p w14:paraId="4DC44AB1" w14:textId="65DEA22F" w:rsidR="00C2563C" w:rsidRDefault="00C2563C" w:rsidP="00C0187E">
      <w:pPr>
        <w:pStyle w:val="TextArillo"/>
        <w:rPr>
          <w:szCs w:val="24"/>
          <w:lang w:val="en-GB"/>
        </w:rPr>
      </w:pPr>
      <w:r w:rsidRPr="000A76CF">
        <w:rPr>
          <w:rFonts w:cs="Times New Roman"/>
          <w:lang w:val="en-GB"/>
        </w:rPr>
        <w:t xml:space="preserve">This paper aims to validate the hypothesis that the combined use of life cycle methods alongside established protocols for ES quantification and monitoring (based on FSC and/or PEFC schemes) can ensure reaching environmental sustainability in the agriculture sector by offering robust, traceable and unquestionable indicators and roadmaps to companies and farmers. In this regard, the </w:t>
      </w:r>
      <w:r>
        <w:rPr>
          <w:rFonts w:cs="Times New Roman"/>
          <w:lang w:val="en-GB"/>
        </w:rPr>
        <w:t>recent</w:t>
      </w:r>
      <w:r w:rsidRPr="000A76CF">
        <w:rPr>
          <w:rFonts w:cs="Times New Roman"/>
          <w:lang w:val="en-GB"/>
        </w:rPr>
        <w:t xml:space="preserve"> Directive (EU) 2024/1760 of the European Parliament on corporate sustainability due diligence aims to encourage sustainable and responsible behaviour in companies’ operations by identifying and addressing potential and actual adverse impacts on human rights and the environment. This premise consistently aligns with the effort of the present research to implement integrated environmental cost and benefit analysis based on consideration of LCA as well as ES assessment and monitoring.</w:t>
      </w:r>
    </w:p>
    <w:p w14:paraId="4823BD92" w14:textId="3489D100" w:rsidR="00C64F34" w:rsidRPr="008C3716" w:rsidRDefault="008C3716" w:rsidP="008C3716">
      <w:pPr>
        <w:pStyle w:val="Heading2Arillo"/>
        <w:rPr>
          <w:sz w:val="24"/>
          <w:szCs w:val="24"/>
          <w:lang w:val="en-GB"/>
        </w:rPr>
      </w:pPr>
      <w:r w:rsidRPr="008C3716">
        <w:rPr>
          <w:szCs w:val="24"/>
          <w:lang w:val="en-GB"/>
        </w:rPr>
        <w:t>S</w:t>
      </w:r>
      <w:r w:rsidR="00C2563C">
        <w:rPr>
          <w:szCs w:val="24"/>
          <w:lang w:val="en-GB"/>
        </w:rPr>
        <w:t>2</w:t>
      </w:r>
      <w:r w:rsidRPr="008C3716">
        <w:rPr>
          <w:szCs w:val="24"/>
          <w:lang w:val="en-GB"/>
        </w:rPr>
        <w:t xml:space="preserve"> </w:t>
      </w:r>
      <w:r w:rsidR="003E6FAA">
        <w:rPr>
          <w:lang w:val="en-GB"/>
        </w:rPr>
        <w:t>Details on the development</w:t>
      </w:r>
      <w:r w:rsidR="00FA57CA" w:rsidRPr="008C3716">
        <w:rPr>
          <w:lang w:val="en-GB"/>
        </w:rPr>
        <w:t xml:space="preserve"> of the O-LCA model</w:t>
      </w:r>
    </w:p>
    <w:p w14:paraId="5D3B3687" w14:textId="164DE91F" w:rsidR="003E6FAA" w:rsidRPr="003E6FAA" w:rsidRDefault="003E6FAA" w:rsidP="003E6FAA">
      <w:pPr>
        <w:pStyle w:val="Heading3Arillo"/>
        <w:rPr>
          <w:lang w:val="en-GB"/>
        </w:rPr>
      </w:pPr>
      <w:r w:rsidRPr="003E6FAA">
        <w:rPr>
          <w:lang w:val="en-GB"/>
        </w:rPr>
        <w:t>S</w:t>
      </w:r>
      <w:r w:rsidR="00C2563C">
        <w:rPr>
          <w:lang w:val="en-GB"/>
        </w:rPr>
        <w:t>2</w:t>
      </w:r>
      <w:r w:rsidRPr="003E6FAA">
        <w:rPr>
          <w:lang w:val="en-GB"/>
        </w:rPr>
        <w:t>.1 LCA principles and methodological criteria</w:t>
      </w:r>
    </w:p>
    <w:p w14:paraId="4C54E274" w14:textId="742F4F16" w:rsidR="003F37C4" w:rsidRPr="008C3716" w:rsidRDefault="003F37C4" w:rsidP="003F37C4">
      <w:pPr>
        <w:pStyle w:val="TextMonsanto"/>
        <w:spacing w:line="480" w:lineRule="auto"/>
        <w:rPr>
          <w:rFonts w:ascii="Times New Roman" w:hAnsi="Times New Roman" w:cs="Times New Roman"/>
          <w:color w:val="000000" w:themeColor="text1"/>
          <w:lang w:val="en-GB"/>
        </w:rPr>
      </w:pPr>
      <w:r w:rsidRPr="008C3716">
        <w:rPr>
          <w:rFonts w:ascii="Times New Roman" w:hAnsi="Times New Roman" w:cs="Times New Roman"/>
          <w:color w:val="000000" w:themeColor="text1"/>
          <w:lang w:val="en-GB"/>
        </w:rPr>
        <w:t xml:space="preserve">When the objective of the environmental impact assessment is not product but </w:t>
      </w:r>
      <w:r w:rsidR="003E6FAA" w:rsidRPr="008C3716">
        <w:rPr>
          <w:rFonts w:ascii="Times New Roman" w:hAnsi="Times New Roman" w:cs="Times New Roman"/>
          <w:color w:val="000000" w:themeColor="text1"/>
          <w:lang w:val="en-GB"/>
        </w:rPr>
        <w:t>corporate</w:t>
      </w:r>
      <w:r w:rsidR="003E6FAA" w:rsidRPr="003E6FAA">
        <w:rPr>
          <w:rFonts w:ascii="Times New Roman" w:hAnsi="Times New Roman" w:cs="Times New Roman"/>
          <w:color w:val="000000" w:themeColor="text1"/>
          <w:lang w:val="en-GB"/>
        </w:rPr>
        <w:t xml:space="preserve"> </w:t>
      </w:r>
      <w:r w:rsidR="003E6FAA" w:rsidRPr="008C3716">
        <w:rPr>
          <w:rFonts w:ascii="Times New Roman" w:hAnsi="Times New Roman" w:cs="Times New Roman"/>
          <w:color w:val="000000" w:themeColor="text1"/>
          <w:lang w:val="en-GB"/>
        </w:rPr>
        <w:t>oriented</w:t>
      </w:r>
      <w:r w:rsidRPr="008C3716">
        <w:rPr>
          <w:rFonts w:ascii="Times New Roman" w:hAnsi="Times New Roman" w:cs="Times New Roman"/>
          <w:color w:val="000000" w:themeColor="text1"/>
          <w:lang w:val="en-GB"/>
        </w:rPr>
        <w:t>, the organisation-LCA (O-LCA) is a valid tool to compile and evaluate the inputs, outputs and potential environmental impacts of the activities associated with the organisation, following a life cycle perspective.</w:t>
      </w:r>
      <w:r w:rsidR="003E6FAA">
        <w:rPr>
          <w:rFonts w:ascii="Times New Roman" w:hAnsi="Times New Roman" w:cs="Times New Roman"/>
          <w:color w:val="000000" w:themeColor="text1"/>
          <w:lang w:val="en-GB"/>
        </w:rPr>
        <w:t xml:space="preserve"> However, the </w:t>
      </w:r>
      <w:r w:rsidRPr="008C3716">
        <w:rPr>
          <w:rFonts w:ascii="Times New Roman" w:hAnsi="Times New Roman" w:cs="Times New Roman"/>
          <w:color w:val="000000" w:themeColor="text1"/>
          <w:lang w:val="en-GB"/>
        </w:rPr>
        <w:t xml:space="preserve">O-LCA follows the four-phase approach proposed by </w:t>
      </w:r>
      <w:r w:rsidR="003E6FAA">
        <w:rPr>
          <w:rFonts w:ascii="Times New Roman" w:hAnsi="Times New Roman" w:cs="Times New Roman"/>
          <w:color w:val="000000" w:themeColor="text1"/>
          <w:lang w:val="en-GB"/>
        </w:rPr>
        <w:t xml:space="preserve">the </w:t>
      </w:r>
      <w:r w:rsidRPr="008C3716">
        <w:rPr>
          <w:rFonts w:ascii="Times New Roman" w:hAnsi="Times New Roman" w:cs="Times New Roman"/>
          <w:color w:val="000000" w:themeColor="text1"/>
          <w:lang w:val="en-GB"/>
        </w:rPr>
        <w:t>ISO 14040</w:t>
      </w:r>
      <w:r w:rsidR="003E6FAA">
        <w:rPr>
          <w:rFonts w:ascii="Times New Roman" w:hAnsi="Times New Roman" w:cs="Times New Roman"/>
          <w:color w:val="000000" w:themeColor="text1"/>
          <w:lang w:val="en-GB"/>
        </w:rPr>
        <w:t>:2006</w:t>
      </w:r>
      <w:r w:rsidRPr="008C3716">
        <w:rPr>
          <w:rFonts w:ascii="Times New Roman" w:hAnsi="Times New Roman" w:cs="Times New Roman"/>
          <w:color w:val="000000" w:themeColor="text1"/>
          <w:lang w:val="en-GB"/>
        </w:rPr>
        <w:t xml:space="preserve"> </w:t>
      </w:r>
      <w:r w:rsidR="003E6FAA">
        <w:rPr>
          <w:rFonts w:ascii="Times New Roman" w:hAnsi="Times New Roman" w:cs="Times New Roman"/>
          <w:color w:val="000000" w:themeColor="text1"/>
          <w:lang w:val="en-GB"/>
        </w:rPr>
        <w:t xml:space="preserve">standard </w:t>
      </w:r>
      <w:r w:rsidRPr="008C3716">
        <w:rPr>
          <w:rFonts w:ascii="Times New Roman" w:hAnsi="Times New Roman" w:cs="Times New Roman"/>
          <w:color w:val="000000" w:themeColor="text1"/>
          <w:lang w:val="en-GB"/>
        </w:rPr>
        <w:t xml:space="preserve">for product LCA, </w:t>
      </w:r>
      <w:r w:rsidR="003E6FAA">
        <w:rPr>
          <w:rFonts w:ascii="Times New Roman" w:hAnsi="Times New Roman" w:cs="Times New Roman"/>
          <w:color w:val="000000" w:themeColor="text1"/>
          <w:lang w:val="en-GB"/>
        </w:rPr>
        <w:t>as described below.</w:t>
      </w:r>
    </w:p>
    <w:p w14:paraId="6F804844" w14:textId="51BE9AA7" w:rsidR="003F37C4" w:rsidRPr="008C3716" w:rsidRDefault="003E6FAA" w:rsidP="003F37C4">
      <w:pPr>
        <w:pStyle w:val="TextMonsanto"/>
        <w:spacing w:line="480" w:lineRule="auto"/>
        <w:rPr>
          <w:rFonts w:ascii="Times New Roman" w:hAnsi="Times New Roman" w:cs="Times New Roman"/>
          <w:color w:val="000000" w:themeColor="text1"/>
          <w:lang w:val="en-GB"/>
        </w:rPr>
      </w:pPr>
      <w:r w:rsidRPr="003E6FAA">
        <w:rPr>
          <w:rFonts w:ascii="Times New Roman" w:hAnsi="Times New Roman" w:cs="Times New Roman"/>
          <w:b/>
          <w:bCs/>
          <w:color w:val="000000" w:themeColor="text1"/>
          <w:lang w:val="en-GB"/>
        </w:rPr>
        <w:t xml:space="preserve">On the </w:t>
      </w:r>
      <w:r>
        <w:rPr>
          <w:rFonts w:ascii="Times New Roman" w:hAnsi="Times New Roman" w:cs="Times New Roman"/>
          <w:b/>
          <w:bCs/>
          <w:color w:val="000000" w:themeColor="text1"/>
          <w:lang w:val="en-GB"/>
        </w:rPr>
        <w:t xml:space="preserve">Goal and Scope </w:t>
      </w:r>
      <w:r w:rsidR="003F37C4" w:rsidRPr="003E6FAA">
        <w:rPr>
          <w:rFonts w:ascii="Times New Roman" w:hAnsi="Times New Roman" w:cs="Times New Roman"/>
          <w:b/>
          <w:bCs/>
          <w:color w:val="000000" w:themeColor="text1"/>
          <w:lang w:val="en-GB"/>
        </w:rPr>
        <w:t>phase</w:t>
      </w:r>
      <w:r w:rsidRPr="008C3716">
        <w:rPr>
          <w:rFonts w:ascii="Times New Roman" w:hAnsi="Times New Roman" w:cs="Times New Roman"/>
          <w:lang w:val="en-GB"/>
        </w:rPr>
        <w:t xml:space="preserve"> </w:t>
      </w:r>
      <w:r>
        <w:rPr>
          <w:rFonts w:ascii="Arial" w:hAnsi="Arial" w:cs="Arial"/>
          <w:lang w:val="en-GB"/>
        </w:rPr>
        <w:t>−</w:t>
      </w:r>
      <w:r>
        <w:rPr>
          <w:rFonts w:ascii="Times New Roman" w:hAnsi="Times New Roman" w:cs="Times New Roman"/>
          <w:lang w:val="en-GB"/>
        </w:rPr>
        <w:t xml:space="preserve"> </w:t>
      </w:r>
      <w:r w:rsidR="003F37C4" w:rsidRPr="008C3716">
        <w:rPr>
          <w:rFonts w:ascii="Times New Roman" w:hAnsi="Times New Roman" w:cs="Times New Roman"/>
          <w:color w:val="000000" w:themeColor="text1"/>
          <w:lang w:val="en-GB"/>
        </w:rPr>
        <w:t xml:space="preserve">The specific elements for organisational LCA are reporting organization, reporting flow, and system boundary. The system boundary determines the resource uses and emissions, and </w:t>
      </w:r>
      <w:r w:rsidR="003F37C4" w:rsidRPr="008C3716">
        <w:rPr>
          <w:rFonts w:ascii="Times New Roman" w:hAnsi="Times New Roman" w:cs="Times New Roman"/>
          <w:color w:val="000000" w:themeColor="text1"/>
          <w:lang w:val="en-GB"/>
        </w:rPr>
        <w:lastRenderedPageBreak/>
        <w:t>thus also impacts, categorised into direct (i.e., from sources that are owned or controlled by the reporting organization) and indirect (i.e., occur at sources owned or controlled by another organization, a supplier or the user/consumer, but are a consequence of the activities of the reporting organization)</w:t>
      </w:r>
      <w:r w:rsidR="00A17829">
        <w:rPr>
          <w:rFonts w:ascii="Times New Roman" w:hAnsi="Times New Roman" w:cs="Times New Roman"/>
          <w:color w:val="000000" w:themeColor="text1"/>
          <w:lang w:val="en-GB"/>
        </w:rPr>
        <w:t>.</w:t>
      </w:r>
    </w:p>
    <w:p w14:paraId="27614786" w14:textId="3E9B0435" w:rsidR="003F37C4" w:rsidRPr="008C3716" w:rsidRDefault="003E6FAA" w:rsidP="003F37C4">
      <w:pPr>
        <w:pStyle w:val="TextMonsanto"/>
        <w:spacing w:line="480" w:lineRule="auto"/>
        <w:rPr>
          <w:rFonts w:ascii="Times New Roman" w:hAnsi="Times New Roman" w:cs="Times New Roman"/>
          <w:color w:val="000000" w:themeColor="text1"/>
          <w:lang w:val="en-GB"/>
        </w:rPr>
      </w:pPr>
      <w:r w:rsidRPr="003E6FAA">
        <w:rPr>
          <w:rFonts w:ascii="Times New Roman" w:hAnsi="Times New Roman" w:cs="Times New Roman"/>
          <w:b/>
          <w:bCs/>
          <w:color w:val="000000" w:themeColor="text1"/>
          <w:lang w:val="en-GB"/>
        </w:rPr>
        <w:t>On the life cycle i</w:t>
      </w:r>
      <w:r w:rsidR="003F37C4" w:rsidRPr="003E6FAA">
        <w:rPr>
          <w:rFonts w:ascii="Times New Roman" w:hAnsi="Times New Roman" w:cs="Times New Roman"/>
          <w:b/>
          <w:bCs/>
          <w:color w:val="000000" w:themeColor="text1"/>
          <w:lang w:val="en-GB"/>
        </w:rPr>
        <w:t xml:space="preserve">nventory </w:t>
      </w:r>
      <w:r>
        <w:rPr>
          <w:rFonts w:ascii="Times New Roman" w:hAnsi="Times New Roman" w:cs="Times New Roman"/>
          <w:b/>
          <w:bCs/>
          <w:color w:val="000000" w:themeColor="text1"/>
          <w:lang w:val="en-GB"/>
        </w:rPr>
        <w:t xml:space="preserve">(LCI) </w:t>
      </w:r>
      <w:r w:rsidR="003F37C4" w:rsidRPr="003E6FAA">
        <w:rPr>
          <w:rFonts w:ascii="Times New Roman" w:hAnsi="Times New Roman" w:cs="Times New Roman"/>
          <w:b/>
          <w:bCs/>
          <w:color w:val="000000" w:themeColor="text1"/>
          <w:lang w:val="en-GB"/>
        </w:rPr>
        <w:t>phase</w:t>
      </w:r>
      <w:r w:rsidRPr="008C3716">
        <w:rPr>
          <w:rFonts w:ascii="Times New Roman" w:hAnsi="Times New Roman" w:cs="Times New Roman"/>
          <w:lang w:val="en-GB"/>
        </w:rPr>
        <w:t xml:space="preserve"> </w:t>
      </w:r>
      <w:r>
        <w:rPr>
          <w:rFonts w:ascii="Arial" w:hAnsi="Arial" w:cs="Arial"/>
          <w:lang w:val="en-GB"/>
        </w:rPr>
        <w:t>−</w:t>
      </w:r>
      <w:r>
        <w:rPr>
          <w:rFonts w:ascii="Times New Roman" w:hAnsi="Times New Roman" w:cs="Times New Roman"/>
          <w:lang w:val="en-GB"/>
        </w:rPr>
        <w:t xml:space="preserve"> </w:t>
      </w:r>
      <w:r w:rsidR="003F37C4" w:rsidRPr="008C3716">
        <w:rPr>
          <w:rFonts w:ascii="Times New Roman" w:hAnsi="Times New Roman" w:cs="Times New Roman"/>
          <w:color w:val="000000" w:themeColor="text1"/>
          <w:lang w:val="en-GB"/>
        </w:rPr>
        <w:t>The inventory should consist of all resource use and emissions necessary for the activities involved in the provision of the reporting flow and considering the system boundary definition. Data collection can be performed with a bottom-up approach (at the product level), a top-down approach (at the organization or facility level) or a hybrid approach. In general, better quality and more specific data can be expected for activities inside the reporting organization.</w:t>
      </w:r>
      <w:r w:rsidR="00572EAA" w:rsidRPr="00572EAA">
        <w:rPr>
          <w:rFonts w:ascii="Times New Roman" w:hAnsi="Times New Roman" w:cs="Times New Roman"/>
          <w:color w:val="000000" w:themeColor="text1"/>
          <w:lang w:val="en-GB"/>
        </w:rPr>
        <w:t xml:space="preserve"> </w:t>
      </w:r>
      <w:r w:rsidR="00572EAA">
        <w:rPr>
          <w:rFonts w:ascii="Times New Roman" w:hAnsi="Times New Roman" w:cs="Times New Roman"/>
          <w:color w:val="000000" w:themeColor="text1"/>
          <w:lang w:val="en-GB"/>
        </w:rPr>
        <w:t>See also Section S</w:t>
      </w:r>
      <w:r w:rsidR="00D42F1E">
        <w:rPr>
          <w:rFonts w:ascii="Times New Roman" w:hAnsi="Times New Roman" w:cs="Times New Roman"/>
          <w:color w:val="000000" w:themeColor="text1"/>
          <w:lang w:val="en-GB"/>
        </w:rPr>
        <w:t>2</w:t>
      </w:r>
      <w:r w:rsidR="00572EAA">
        <w:rPr>
          <w:rFonts w:ascii="Times New Roman" w:hAnsi="Times New Roman" w:cs="Times New Roman"/>
          <w:color w:val="000000" w:themeColor="text1"/>
          <w:lang w:val="en-GB"/>
        </w:rPr>
        <w:t>.2.</w:t>
      </w:r>
    </w:p>
    <w:p w14:paraId="5A01AC08" w14:textId="56E9F252" w:rsidR="003F37C4" w:rsidRPr="008C3716" w:rsidRDefault="003E6FAA" w:rsidP="003F37C4">
      <w:pPr>
        <w:pStyle w:val="TextMonsanto"/>
        <w:spacing w:line="480" w:lineRule="auto"/>
        <w:rPr>
          <w:rFonts w:ascii="Times New Roman" w:hAnsi="Times New Roman" w:cs="Times New Roman"/>
          <w:color w:val="000000" w:themeColor="text1"/>
          <w:lang w:val="en-GB"/>
        </w:rPr>
      </w:pPr>
      <w:r w:rsidRPr="003E6FAA">
        <w:rPr>
          <w:rFonts w:ascii="Times New Roman" w:hAnsi="Times New Roman" w:cs="Times New Roman"/>
          <w:b/>
          <w:bCs/>
          <w:color w:val="000000" w:themeColor="text1"/>
          <w:lang w:val="en-GB"/>
        </w:rPr>
        <w:t xml:space="preserve">On the </w:t>
      </w:r>
      <w:r>
        <w:rPr>
          <w:rFonts w:ascii="Times New Roman" w:hAnsi="Times New Roman" w:cs="Times New Roman"/>
          <w:b/>
          <w:bCs/>
          <w:color w:val="000000" w:themeColor="text1"/>
          <w:lang w:val="en-GB"/>
        </w:rPr>
        <w:t xml:space="preserve">life cycle </w:t>
      </w:r>
      <w:r w:rsidRPr="003E6FAA">
        <w:rPr>
          <w:rFonts w:ascii="Times New Roman" w:hAnsi="Times New Roman" w:cs="Times New Roman"/>
          <w:b/>
          <w:bCs/>
          <w:color w:val="000000" w:themeColor="text1"/>
          <w:lang w:val="en-GB"/>
        </w:rPr>
        <w:t>i</w:t>
      </w:r>
      <w:r w:rsidR="003F37C4" w:rsidRPr="003E6FAA">
        <w:rPr>
          <w:rFonts w:ascii="Times New Roman" w:hAnsi="Times New Roman" w:cs="Times New Roman"/>
          <w:b/>
          <w:bCs/>
          <w:color w:val="000000" w:themeColor="text1"/>
          <w:lang w:val="en-GB"/>
        </w:rPr>
        <w:t xml:space="preserve">mpact assessment </w:t>
      </w:r>
      <w:r>
        <w:rPr>
          <w:rFonts w:ascii="Times New Roman" w:hAnsi="Times New Roman" w:cs="Times New Roman"/>
          <w:b/>
          <w:bCs/>
          <w:color w:val="000000" w:themeColor="text1"/>
          <w:lang w:val="en-GB"/>
        </w:rPr>
        <w:t xml:space="preserve">(LCIA) </w:t>
      </w:r>
      <w:r w:rsidR="003F37C4" w:rsidRPr="003E6FAA">
        <w:rPr>
          <w:rFonts w:ascii="Times New Roman" w:hAnsi="Times New Roman" w:cs="Times New Roman"/>
          <w:b/>
          <w:bCs/>
          <w:color w:val="000000" w:themeColor="text1"/>
          <w:lang w:val="en-GB"/>
        </w:rPr>
        <w:t>phase</w:t>
      </w:r>
      <w:r w:rsidRPr="008C3716">
        <w:rPr>
          <w:rFonts w:ascii="Times New Roman" w:hAnsi="Times New Roman" w:cs="Times New Roman"/>
          <w:lang w:val="en-GB"/>
        </w:rPr>
        <w:t xml:space="preserve"> </w:t>
      </w:r>
      <w:r>
        <w:rPr>
          <w:rFonts w:ascii="Arial" w:hAnsi="Arial" w:cs="Arial"/>
          <w:lang w:val="en-GB"/>
        </w:rPr>
        <w:t>−</w:t>
      </w:r>
      <w:r>
        <w:rPr>
          <w:rFonts w:ascii="Times New Roman" w:hAnsi="Times New Roman" w:cs="Times New Roman"/>
          <w:lang w:val="en-GB"/>
        </w:rPr>
        <w:t xml:space="preserve"> </w:t>
      </w:r>
      <w:r w:rsidR="003F37C4" w:rsidRPr="008C3716">
        <w:rPr>
          <w:rFonts w:ascii="Times New Roman" w:hAnsi="Times New Roman" w:cs="Times New Roman"/>
          <w:color w:val="000000" w:themeColor="text1"/>
          <w:lang w:val="en-GB"/>
        </w:rPr>
        <w:t>The impact assessment is aligned with the recommendations and requirements for product LCA, and the same impact categories and methods can be applied. The selection of impact categories should reflect a comprehensive set of environmental issues related to the system being studied</w:t>
      </w:r>
      <w:r w:rsidR="00572EAA">
        <w:rPr>
          <w:rFonts w:ascii="Times New Roman" w:hAnsi="Times New Roman" w:cs="Times New Roman"/>
          <w:color w:val="000000" w:themeColor="text1"/>
          <w:lang w:val="en-GB"/>
        </w:rPr>
        <w:t>. See also Section S</w:t>
      </w:r>
      <w:r w:rsidR="00D42F1E">
        <w:rPr>
          <w:rFonts w:ascii="Times New Roman" w:hAnsi="Times New Roman" w:cs="Times New Roman"/>
          <w:color w:val="000000" w:themeColor="text1"/>
          <w:lang w:val="en-GB"/>
        </w:rPr>
        <w:t>2</w:t>
      </w:r>
      <w:r w:rsidR="00572EAA">
        <w:rPr>
          <w:rFonts w:ascii="Times New Roman" w:hAnsi="Times New Roman" w:cs="Times New Roman"/>
          <w:color w:val="000000" w:themeColor="text1"/>
          <w:lang w:val="en-GB"/>
        </w:rPr>
        <w:t>.3.</w:t>
      </w:r>
    </w:p>
    <w:p w14:paraId="53D81D17" w14:textId="2B308C15" w:rsidR="003F37C4" w:rsidRPr="008C3716" w:rsidRDefault="00A17829" w:rsidP="003F37C4">
      <w:pPr>
        <w:pStyle w:val="TextMonsanto"/>
        <w:spacing w:line="480" w:lineRule="auto"/>
        <w:rPr>
          <w:rFonts w:ascii="Times New Roman" w:hAnsi="Times New Roman" w:cs="Times New Roman"/>
          <w:color w:val="000000" w:themeColor="text1"/>
          <w:lang w:val="en-GB"/>
        </w:rPr>
      </w:pPr>
      <w:r w:rsidRPr="00A17829">
        <w:rPr>
          <w:rFonts w:ascii="Times New Roman" w:hAnsi="Times New Roman" w:cs="Times New Roman"/>
          <w:b/>
          <w:bCs/>
          <w:color w:val="000000" w:themeColor="text1"/>
          <w:lang w:val="en-GB"/>
        </w:rPr>
        <w:t>On t</w:t>
      </w:r>
      <w:r w:rsidR="003F37C4" w:rsidRPr="00A17829">
        <w:rPr>
          <w:rFonts w:ascii="Times New Roman" w:hAnsi="Times New Roman" w:cs="Times New Roman"/>
          <w:b/>
          <w:bCs/>
          <w:color w:val="000000" w:themeColor="text1"/>
          <w:lang w:val="en-GB"/>
        </w:rPr>
        <w:t>he interpretation phase</w:t>
      </w:r>
      <w:r w:rsidR="003E6FAA" w:rsidRPr="008C3716">
        <w:rPr>
          <w:rFonts w:ascii="Times New Roman" w:hAnsi="Times New Roman" w:cs="Times New Roman"/>
          <w:lang w:val="en-GB"/>
        </w:rPr>
        <w:t xml:space="preserve"> </w:t>
      </w:r>
      <w:r w:rsidR="003E6FAA">
        <w:rPr>
          <w:rFonts w:ascii="Arial" w:hAnsi="Arial" w:cs="Arial"/>
          <w:lang w:val="en-GB"/>
        </w:rPr>
        <w:t>−</w:t>
      </w:r>
      <w:r w:rsidR="003E6FAA">
        <w:rPr>
          <w:rFonts w:ascii="Times New Roman" w:hAnsi="Times New Roman" w:cs="Times New Roman"/>
          <w:lang w:val="en-GB"/>
        </w:rPr>
        <w:t xml:space="preserve"> </w:t>
      </w:r>
      <w:r w:rsidR="003F37C4" w:rsidRPr="008C3716">
        <w:rPr>
          <w:rFonts w:ascii="Times New Roman" w:hAnsi="Times New Roman" w:cs="Times New Roman"/>
          <w:color w:val="000000" w:themeColor="text1"/>
          <w:lang w:val="en-GB"/>
        </w:rPr>
        <w:t>Interpretation should indicate the consistency of the results according to all the aspects defined during the goal definition and scope phase.</w:t>
      </w:r>
      <w:r w:rsidR="00572EAA" w:rsidRPr="00572EAA">
        <w:rPr>
          <w:rFonts w:ascii="Times New Roman" w:hAnsi="Times New Roman" w:cs="Times New Roman"/>
          <w:color w:val="000000" w:themeColor="text1"/>
          <w:lang w:val="en-GB"/>
        </w:rPr>
        <w:t xml:space="preserve"> </w:t>
      </w:r>
      <w:r w:rsidR="00572EAA">
        <w:rPr>
          <w:rFonts w:ascii="Times New Roman" w:hAnsi="Times New Roman" w:cs="Times New Roman"/>
          <w:color w:val="000000" w:themeColor="text1"/>
          <w:lang w:val="en-GB"/>
        </w:rPr>
        <w:t>See also Section S</w:t>
      </w:r>
      <w:r w:rsidR="00D42F1E">
        <w:rPr>
          <w:rFonts w:ascii="Times New Roman" w:hAnsi="Times New Roman" w:cs="Times New Roman"/>
          <w:color w:val="000000" w:themeColor="text1"/>
          <w:lang w:val="en-GB"/>
        </w:rPr>
        <w:t>2</w:t>
      </w:r>
      <w:r w:rsidR="00572EAA">
        <w:rPr>
          <w:rFonts w:ascii="Times New Roman" w:hAnsi="Times New Roman" w:cs="Times New Roman"/>
          <w:color w:val="000000" w:themeColor="text1"/>
          <w:lang w:val="en-GB"/>
        </w:rPr>
        <w:t>.3.</w:t>
      </w:r>
    </w:p>
    <w:p w14:paraId="26BFBA53" w14:textId="716B329D" w:rsidR="00C64F34" w:rsidRPr="008C3716" w:rsidRDefault="003E6FAA" w:rsidP="00C64F34">
      <w:pPr>
        <w:pStyle w:val="FootnoteText"/>
        <w:spacing w:line="480" w:lineRule="auto"/>
        <w:rPr>
          <w:rFonts w:ascii="Times New Roman" w:hAnsi="Times New Roman" w:cs="Times New Roman"/>
          <w:lang w:val="en-GB"/>
        </w:rPr>
      </w:pPr>
      <w:r w:rsidRPr="003E6FAA">
        <w:rPr>
          <w:rFonts w:ascii="Times New Roman" w:hAnsi="Times New Roman" w:cs="Times New Roman"/>
          <w:b/>
          <w:bCs/>
          <w:sz w:val="22"/>
          <w:szCs w:val="22"/>
          <w:lang w:val="en-GB"/>
        </w:rPr>
        <w:t xml:space="preserve">On the </w:t>
      </w:r>
      <w:r>
        <w:rPr>
          <w:rFonts w:ascii="Times New Roman" w:hAnsi="Times New Roman" w:cs="Times New Roman"/>
          <w:b/>
          <w:bCs/>
          <w:sz w:val="22"/>
          <w:szCs w:val="22"/>
          <w:lang w:val="en-GB"/>
        </w:rPr>
        <w:t>Functional Unit</w:t>
      </w:r>
      <w:r w:rsidRPr="003E6FAA">
        <w:rPr>
          <w:rFonts w:ascii="Times New Roman" w:hAnsi="Times New Roman" w:cs="Times New Roman"/>
          <w:b/>
          <w:bCs/>
          <w:sz w:val="22"/>
          <w:szCs w:val="22"/>
          <w:lang w:val="en-GB"/>
        </w:rPr>
        <w:t xml:space="preserve"> (</w:t>
      </w:r>
      <w:r>
        <w:rPr>
          <w:rFonts w:ascii="Times New Roman" w:hAnsi="Times New Roman" w:cs="Times New Roman"/>
          <w:b/>
          <w:bCs/>
          <w:sz w:val="22"/>
          <w:szCs w:val="22"/>
          <w:lang w:val="en-GB"/>
        </w:rPr>
        <w:t>UF</w:t>
      </w:r>
      <w:r w:rsidRPr="003E6FAA">
        <w:rPr>
          <w:rFonts w:ascii="Times New Roman" w:hAnsi="Times New Roman" w:cs="Times New Roman"/>
          <w:b/>
          <w:bCs/>
          <w:sz w:val="22"/>
          <w:szCs w:val="22"/>
          <w:lang w:val="en-GB"/>
        </w:rPr>
        <w:t>)</w:t>
      </w:r>
      <w:r w:rsidRPr="008C3716">
        <w:rPr>
          <w:rFonts w:ascii="Times New Roman" w:hAnsi="Times New Roman" w:cs="Times New Roman"/>
          <w:sz w:val="22"/>
          <w:szCs w:val="22"/>
          <w:lang w:val="en-GB"/>
        </w:rPr>
        <w:t xml:space="preserve"> </w:t>
      </w:r>
      <w:r>
        <w:rPr>
          <w:rFonts w:ascii="Arial" w:hAnsi="Arial" w:cs="Arial"/>
          <w:sz w:val="22"/>
          <w:szCs w:val="22"/>
          <w:lang w:val="en-GB"/>
        </w:rPr>
        <w:t>−</w:t>
      </w:r>
      <w:r>
        <w:rPr>
          <w:rFonts w:ascii="Times New Roman" w:hAnsi="Times New Roman" w:cs="Times New Roman"/>
          <w:sz w:val="22"/>
          <w:szCs w:val="22"/>
          <w:lang w:val="en-GB"/>
        </w:rPr>
        <w:t xml:space="preserve"> </w:t>
      </w:r>
      <w:r w:rsidR="00C64F34" w:rsidRPr="008C3716">
        <w:rPr>
          <w:rFonts w:ascii="Times New Roman" w:hAnsi="Times New Roman" w:cs="Times New Roman"/>
          <w:sz w:val="22"/>
          <w:szCs w:val="22"/>
          <w:lang w:val="en-GB"/>
        </w:rPr>
        <w:t>The FU in LCA expresses the set of performances of a product system that are quantifiable with physical metrics (e.g., mass, volume, surface area, ...) and that can be used as a reference unit for the study, to which the value of inventory flows and all environmental impact indicators can be associated with. The UF basically defines what is “functional to the system” and will need to be studied. The entire LCA method is based on the UF concept, which is considered a “relative approach” because it is structured around a specific function</w:t>
      </w:r>
      <w:r w:rsidR="005A5C33">
        <w:rPr>
          <w:rStyle w:val="FootnoteReference"/>
          <w:rFonts w:ascii="Times New Roman" w:hAnsi="Times New Roman" w:cs="Times New Roman"/>
          <w:sz w:val="22"/>
          <w:szCs w:val="22"/>
          <w:lang w:val="en-GB"/>
        </w:rPr>
        <w:footnoteReference w:id="1"/>
      </w:r>
      <w:r w:rsidR="00C64F34" w:rsidRPr="008C3716">
        <w:rPr>
          <w:rFonts w:ascii="Times New Roman" w:hAnsi="Times New Roman" w:cs="Times New Roman"/>
          <w:sz w:val="22"/>
          <w:szCs w:val="22"/>
          <w:lang w:val="en-GB"/>
        </w:rPr>
        <w:t>. In other words, all calculations in LCA are assumed to be related to the UF selected for the study (e.g., the 75 cl bottle of wine distributed in the market and purchased by the consumer), since every input and output in the life cycle inventory analysis, as well as every environmental impact indicator, are (re)calculated with respect to the UF</w:t>
      </w:r>
      <w:r w:rsidR="00C64F34" w:rsidRPr="008C3716">
        <w:rPr>
          <w:rFonts w:ascii="Times New Roman" w:hAnsi="Times New Roman" w:cs="Times New Roman"/>
          <w:lang w:val="en-GB"/>
        </w:rPr>
        <w:t>.</w:t>
      </w:r>
    </w:p>
    <w:p w14:paraId="1016167B" w14:textId="50BDC4B3" w:rsidR="00C64F34" w:rsidRPr="008C3716" w:rsidRDefault="003E6FAA" w:rsidP="00C64F34">
      <w:pPr>
        <w:pStyle w:val="FootnoteText"/>
        <w:spacing w:line="480" w:lineRule="auto"/>
        <w:rPr>
          <w:rFonts w:ascii="Times New Roman" w:hAnsi="Times New Roman" w:cs="Times New Roman"/>
          <w:sz w:val="22"/>
          <w:szCs w:val="22"/>
          <w:lang w:val="en-GB"/>
        </w:rPr>
      </w:pPr>
      <w:r w:rsidRPr="003E6FAA">
        <w:rPr>
          <w:rFonts w:ascii="Times New Roman" w:hAnsi="Times New Roman" w:cs="Times New Roman"/>
          <w:b/>
          <w:bCs/>
          <w:sz w:val="22"/>
          <w:szCs w:val="22"/>
          <w:lang w:val="en-GB"/>
        </w:rPr>
        <w:t>On the Characterization Factor (CF)</w:t>
      </w:r>
      <w:r w:rsidRPr="008C3716">
        <w:rPr>
          <w:rFonts w:ascii="Times New Roman" w:hAnsi="Times New Roman" w:cs="Times New Roman"/>
          <w:sz w:val="22"/>
          <w:szCs w:val="22"/>
          <w:lang w:val="en-GB"/>
        </w:rPr>
        <w:t xml:space="preserve"> </w:t>
      </w:r>
      <w:r>
        <w:rPr>
          <w:rFonts w:ascii="Arial" w:hAnsi="Arial" w:cs="Arial"/>
          <w:sz w:val="22"/>
          <w:szCs w:val="22"/>
          <w:lang w:val="en-GB"/>
        </w:rPr>
        <w:t>−</w:t>
      </w:r>
      <w:r>
        <w:rPr>
          <w:rFonts w:ascii="Times New Roman" w:hAnsi="Times New Roman" w:cs="Times New Roman"/>
          <w:sz w:val="22"/>
          <w:szCs w:val="22"/>
          <w:lang w:val="en-GB"/>
        </w:rPr>
        <w:t xml:space="preserve"> </w:t>
      </w:r>
      <w:r w:rsidR="00C64F34" w:rsidRPr="008C3716">
        <w:rPr>
          <w:rFonts w:ascii="Times New Roman" w:hAnsi="Times New Roman" w:cs="Times New Roman"/>
          <w:sz w:val="22"/>
          <w:szCs w:val="22"/>
          <w:lang w:val="en-GB"/>
        </w:rPr>
        <w:t xml:space="preserve">In LCA, the </w:t>
      </w:r>
      <w:r w:rsidR="005A5C33">
        <w:rPr>
          <w:rFonts w:ascii="Times New Roman" w:hAnsi="Times New Roman" w:cs="Times New Roman"/>
          <w:sz w:val="22"/>
          <w:szCs w:val="22"/>
          <w:lang w:val="en-GB"/>
        </w:rPr>
        <w:t>CF</w:t>
      </w:r>
      <w:r w:rsidR="00C64F34" w:rsidRPr="008C3716">
        <w:rPr>
          <w:rFonts w:ascii="Times New Roman" w:hAnsi="Times New Roman" w:cs="Times New Roman"/>
          <w:sz w:val="22"/>
          <w:szCs w:val="22"/>
          <w:lang w:val="en-GB"/>
        </w:rPr>
        <w:t xml:space="preserve"> is a parameter derived from an impact characterization model that is applied to convert a life cycle inventory result into the common unit of the impact category indicator. According to the ISO 14044:2006, the ‘Characterization’ is a key step in the LCIA as it is used to calculate the magnitude of the contribution of each input and output, classified as an LCI result, to their </w:t>
      </w:r>
      <w:r w:rsidR="00C64F34" w:rsidRPr="008C3716">
        <w:rPr>
          <w:rFonts w:ascii="Times New Roman" w:hAnsi="Times New Roman" w:cs="Times New Roman"/>
          <w:sz w:val="22"/>
          <w:szCs w:val="22"/>
          <w:lang w:val="en-GB"/>
        </w:rPr>
        <w:lastRenderedPageBreak/>
        <w:t xml:space="preserve">respective environmental footprint impact categories by aggregating the contributions within each category. This requires a linear multiplication of the inventory data with pre-calculated characterization factors for each reference item and impact category involved in the calculation. For example, </w:t>
      </w:r>
      <w:proofErr w:type="gramStart"/>
      <w:r w:rsidR="00C64F34" w:rsidRPr="008C3716">
        <w:rPr>
          <w:rFonts w:ascii="Times New Roman" w:hAnsi="Times New Roman" w:cs="Times New Roman"/>
          <w:sz w:val="22"/>
          <w:szCs w:val="22"/>
          <w:lang w:val="en-GB"/>
        </w:rPr>
        <w:t>with regard to</w:t>
      </w:r>
      <w:proofErr w:type="gramEnd"/>
      <w:r w:rsidR="00C64F34" w:rsidRPr="008C3716">
        <w:rPr>
          <w:rFonts w:ascii="Times New Roman" w:hAnsi="Times New Roman" w:cs="Times New Roman"/>
          <w:sz w:val="22"/>
          <w:szCs w:val="22"/>
          <w:lang w:val="en-GB"/>
        </w:rPr>
        <w:t xml:space="preserve"> the Climate Change impact category, which reflects the Carbon Footprint, the reference element is CO</w:t>
      </w:r>
      <w:r w:rsidR="00C64F34" w:rsidRPr="008C3716">
        <w:rPr>
          <w:rFonts w:ascii="Times New Roman" w:hAnsi="Times New Roman" w:cs="Times New Roman"/>
          <w:sz w:val="22"/>
          <w:szCs w:val="22"/>
          <w:vertAlign w:val="subscript"/>
          <w:lang w:val="en-GB"/>
        </w:rPr>
        <w:t>2</w:t>
      </w:r>
      <w:r w:rsidR="00C64F34" w:rsidRPr="008C3716">
        <w:rPr>
          <w:rFonts w:ascii="Times New Roman" w:hAnsi="Times New Roman" w:cs="Times New Roman"/>
          <w:sz w:val="22"/>
          <w:szCs w:val="22"/>
          <w:lang w:val="en-GB"/>
        </w:rPr>
        <w:t xml:space="preserve"> emitted to air and the unit of measurement of the impact indicator is the mass of carbon dioxide equivalent. In other words, in the characterization of Carbon Footprint, all GHGs released to the air as a result of anthropogenic activities and contributing to climate change, such as emissions of CO</w:t>
      </w:r>
      <w:r w:rsidR="00C64F34" w:rsidRPr="008C3716">
        <w:rPr>
          <w:rFonts w:ascii="Times New Roman" w:hAnsi="Times New Roman" w:cs="Times New Roman"/>
          <w:sz w:val="22"/>
          <w:szCs w:val="22"/>
          <w:vertAlign w:val="subscript"/>
          <w:lang w:val="en-GB"/>
        </w:rPr>
        <w:t>2</w:t>
      </w:r>
      <w:r w:rsidR="00C64F34" w:rsidRPr="008C3716">
        <w:rPr>
          <w:rFonts w:ascii="Times New Roman" w:hAnsi="Times New Roman" w:cs="Times New Roman"/>
          <w:sz w:val="22"/>
          <w:szCs w:val="22"/>
          <w:lang w:val="en-GB"/>
        </w:rPr>
        <w:t>, CH</w:t>
      </w:r>
      <w:r w:rsidR="00C64F34" w:rsidRPr="008C3716">
        <w:rPr>
          <w:rFonts w:ascii="Times New Roman" w:hAnsi="Times New Roman" w:cs="Times New Roman"/>
          <w:sz w:val="22"/>
          <w:szCs w:val="22"/>
          <w:vertAlign w:val="subscript"/>
          <w:lang w:val="en-GB"/>
        </w:rPr>
        <w:t>4</w:t>
      </w:r>
      <w:r w:rsidR="00C64F34" w:rsidRPr="008C3716">
        <w:rPr>
          <w:rFonts w:ascii="Times New Roman" w:hAnsi="Times New Roman" w:cs="Times New Roman"/>
          <w:sz w:val="22"/>
          <w:szCs w:val="22"/>
          <w:lang w:val="en-GB"/>
        </w:rPr>
        <w:t>, N</w:t>
      </w:r>
      <w:r w:rsidR="00C64F34" w:rsidRPr="008C3716">
        <w:rPr>
          <w:rFonts w:ascii="Times New Roman" w:hAnsi="Times New Roman" w:cs="Times New Roman"/>
          <w:sz w:val="22"/>
          <w:szCs w:val="22"/>
          <w:vertAlign w:val="subscript"/>
          <w:lang w:val="en-GB"/>
        </w:rPr>
        <w:t>2</w:t>
      </w:r>
      <w:r w:rsidR="00C64F34" w:rsidRPr="008C3716">
        <w:rPr>
          <w:rFonts w:ascii="Times New Roman" w:hAnsi="Times New Roman" w:cs="Times New Roman"/>
          <w:sz w:val="22"/>
          <w:szCs w:val="22"/>
          <w:lang w:val="en-GB"/>
        </w:rPr>
        <w:t>O, etc., are accounted for with a single common indicator (in this case, referred to as the Carbon Footprint). For each GHG (LCI model output), a specific characterization factor has been developed to reflect its impact to the climate change and relative importance with respect to CO</w:t>
      </w:r>
      <w:r w:rsidR="00C64F34" w:rsidRPr="008C3716">
        <w:rPr>
          <w:rFonts w:ascii="Times New Roman" w:hAnsi="Times New Roman" w:cs="Times New Roman"/>
          <w:sz w:val="22"/>
          <w:szCs w:val="22"/>
          <w:vertAlign w:val="subscript"/>
          <w:lang w:val="en-GB"/>
        </w:rPr>
        <w:t>2</w:t>
      </w:r>
      <w:r w:rsidR="00C64F34" w:rsidRPr="008C3716">
        <w:rPr>
          <w:rFonts w:ascii="Times New Roman" w:hAnsi="Times New Roman" w:cs="Times New Roman"/>
          <w:sz w:val="22"/>
          <w:szCs w:val="22"/>
          <w:lang w:val="en-GB"/>
        </w:rPr>
        <w:t>. For the carbon footprint, the characterization factors are expressed as global warming potentials (GWPs) over a variable time horizon, typically 100 years (GWP</w:t>
      </w:r>
      <w:r w:rsidR="00C64F34" w:rsidRPr="008C3716">
        <w:rPr>
          <w:rFonts w:ascii="Times New Roman" w:hAnsi="Times New Roman" w:cs="Times New Roman"/>
          <w:sz w:val="22"/>
          <w:szCs w:val="22"/>
          <w:vertAlign w:val="subscript"/>
          <w:lang w:val="en-GB"/>
        </w:rPr>
        <w:t>100</w:t>
      </w:r>
      <w:r w:rsidR="00C64F34" w:rsidRPr="008C3716">
        <w:rPr>
          <w:rFonts w:ascii="Times New Roman" w:hAnsi="Times New Roman" w:cs="Times New Roman"/>
          <w:sz w:val="22"/>
          <w:szCs w:val="22"/>
          <w:lang w:val="en-GB"/>
        </w:rPr>
        <w:t>), and are measured in kg CO</w:t>
      </w:r>
      <w:r w:rsidR="00C64F34" w:rsidRPr="008C3716">
        <w:rPr>
          <w:rFonts w:ascii="Times New Roman" w:hAnsi="Times New Roman" w:cs="Times New Roman"/>
          <w:sz w:val="22"/>
          <w:szCs w:val="22"/>
          <w:vertAlign w:val="subscript"/>
          <w:lang w:val="en-GB"/>
        </w:rPr>
        <w:t>2</w:t>
      </w:r>
      <w:r w:rsidR="00C64F34" w:rsidRPr="008C3716">
        <w:rPr>
          <w:rFonts w:ascii="Times New Roman" w:hAnsi="Times New Roman" w:cs="Times New Roman"/>
          <w:sz w:val="22"/>
          <w:szCs w:val="22"/>
          <w:lang w:val="en-GB"/>
        </w:rPr>
        <w:t>-eq. per kg of emission (e.g., the GWP of methane is 28 kg CO</w:t>
      </w:r>
      <w:r w:rsidR="00C64F34" w:rsidRPr="008C3716">
        <w:rPr>
          <w:rFonts w:ascii="Times New Roman" w:hAnsi="Times New Roman" w:cs="Times New Roman"/>
          <w:sz w:val="22"/>
          <w:szCs w:val="22"/>
          <w:vertAlign w:val="subscript"/>
          <w:lang w:val="en-GB"/>
        </w:rPr>
        <w:t>2</w:t>
      </w:r>
      <w:r w:rsidR="00C64F34" w:rsidRPr="008C3716">
        <w:rPr>
          <w:rFonts w:ascii="Times New Roman" w:hAnsi="Times New Roman" w:cs="Times New Roman"/>
          <w:sz w:val="22"/>
          <w:szCs w:val="22"/>
          <w:lang w:val="en-GB"/>
        </w:rPr>
        <w:t>-eq./kg CH</w:t>
      </w:r>
      <w:r w:rsidR="00C64F34" w:rsidRPr="008C3716">
        <w:rPr>
          <w:rFonts w:ascii="Times New Roman" w:hAnsi="Times New Roman" w:cs="Times New Roman"/>
          <w:sz w:val="22"/>
          <w:szCs w:val="22"/>
          <w:vertAlign w:val="subscript"/>
          <w:lang w:val="en-GB"/>
        </w:rPr>
        <w:t>4</w:t>
      </w:r>
      <w:r w:rsidR="00C64F34" w:rsidRPr="008C3716">
        <w:rPr>
          <w:rFonts w:ascii="Times New Roman" w:hAnsi="Times New Roman" w:cs="Times New Roman"/>
          <w:sz w:val="22"/>
          <w:szCs w:val="22"/>
          <w:lang w:val="en-GB"/>
        </w:rPr>
        <w:t>; the GWP of nitrous oxide is 265 kg CO</w:t>
      </w:r>
      <w:r w:rsidR="00C64F34" w:rsidRPr="008C3716">
        <w:rPr>
          <w:rFonts w:ascii="Times New Roman" w:hAnsi="Times New Roman" w:cs="Times New Roman"/>
          <w:sz w:val="22"/>
          <w:szCs w:val="22"/>
          <w:vertAlign w:val="subscript"/>
          <w:lang w:val="en-GB"/>
        </w:rPr>
        <w:t>2</w:t>
      </w:r>
      <w:r w:rsidR="00C64F34" w:rsidRPr="008C3716">
        <w:rPr>
          <w:rFonts w:ascii="Times New Roman" w:hAnsi="Times New Roman" w:cs="Times New Roman"/>
          <w:sz w:val="22"/>
          <w:szCs w:val="22"/>
          <w:lang w:val="en-GB"/>
        </w:rPr>
        <w:t>-eq./kg N</w:t>
      </w:r>
      <w:r w:rsidR="00C64F34" w:rsidRPr="008C3716">
        <w:rPr>
          <w:rFonts w:ascii="Times New Roman" w:hAnsi="Times New Roman" w:cs="Times New Roman"/>
          <w:sz w:val="22"/>
          <w:szCs w:val="22"/>
          <w:vertAlign w:val="subscript"/>
          <w:lang w:val="en-GB"/>
        </w:rPr>
        <w:t>2</w:t>
      </w:r>
      <w:r w:rsidR="00C64F34" w:rsidRPr="008C3716">
        <w:rPr>
          <w:rFonts w:ascii="Times New Roman" w:hAnsi="Times New Roman" w:cs="Times New Roman"/>
          <w:sz w:val="22"/>
          <w:szCs w:val="22"/>
          <w:lang w:val="en-GB"/>
        </w:rPr>
        <w:t>O; etc.; of course, the GWP of CO</w:t>
      </w:r>
      <w:r w:rsidR="00C64F34" w:rsidRPr="008C3716">
        <w:rPr>
          <w:rFonts w:ascii="Times New Roman" w:hAnsi="Times New Roman" w:cs="Times New Roman"/>
          <w:sz w:val="22"/>
          <w:szCs w:val="22"/>
          <w:vertAlign w:val="subscript"/>
          <w:lang w:val="en-GB"/>
        </w:rPr>
        <w:t>2</w:t>
      </w:r>
      <w:r w:rsidR="00C64F34" w:rsidRPr="008C3716">
        <w:rPr>
          <w:rFonts w:ascii="Times New Roman" w:hAnsi="Times New Roman" w:cs="Times New Roman"/>
          <w:sz w:val="22"/>
          <w:szCs w:val="22"/>
          <w:lang w:val="en-GB"/>
        </w:rPr>
        <w:t xml:space="preserve"> = 1). The same calculation principle applies to each substance (in input or output) and corresponding impact category indicator against which the substance can generate an environmental effect.</w:t>
      </w:r>
    </w:p>
    <w:p w14:paraId="21287B37" w14:textId="77777777" w:rsidR="003E6FAA" w:rsidRDefault="003E6FAA" w:rsidP="008D6EFE">
      <w:pPr>
        <w:pStyle w:val="FootnoteText"/>
        <w:spacing w:line="480" w:lineRule="auto"/>
        <w:jc w:val="center"/>
        <w:rPr>
          <w:rFonts w:ascii="Times New Roman" w:hAnsi="Times New Roman" w:cs="Times New Roman"/>
          <w:b/>
          <w:bCs/>
          <w:lang w:val="en-GB"/>
        </w:rPr>
        <w:sectPr w:rsidR="003E6FAA" w:rsidSect="00A02F82">
          <w:pgSz w:w="11906" w:h="16838" w:code="9"/>
          <w:pgMar w:top="1134" w:right="1134" w:bottom="1134" w:left="1134" w:header="709" w:footer="709" w:gutter="0"/>
          <w:lnNumType w:countBy="1" w:restart="continuous"/>
          <w:cols w:space="708"/>
          <w:docGrid w:linePitch="360"/>
        </w:sectPr>
      </w:pPr>
    </w:p>
    <w:p w14:paraId="5D954B8E" w14:textId="55CB2BC9" w:rsidR="00C64F34" w:rsidRPr="008C3716" w:rsidRDefault="00C64F34" w:rsidP="008D6EFE">
      <w:pPr>
        <w:pStyle w:val="FootnoteText"/>
        <w:spacing w:line="480" w:lineRule="auto"/>
        <w:jc w:val="center"/>
        <w:rPr>
          <w:rFonts w:ascii="Times New Roman" w:hAnsi="Times New Roman" w:cs="Times New Roman"/>
          <w:sz w:val="24"/>
          <w:szCs w:val="24"/>
          <w:lang w:val="en-GB"/>
        </w:rPr>
      </w:pPr>
      <w:r w:rsidRPr="008C3716">
        <w:rPr>
          <w:rFonts w:ascii="Times New Roman" w:hAnsi="Times New Roman" w:cs="Times New Roman"/>
          <w:b/>
          <w:bCs/>
          <w:lang w:val="en-GB"/>
        </w:rPr>
        <w:lastRenderedPageBreak/>
        <w:t xml:space="preserve">Table </w:t>
      </w:r>
      <w:r w:rsidR="008C3716" w:rsidRPr="008C3716">
        <w:rPr>
          <w:rFonts w:ascii="Times New Roman" w:hAnsi="Times New Roman" w:cs="Times New Roman"/>
          <w:b/>
          <w:bCs/>
          <w:lang w:val="en-GB"/>
        </w:rPr>
        <w:t>S1</w:t>
      </w:r>
      <w:r w:rsidRPr="008C3716">
        <w:rPr>
          <w:rFonts w:ascii="Times New Roman" w:hAnsi="Times New Roman" w:cs="Times New Roman"/>
          <w:b/>
          <w:bCs/>
          <w:lang w:val="en-GB"/>
        </w:rPr>
        <w:t xml:space="preserve"> </w:t>
      </w:r>
      <w:r w:rsidRPr="008C3716">
        <w:rPr>
          <w:rFonts w:ascii="Times New Roman" w:hAnsi="Times New Roman" w:cs="Times New Roman"/>
          <w:lang w:val="en-GB"/>
        </w:rPr>
        <w:t>Impact category indicators selected for this study</w:t>
      </w:r>
      <w:r w:rsidRPr="008C3716">
        <w:rPr>
          <w:rFonts w:ascii="Times New Roman" w:hAnsi="Times New Roman" w:cs="Times New Roman"/>
          <w:vertAlign w:val="superscript"/>
          <w:lang w:val="en-GB"/>
        </w:rPr>
        <w:t>#</w:t>
      </w:r>
      <w:r w:rsidRPr="008C3716">
        <w:rPr>
          <w:rFonts w:ascii="Times New Roman" w:hAnsi="Times New Roman" w:cs="Times New Roman"/>
          <w:lang w:val="en-GB"/>
        </w:rPr>
        <w:t xml:space="preserve">. Further details on the evaluation of the Water Footprint are provided in Table </w:t>
      </w:r>
      <w:r w:rsidR="005A5C33">
        <w:rPr>
          <w:rFonts w:ascii="Times New Roman" w:hAnsi="Times New Roman" w:cs="Times New Roman"/>
          <w:lang w:val="en-GB"/>
        </w:rPr>
        <w:t>S1.</w:t>
      </w:r>
      <w:r w:rsidRPr="008C3716">
        <w:rPr>
          <w:rFonts w:ascii="Times New Roman" w:hAnsi="Times New Roman" w:cs="Times New Roman"/>
          <w:lang w:val="en-GB"/>
        </w:rPr>
        <w:t>2.</w:t>
      </w:r>
    </w:p>
    <w:tbl>
      <w:tblPr>
        <w:tblW w:w="5000" w:type="pct"/>
        <w:tblCellMar>
          <w:left w:w="28" w:type="dxa"/>
          <w:right w:w="28" w:type="dxa"/>
        </w:tblCellMar>
        <w:tblLook w:val="04A0" w:firstRow="1" w:lastRow="0" w:firstColumn="1" w:lastColumn="0" w:noHBand="0" w:noVBand="1"/>
      </w:tblPr>
      <w:tblGrid>
        <w:gridCol w:w="1345"/>
        <w:gridCol w:w="936"/>
        <w:gridCol w:w="1245"/>
        <w:gridCol w:w="801"/>
        <w:gridCol w:w="5301"/>
      </w:tblGrid>
      <w:tr w:rsidR="00C64F34" w:rsidRPr="008C3716" w14:paraId="3ECEDB72" w14:textId="77777777" w:rsidTr="005A5C33">
        <w:trPr>
          <w:trHeight w:val="768"/>
          <w:tblHeader/>
        </w:trPr>
        <w:tc>
          <w:tcPr>
            <w:tcW w:w="582"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2EB0E3AB" w14:textId="77777777" w:rsidR="00C64F34" w:rsidRPr="005A5C33" w:rsidRDefault="00C64F34" w:rsidP="00CD1D2E">
            <w:pPr>
              <w:spacing w:line="240" w:lineRule="auto"/>
              <w:jc w:val="left"/>
              <w:rPr>
                <w:rFonts w:ascii="Times New Roman" w:hAnsi="Times New Roman" w:cs="Times New Roman"/>
                <w:b/>
                <w:bCs/>
                <w:sz w:val="20"/>
                <w:szCs w:val="20"/>
                <w:lang w:eastAsia="en-IE"/>
              </w:rPr>
            </w:pPr>
            <w:r w:rsidRPr="005A5C33">
              <w:rPr>
                <w:rFonts w:ascii="Times New Roman" w:hAnsi="Times New Roman" w:cs="Times New Roman"/>
                <w:b/>
                <w:bCs/>
                <w:sz w:val="20"/>
                <w:szCs w:val="20"/>
                <w:lang w:eastAsia="en-IE"/>
              </w:rPr>
              <w:t>Environmental impact category</w:t>
            </w:r>
          </w:p>
        </w:tc>
        <w:tc>
          <w:tcPr>
            <w:tcW w:w="974" w:type="pct"/>
            <w:gridSpan w:val="2"/>
            <w:tcBorders>
              <w:top w:val="single" w:sz="4" w:space="0" w:color="auto"/>
              <w:left w:val="nil"/>
              <w:bottom w:val="single" w:sz="4" w:space="0" w:color="auto"/>
              <w:right w:val="single" w:sz="4" w:space="0" w:color="auto"/>
            </w:tcBorders>
            <w:shd w:val="clear" w:color="auto" w:fill="C5E0B3" w:themeFill="accent6" w:themeFillTint="66"/>
            <w:vAlign w:val="center"/>
          </w:tcPr>
          <w:p w14:paraId="531AD190" w14:textId="77777777" w:rsidR="00C64F34" w:rsidRPr="005A5C33" w:rsidRDefault="00C64F34" w:rsidP="00CD1D2E">
            <w:pPr>
              <w:spacing w:line="240" w:lineRule="auto"/>
              <w:jc w:val="left"/>
              <w:rPr>
                <w:rFonts w:ascii="Times New Roman" w:hAnsi="Times New Roman" w:cs="Times New Roman"/>
                <w:b/>
                <w:bCs/>
                <w:sz w:val="20"/>
                <w:szCs w:val="20"/>
                <w:lang w:eastAsia="en-IE"/>
              </w:rPr>
            </w:pPr>
            <w:r w:rsidRPr="005A5C33">
              <w:rPr>
                <w:rFonts w:ascii="Times New Roman" w:hAnsi="Times New Roman" w:cs="Times New Roman"/>
                <w:b/>
                <w:bCs/>
                <w:sz w:val="20"/>
                <w:szCs w:val="20"/>
                <w:lang w:eastAsia="en-IE"/>
              </w:rPr>
              <w:t>Impact characterisation indicator</w:t>
            </w:r>
          </w:p>
        </w:tc>
        <w:tc>
          <w:tcPr>
            <w:tcW w:w="341"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14:paraId="46E6753A" w14:textId="77777777" w:rsidR="00C64F34" w:rsidRPr="005A5C33" w:rsidRDefault="00C64F34" w:rsidP="00CD1D2E">
            <w:pPr>
              <w:spacing w:line="240" w:lineRule="auto"/>
              <w:jc w:val="center"/>
              <w:rPr>
                <w:rFonts w:ascii="Times New Roman" w:hAnsi="Times New Roman" w:cs="Times New Roman"/>
                <w:b/>
                <w:bCs/>
                <w:sz w:val="20"/>
                <w:szCs w:val="20"/>
                <w:lang w:eastAsia="en-IE"/>
              </w:rPr>
            </w:pPr>
            <w:r w:rsidRPr="005A5C33">
              <w:rPr>
                <w:rFonts w:ascii="Times New Roman" w:hAnsi="Times New Roman" w:cs="Times New Roman"/>
                <w:b/>
                <w:bCs/>
                <w:sz w:val="20"/>
                <w:szCs w:val="20"/>
                <w:lang w:eastAsia="en-IE"/>
              </w:rPr>
              <w:t>Unit</w:t>
            </w:r>
          </w:p>
        </w:tc>
        <w:tc>
          <w:tcPr>
            <w:tcW w:w="3103"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14:paraId="122C0BD6" w14:textId="77777777" w:rsidR="00C64F34" w:rsidRPr="005A5C33" w:rsidRDefault="00C64F34" w:rsidP="00CD1D2E">
            <w:pPr>
              <w:spacing w:line="240" w:lineRule="auto"/>
              <w:rPr>
                <w:rFonts w:ascii="Times New Roman" w:hAnsi="Times New Roman" w:cs="Times New Roman"/>
                <w:b/>
                <w:bCs/>
                <w:sz w:val="20"/>
                <w:szCs w:val="20"/>
                <w:lang w:eastAsia="en-IE"/>
              </w:rPr>
            </w:pPr>
            <w:r w:rsidRPr="005A5C33">
              <w:rPr>
                <w:rFonts w:ascii="Times New Roman" w:hAnsi="Times New Roman" w:cs="Times New Roman"/>
                <w:b/>
                <w:bCs/>
                <w:sz w:val="20"/>
                <w:szCs w:val="20"/>
                <w:lang w:eastAsia="en-IE"/>
              </w:rPr>
              <w:t>Supplementary information</w:t>
            </w:r>
          </w:p>
        </w:tc>
      </w:tr>
      <w:tr w:rsidR="00C64F34" w:rsidRPr="008C3716" w14:paraId="69AD4178" w14:textId="77777777" w:rsidTr="00CD1D2E">
        <w:trPr>
          <w:trHeight w:val="20"/>
        </w:trPr>
        <w:tc>
          <w:tcPr>
            <w:tcW w:w="582" w:type="pct"/>
            <w:tcBorders>
              <w:top w:val="nil"/>
              <w:left w:val="single" w:sz="4" w:space="0" w:color="auto"/>
              <w:bottom w:val="single" w:sz="4" w:space="0" w:color="auto"/>
              <w:right w:val="single" w:sz="4" w:space="0" w:color="auto"/>
            </w:tcBorders>
            <w:vAlign w:val="center"/>
            <w:hideMark/>
          </w:tcPr>
          <w:p w14:paraId="20C581ED" w14:textId="77777777" w:rsidR="00C64F34" w:rsidRPr="008C3716" w:rsidRDefault="00C64F34" w:rsidP="00CD1D2E">
            <w:pPr>
              <w:spacing w:line="240" w:lineRule="auto"/>
              <w:jc w:val="left"/>
              <w:rPr>
                <w:rFonts w:ascii="Times New Roman" w:hAnsi="Times New Roman" w:cs="Times New Roman"/>
                <w:sz w:val="20"/>
                <w:szCs w:val="20"/>
                <w:lang w:eastAsia="en-IE"/>
              </w:rPr>
            </w:pPr>
            <w:bookmarkStart w:id="0" w:name="_Hlk169783532"/>
            <w:r w:rsidRPr="008C3716">
              <w:rPr>
                <w:rFonts w:ascii="Times New Roman" w:hAnsi="Times New Roman" w:cs="Times New Roman"/>
                <w:sz w:val="20"/>
                <w:szCs w:val="20"/>
                <w:lang w:eastAsia="en-IE"/>
              </w:rPr>
              <w:t>Carbon Footprint</w:t>
            </w:r>
          </w:p>
        </w:tc>
        <w:tc>
          <w:tcPr>
            <w:tcW w:w="341" w:type="pct"/>
            <w:tcBorders>
              <w:top w:val="nil"/>
              <w:left w:val="nil"/>
              <w:bottom w:val="single" w:sz="4" w:space="0" w:color="auto"/>
              <w:right w:val="nil"/>
            </w:tcBorders>
            <w:vAlign w:val="center"/>
          </w:tcPr>
          <w:p w14:paraId="54162EF2" w14:textId="77777777" w:rsidR="00C64F34" w:rsidRPr="008C3716" w:rsidRDefault="00C64F34" w:rsidP="00CD1D2E">
            <w:pPr>
              <w:spacing w:line="240" w:lineRule="auto"/>
              <w:jc w:val="left"/>
              <w:rPr>
                <w:rFonts w:ascii="Times New Roman" w:hAnsi="Times New Roman" w:cs="Times New Roman"/>
                <w:sz w:val="20"/>
                <w:szCs w:val="20"/>
                <w:lang w:eastAsia="en-IE"/>
              </w:rPr>
            </w:pPr>
            <w:r w:rsidRPr="008C3716">
              <w:rPr>
                <w:rFonts w:ascii="Times New Roman" w:hAnsi="Times New Roman" w:cs="Times New Roman"/>
                <w:noProof/>
                <w:sz w:val="20"/>
                <w:szCs w:val="20"/>
                <w:lang w:eastAsia="en-IE"/>
              </w:rPr>
              <w:drawing>
                <wp:inline distT="0" distB="0" distL="0" distR="0" wp14:anchorId="52E3FAE1" wp14:editId="0F1C6142">
                  <wp:extent cx="552478" cy="529474"/>
                  <wp:effectExtent l="0" t="0" r="0" b="4445"/>
                  <wp:docPr id="5" name="Picture 4">
                    <a:extLst xmlns:a="http://schemas.openxmlformats.org/drawingml/2006/main">
                      <a:ext uri="{FF2B5EF4-FFF2-40B4-BE49-F238E27FC236}">
                        <a16:creationId xmlns:a16="http://schemas.microsoft.com/office/drawing/2014/main" id="{52B6B9CA-1839-BBB9-44BC-C76CD5C644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52B6B9CA-1839-BBB9-44BC-C76CD5C64492}"/>
                              </a:ext>
                            </a:extLst>
                          </pic:cNvPr>
                          <pic:cNvPicPr>
                            <a:picLocks noChangeAspect="1"/>
                          </pic:cNvPicPr>
                        </pic:nvPicPr>
                        <pic:blipFill rotWithShape="1">
                          <a:blip r:embed="rId9"/>
                          <a:srcRect b="90015"/>
                          <a:stretch/>
                        </pic:blipFill>
                        <pic:spPr>
                          <a:xfrm>
                            <a:off x="0" y="0"/>
                            <a:ext cx="552478" cy="529474"/>
                          </a:xfrm>
                          <a:prstGeom prst="rect">
                            <a:avLst/>
                          </a:prstGeom>
                        </pic:spPr>
                      </pic:pic>
                    </a:graphicData>
                  </a:graphic>
                </wp:inline>
              </w:drawing>
            </w:r>
          </w:p>
        </w:tc>
        <w:tc>
          <w:tcPr>
            <w:tcW w:w="633" w:type="pct"/>
            <w:tcBorders>
              <w:top w:val="nil"/>
              <w:left w:val="nil"/>
              <w:bottom w:val="single" w:sz="4" w:space="0" w:color="auto"/>
              <w:right w:val="single" w:sz="4" w:space="0" w:color="auto"/>
            </w:tcBorders>
            <w:vAlign w:val="center"/>
            <w:hideMark/>
          </w:tcPr>
          <w:p w14:paraId="7213EF8C" w14:textId="77777777" w:rsidR="00C64F34" w:rsidRPr="008C3716" w:rsidRDefault="00C64F34" w:rsidP="00CD1D2E">
            <w:pPr>
              <w:spacing w:line="240" w:lineRule="auto"/>
              <w:jc w:val="left"/>
              <w:rPr>
                <w:rFonts w:ascii="Times New Roman" w:hAnsi="Times New Roman" w:cs="Times New Roman"/>
                <w:sz w:val="20"/>
                <w:szCs w:val="20"/>
                <w:lang w:eastAsia="en-IE"/>
              </w:rPr>
            </w:pPr>
            <w:r w:rsidRPr="008C3716">
              <w:rPr>
                <w:rFonts w:ascii="Times New Roman" w:hAnsi="Times New Roman" w:cs="Times New Roman"/>
                <w:sz w:val="20"/>
                <w:szCs w:val="20"/>
                <w:lang w:eastAsia="en-IE"/>
              </w:rPr>
              <w:t>Radiative forcing as Global Warming Potential (GWP)</w:t>
            </w:r>
            <w:r w:rsidRPr="008C3716">
              <w:rPr>
                <w:rStyle w:val="FootnoteReference"/>
                <w:rFonts w:ascii="Times New Roman" w:eastAsia="Times New Roman" w:hAnsi="Times New Roman" w:cs="Times New Roman"/>
                <w:sz w:val="20"/>
                <w:szCs w:val="20"/>
                <w:lang w:eastAsia="en-IE"/>
              </w:rPr>
              <w:footnoteReference w:id="2"/>
            </w:r>
          </w:p>
        </w:tc>
        <w:tc>
          <w:tcPr>
            <w:tcW w:w="341" w:type="pct"/>
            <w:tcBorders>
              <w:top w:val="nil"/>
              <w:left w:val="nil"/>
              <w:bottom w:val="single" w:sz="4" w:space="0" w:color="auto"/>
              <w:right w:val="single" w:sz="4" w:space="0" w:color="auto"/>
            </w:tcBorders>
            <w:vAlign w:val="center"/>
            <w:hideMark/>
          </w:tcPr>
          <w:p w14:paraId="01D9D4CF" w14:textId="77777777" w:rsidR="00C64F34" w:rsidRPr="008C3716" w:rsidRDefault="00C64F34" w:rsidP="00CD1D2E">
            <w:pPr>
              <w:spacing w:line="240" w:lineRule="auto"/>
              <w:jc w:val="center"/>
              <w:rPr>
                <w:rFonts w:ascii="Times New Roman" w:hAnsi="Times New Roman" w:cs="Times New Roman"/>
                <w:sz w:val="20"/>
                <w:szCs w:val="20"/>
                <w:lang w:eastAsia="en-IE"/>
              </w:rPr>
            </w:pPr>
            <w:r w:rsidRPr="008C3716">
              <w:rPr>
                <w:rFonts w:ascii="Times New Roman" w:hAnsi="Times New Roman" w:cs="Times New Roman"/>
                <w:sz w:val="20"/>
                <w:szCs w:val="20"/>
                <w:lang w:eastAsia="en-IE"/>
              </w:rPr>
              <w:t>kg CO</w:t>
            </w:r>
            <w:r w:rsidRPr="008C3716">
              <w:rPr>
                <w:rFonts w:ascii="Times New Roman" w:hAnsi="Times New Roman" w:cs="Times New Roman"/>
                <w:sz w:val="20"/>
                <w:szCs w:val="20"/>
                <w:vertAlign w:val="subscript"/>
                <w:lang w:eastAsia="en-IE"/>
              </w:rPr>
              <w:t>2</w:t>
            </w:r>
            <w:r w:rsidRPr="008C3716">
              <w:rPr>
                <w:rFonts w:ascii="Times New Roman" w:hAnsi="Times New Roman" w:cs="Times New Roman"/>
                <w:sz w:val="20"/>
                <w:szCs w:val="20"/>
                <w:lang w:eastAsia="en-IE"/>
              </w:rPr>
              <w:t xml:space="preserve"> eq.</w:t>
            </w:r>
          </w:p>
        </w:tc>
        <w:tc>
          <w:tcPr>
            <w:tcW w:w="3103" w:type="pct"/>
            <w:tcBorders>
              <w:top w:val="nil"/>
              <w:left w:val="nil"/>
              <w:bottom w:val="single" w:sz="4" w:space="0" w:color="auto"/>
              <w:right w:val="single" w:sz="4" w:space="0" w:color="auto"/>
            </w:tcBorders>
            <w:vAlign w:val="center"/>
            <w:hideMark/>
          </w:tcPr>
          <w:p w14:paraId="1CC5C1EC" w14:textId="77777777" w:rsidR="00C64F34" w:rsidRPr="008C3716" w:rsidRDefault="00C64F34" w:rsidP="00CD1D2E">
            <w:pPr>
              <w:spacing w:line="240" w:lineRule="auto"/>
              <w:rPr>
                <w:rFonts w:ascii="Times New Roman" w:hAnsi="Times New Roman" w:cs="Times New Roman"/>
                <w:sz w:val="20"/>
                <w:szCs w:val="20"/>
                <w:lang w:eastAsia="en-IE"/>
              </w:rPr>
            </w:pPr>
            <w:r w:rsidRPr="008C3716">
              <w:rPr>
                <w:rFonts w:ascii="Times New Roman" w:hAnsi="Times New Roman" w:cs="Times New Roman"/>
                <w:sz w:val="20"/>
                <w:szCs w:val="20"/>
                <w:lang w:eastAsia="en-IE"/>
              </w:rPr>
              <w:t>GWP evaluates all inputs or outputs that result in greenhouse gas (climate-altering) emissions. The impact caused by the carbon footprint is represented by rising global average temperatures and abrupt regional climate changes.</w:t>
            </w:r>
          </w:p>
        </w:tc>
      </w:tr>
      <w:tr w:rsidR="00C64F34" w:rsidRPr="008C3716" w14:paraId="1FCD8F7E" w14:textId="77777777" w:rsidTr="00CD1D2E">
        <w:trPr>
          <w:trHeight w:val="20"/>
        </w:trPr>
        <w:tc>
          <w:tcPr>
            <w:tcW w:w="582" w:type="pct"/>
            <w:tcBorders>
              <w:top w:val="nil"/>
              <w:left w:val="single" w:sz="4" w:space="0" w:color="auto"/>
              <w:bottom w:val="single" w:sz="4" w:space="0" w:color="auto"/>
              <w:right w:val="single" w:sz="4" w:space="0" w:color="auto"/>
            </w:tcBorders>
            <w:vAlign w:val="center"/>
            <w:hideMark/>
          </w:tcPr>
          <w:p w14:paraId="36B5750E" w14:textId="77777777" w:rsidR="00C64F34" w:rsidRPr="008C3716" w:rsidRDefault="00C64F34" w:rsidP="00CD1D2E">
            <w:pPr>
              <w:spacing w:line="240" w:lineRule="auto"/>
              <w:jc w:val="left"/>
              <w:rPr>
                <w:rFonts w:ascii="Times New Roman" w:hAnsi="Times New Roman" w:cs="Times New Roman"/>
                <w:sz w:val="20"/>
                <w:szCs w:val="20"/>
                <w:lang w:eastAsia="en-IE"/>
              </w:rPr>
            </w:pPr>
            <w:r w:rsidRPr="008C3716">
              <w:rPr>
                <w:rFonts w:ascii="Times New Roman" w:hAnsi="Times New Roman" w:cs="Times New Roman"/>
                <w:sz w:val="20"/>
                <w:szCs w:val="20"/>
                <w:lang w:eastAsia="en-IE"/>
              </w:rPr>
              <w:t>Ozone depletion</w:t>
            </w:r>
          </w:p>
        </w:tc>
        <w:tc>
          <w:tcPr>
            <w:tcW w:w="341" w:type="pct"/>
            <w:tcBorders>
              <w:top w:val="nil"/>
              <w:left w:val="nil"/>
              <w:bottom w:val="single" w:sz="4" w:space="0" w:color="auto"/>
              <w:right w:val="nil"/>
            </w:tcBorders>
            <w:vAlign w:val="center"/>
          </w:tcPr>
          <w:p w14:paraId="6A587978" w14:textId="77777777" w:rsidR="00C64F34" w:rsidRPr="008C3716" w:rsidRDefault="00C64F34" w:rsidP="00CD1D2E">
            <w:pPr>
              <w:spacing w:line="240" w:lineRule="auto"/>
              <w:jc w:val="left"/>
              <w:rPr>
                <w:rFonts w:ascii="Times New Roman" w:hAnsi="Times New Roman" w:cs="Times New Roman"/>
                <w:sz w:val="20"/>
                <w:szCs w:val="20"/>
                <w:lang w:eastAsia="en-IE"/>
              </w:rPr>
            </w:pPr>
            <w:r w:rsidRPr="008C3716">
              <w:rPr>
                <w:rFonts w:ascii="Times New Roman" w:hAnsi="Times New Roman" w:cs="Times New Roman"/>
                <w:noProof/>
                <w:sz w:val="20"/>
                <w:szCs w:val="20"/>
                <w:lang w:eastAsia="en-IE"/>
              </w:rPr>
              <w:drawing>
                <wp:inline distT="0" distB="0" distL="0" distR="0" wp14:anchorId="4ECBDA72" wp14:editId="7D882D77">
                  <wp:extent cx="552478" cy="514985"/>
                  <wp:effectExtent l="0" t="0" r="0" b="0"/>
                  <wp:docPr id="6" name="Picture 5">
                    <a:extLst xmlns:a="http://schemas.openxmlformats.org/drawingml/2006/main">
                      <a:ext uri="{FF2B5EF4-FFF2-40B4-BE49-F238E27FC236}">
                        <a16:creationId xmlns:a16="http://schemas.microsoft.com/office/drawing/2014/main" id="{89A3C598-CC19-37F0-D002-631B370FC8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89A3C598-CC19-37F0-D002-631B370FC85C}"/>
                              </a:ext>
                            </a:extLst>
                          </pic:cNvPr>
                          <pic:cNvPicPr>
                            <a:picLocks noChangeAspect="1"/>
                          </pic:cNvPicPr>
                        </pic:nvPicPr>
                        <pic:blipFill rotWithShape="1">
                          <a:blip r:embed="rId9"/>
                          <a:srcRect t="12491" b="77797"/>
                          <a:stretch/>
                        </pic:blipFill>
                        <pic:spPr>
                          <a:xfrm>
                            <a:off x="0" y="0"/>
                            <a:ext cx="552478" cy="514985"/>
                          </a:xfrm>
                          <a:prstGeom prst="rect">
                            <a:avLst/>
                          </a:prstGeom>
                        </pic:spPr>
                      </pic:pic>
                    </a:graphicData>
                  </a:graphic>
                </wp:inline>
              </w:drawing>
            </w:r>
          </w:p>
        </w:tc>
        <w:tc>
          <w:tcPr>
            <w:tcW w:w="633" w:type="pct"/>
            <w:tcBorders>
              <w:top w:val="nil"/>
              <w:left w:val="nil"/>
              <w:bottom w:val="single" w:sz="4" w:space="0" w:color="auto"/>
              <w:right w:val="single" w:sz="4" w:space="0" w:color="auto"/>
            </w:tcBorders>
            <w:vAlign w:val="center"/>
            <w:hideMark/>
          </w:tcPr>
          <w:p w14:paraId="5F38D333" w14:textId="77777777" w:rsidR="00C64F34" w:rsidRPr="008C3716" w:rsidRDefault="00C64F34" w:rsidP="00CD1D2E">
            <w:pPr>
              <w:spacing w:line="240" w:lineRule="auto"/>
              <w:jc w:val="left"/>
              <w:rPr>
                <w:rFonts w:ascii="Times New Roman" w:hAnsi="Times New Roman" w:cs="Times New Roman"/>
                <w:sz w:val="20"/>
                <w:szCs w:val="20"/>
                <w:lang w:eastAsia="en-IE"/>
              </w:rPr>
            </w:pPr>
            <w:r w:rsidRPr="008C3716">
              <w:rPr>
                <w:rFonts w:ascii="Times New Roman" w:hAnsi="Times New Roman" w:cs="Times New Roman"/>
                <w:sz w:val="20"/>
                <w:szCs w:val="20"/>
                <w:lang w:eastAsia="en-IE"/>
              </w:rPr>
              <w:t xml:space="preserve">Stratospheric ozone depletion potential (ODP) </w:t>
            </w:r>
          </w:p>
        </w:tc>
        <w:tc>
          <w:tcPr>
            <w:tcW w:w="341" w:type="pct"/>
            <w:tcBorders>
              <w:top w:val="nil"/>
              <w:left w:val="nil"/>
              <w:bottom w:val="single" w:sz="4" w:space="0" w:color="auto"/>
              <w:right w:val="single" w:sz="4" w:space="0" w:color="auto"/>
            </w:tcBorders>
            <w:vAlign w:val="center"/>
            <w:hideMark/>
          </w:tcPr>
          <w:p w14:paraId="220B26DE" w14:textId="77777777" w:rsidR="00C64F34" w:rsidRPr="008C3716" w:rsidRDefault="00C64F34" w:rsidP="00CD1D2E">
            <w:pPr>
              <w:spacing w:line="240" w:lineRule="auto"/>
              <w:jc w:val="center"/>
              <w:rPr>
                <w:rFonts w:ascii="Times New Roman" w:hAnsi="Times New Roman" w:cs="Times New Roman"/>
                <w:sz w:val="20"/>
                <w:szCs w:val="20"/>
                <w:lang w:eastAsia="en-IE"/>
              </w:rPr>
            </w:pPr>
            <w:r w:rsidRPr="008C3716">
              <w:rPr>
                <w:rFonts w:ascii="Times New Roman" w:hAnsi="Times New Roman" w:cs="Times New Roman"/>
                <w:sz w:val="20"/>
                <w:szCs w:val="20"/>
                <w:lang w:eastAsia="en-IE"/>
              </w:rPr>
              <w:t>g CFC-11 eq.</w:t>
            </w:r>
          </w:p>
        </w:tc>
        <w:tc>
          <w:tcPr>
            <w:tcW w:w="3103" w:type="pct"/>
            <w:tcBorders>
              <w:top w:val="nil"/>
              <w:left w:val="nil"/>
              <w:bottom w:val="single" w:sz="4" w:space="0" w:color="auto"/>
              <w:right w:val="single" w:sz="4" w:space="0" w:color="auto"/>
            </w:tcBorders>
            <w:vAlign w:val="center"/>
            <w:hideMark/>
          </w:tcPr>
          <w:p w14:paraId="20DED63C" w14:textId="77777777" w:rsidR="00C64F34" w:rsidRPr="008C3716" w:rsidRDefault="00C64F34" w:rsidP="00CD1D2E">
            <w:pPr>
              <w:spacing w:line="240" w:lineRule="auto"/>
              <w:rPr>
                <w:rFonts w:ascii="Times New Roman" w:hAnsi="Times New Roman" w:cs="Times New Roman"/>
                <w:sz w:val="20"/>
                <w:szCs w:val="20"/>
                <w:lang w:eastAsia="en-IE"/>
              </w:rPr>
            </w:pPr>
            <w:r w:rsidRPr="008C3716">
              <w:rPr>
                <w:rFonts w:ascii="Times New Roman" w:hAnsi="Times New Roman" w:cs="Times New Roman"/>
                <w:sz w:val="20"/>
                <w:szCs w:val="20"/>
                <w:lang w:eastAsia="en-IE"/>
              </w:rPr>
              <w:t>The ODP measures the destructive effect on ozone by chlorocarbons with a 100-year time horizon. CFC 11 or R-11 has the highest potential among chlorocarbons due to the presence of three chlorine atoms in its molecule.</w:t>
            </w:r>
          </w:p>
        </w:tc>
      </w:tr>
      <w:tr w:rsidR="00C64F34" w:rsidRPr="008C3716" w14:paraId="05876873" w14:textId="77777777" w:rsidTr="00CD1D2E">
        <w:trPr>
          <w:trHeight w:val="20"/>
        </w:trPr>
        <w:tc>
          <w:tcPr>
            <w:tcW w:w="582" w:type="pct"/>
            <w:tcBorders>
              <w:top w:val="nil"/>
              <w:left w:val="single" w:sz="4" w:space="0" w:color="auto"/>
              <w:bottom w:val="single" w:sz="4" w:space="0" w:color="auto"/>
              <w:right w:val="single" w:sz="4" w:space="0" w:color="auto"/>
            </w:tcBorders>
            <w:vAlign w:val="center"/>
            <w:hideMark/>
          </w:tcPr>
          <w:p w14:paraId="2C06AA7E" w14:textId="77777777" w:rsidR="00C64F34" w:rsidRPr="008C3716" w:rsidRDefault="00C64F34" w:rsidP="00CD1D2E">
            <w:pPr>
              <w:spacing w:line="240" w:lineRule="auto"/>
              <w:jc w:val="left"/>
              <w:rPr>
                <w:rFonts w:ascii="Times New Roman" w:hAnsi="Times New Roman" w:cs="Times New Roman"/>
                <w:sz w:val="20"/>
                <w:szCs w:val="20"/>
                <w:lang w:eastAsia="en-IE"/>
              </w:rPr>
            </w:pPr>
            <w:r w:rsidRPr="008C3716">
              <w:rPr>
                <w:rFonts w:ascii="Times New Roman" w:hAnsi="Times New Roman" w:cs="Times New Roman"/>
                <w:sz w:val="20"/>
                <w:szCs w:val="20"/>
                <w:lang w:eastAsia="en-IE"/>
              </w:rPr>
              <w:t>Photochemical ozone formation</w:t>
            </w:r>
          </w:p>
        </w:tc>
        <w:tc>
          <w:tcPr>
            <w:tcW w:w="341" w:type="pct"/>
            <w:tcBorders>
              <w:top w:val="nil"/>
              <w:left w:val="nil"/>
              <w:bottom w:val="single" w:sz="4" w:space="0" w:color="auto"/>
              <w:right w:val="nil"/>
            </w:tcBorders>
            <w:vAlign w:val="center"/>
          </w:tcPr>
          <w:p w14:paraId="16C775D3" w14:textId="77777777" w:rsidR="00C64F34" w:rsidRPr="008C3716" w:rsidRDefault="00C64F34" w:rsidP="00CD1D2E">
            <w:pPr>
              <w:spacing w:line="240" w:lineRule="auto"/>
              <w:jc w:val="left"/>
              <w:rPr>
                <w:rFonts w:ascii="Times New Roman" w:hAnsi="Times New Roman" w:cs="Times New Roman"/>
                <w:sz w:val="20"/>
                <w:szCs w:val="20"/>
                <w:lang w:eastAsia="en-IE"/>
              </w:rPr>
            </w:pPr>
            <w:r w:rsidRPr="008C3716">
              <w:rPr>
                <w:rFonts w:ascii="Times New Roman" w:hAnsi="Times New Roman" w:cs="Times New Roman"/>
                <w:noProof/>
                <w:sz w:val="20"/>
                <w:szCs w:val="20"/>
                <w:lang w:eastAsia="en-IE"/>
              </w:rPr>
              <w:drawing>
                <wp:inline distT="0" distB="0" distL="0" distR="0" wp14:anchorId="6C451734" wp14:editId="3198122A">
                  <wp:extent cx="552478" cy="510540"/>
                  <wp:effectExtent l="0" t="0" r="0" b="3810"/>
                  <wp:docPr id="11" name="Picture 10">
                    <a:extLst xmlns:a="http://schemas.openxmlformats.org/drawingml/2006/main">
                      <a:ext uri="{FF2B5EF4-FFF2-40B4-BE49-F238E27FC236}">
                        <a16:creationId xmlns:a16="http://schemas.microsoft.com/office/drawing/2014/main" id="{EAFA0116-5EF9-49CB-85A5-8FCFE07082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EAFA0116-5EF9-49CB-85A5-8FCFE070822F}"/>
                              </a:ext>
                            </a:extLst>
                          </pic:cNvPr>
                          <pic:cNvPicPr>
                            <a:picLocks noChangeAspect="1"/>
                          </pic:cNvPicPr>
                        </pic:nvPicPr>
                        <pic:blipFill rotWithShape="1">
                          <a:blip r:embed="rId9"/>
                          <a:srcRect t="75949" b="14422"/>
                          <a:stretch/>
                        </pic:blipFill>
                        <pic:spPr>
                          <a:xfrm>
                            <a:off x="0" y="0"/>
                            <a:ext cx="552478" cy="510540"/>
                          </a:xfrm>
                          <a:prstGeom prst="rect">
                            <a:avLst/>
                          </a:prstGeom>
                        </pic:spPr>
                      </pic:pic>
                    </a:graphicData>
                  </a:graphic>
                </wp:inline>
              </w:drawing>
            </w:r>
          </w:p>
        </w:tc>
        <w:tc>
          <w:tcPr>
            <w:tcW w:w="633" w:type="pct"/>
            <w:tcBorders>
              <w:top w:val="nil"/>
              <w:left w:val="nil"/>
              <w:bottom w:val="single" w:sz="4" w:space="0" w:color="auto"/>
              <w:right w:val="single" w:sz="4" w:space="0" w:color="auto"/>
            </w:tcBorders>
            <w:vAlign w:val="center"/>
            <w:hideMark/>
          </w:tcPr>
          <w:p w14:paraId="7CFFCF27" w14:textId="77777777" w:rsidR="00C64F34" w:rsidRPr="008C3716" w:rsidRDefault="00C64F34" w:rsidP="00CD1D2E">
            <w:pPr>
              <w:spacing w:line="240" w:lineRule="auto"/>
              <w:jc w:val="left"/>
              <w:rPr>
                <w:rFonts w:ascii="Times New Roman" w:hAnsi="Times New Roman" w:cs="Times New Roman"/>
                <w:sz w:val="20"/>
                <w:szCs w:val="20"/>
                <w:lang w:eastAsia="en-IE"/>
              </w:rPr>
            </w:pPr>
            <w:r w:rsidRPr="008C3716">
              <w:rPr>
                <w:rFonts w:ascii="Times New Roman" w:hAnsi="Times New Roman" w:cs="Times New Roman"/>
                <w:sz w:val="20"/>
                <w:szCs w:val="20"/>
                <w:lang w:eastAsia="en-IE"/>
              </w:rPr>
              <w:t>Photochemical ozone creation potential (POCP)</w:t>
            </w:r>
          </w:p>
        </w:tc>
        <w:tc>
          <w:tcPr>
            <w:tcW w:w="341" w:type="pct"/>
            <w:tcBorders>
              <w:top w:val="nil"/>
              <w:left w:val="nil"/>
              <w:bottom w:val="single" w:sz="4" w:space="0" w:color="auto"/>
              <w:right w:val="single" w:sz="4" w:space="0" w:color="auto"/>
            </w:tcBorders>
            <w:vAlign w:val="center"/>
            <w:hideMark/>
          </w:tcPr>
          <w:p w14:paraId="7CBB1183" w14:textId="77777777" w:rsidR="00C64F34" w:rsidRPr="008C3716" w:rsidRDefault="00C64F34" w:rsidP="00CD1D2E">
            <w:pPr>
              <w:spacing w:line="240" w:lineRule="auto"/>
              <w:jc w:val="center"/>
              <w:rPr>
                <w:rFonts w:ascii="Times New Roman" w:hAnsi="Times New Roman" w:cs="Times New Roman"/>
                <w:sz w:val="20"/>
                <w:szCs w:val="20"/>
                <w:lang w:eastAsia="en-IE"/>
              </w:rPr>
            </w:pPr>
            <w:r w:rsidRPr="008C3716">
              <w:rPr>
                <w:rFonts w:ascii="Times New Roman" w:hAnsi="Times New Roman" w:cs="Times New Roman"/>
                <w:sz w:val="20"/>
                <w:szCs w:val="20"/>
                <w:lang w:eastAsia="en-IE"/>
              </w:rPr>
              <w:t>g NMVOC eq.</w:t>
            </w:r>
          </w:p>
        </w:tc>
        <w:tc>
          <w:tcPr>
            <w:tcW w:w="3103" w:type="pct"/>
            <w:tcBorders>
              <w:top w:val="nil"/>
              <w:left w:val="nil"/>
              <w:bottom w:val="single" w:sz="4" w:space="0" w:color="auto"/>
              <w:right w:val="single" w:sz="4" w:space="0" w:color="auto"/>
            </w:tcBorders>
            <w:vAlign w:val="center"/>
            <w:hideMark/>
          </w:tcPr>
          <w:p w14:paraId="2F9BC2A8" w14:textId="77777777" w:rsidR="00C64F34" w:rsidRPr="008C3716" w:rsidRDefault="00C64F34" w:rsidP="00CD1D2E">
            <w:pPr>
              <w:spacing w:line="240" w:lineRule="auto"/>
              <w:rPr>
                <w:rFonts w:ascii="Times New Roman" w:hAnsi="Times New Roman" w:cs="Times New Roman"/>
                <w:sz w:val="20"/>
                <w:szCs w:val="20"/>
                <w:lang w:eastAsia="en-IE"/>
              </w:rPr>
            </w:pPr>
            <w:r w:rsidRPr="008C3716">
              <w:rPr>
                <w:rFonts w:ascii="Times New Roman" w:hAnsi="Times New Roman" w:cs="Times New Roman"/>
                <w:sz w:val="20"/>
                <w:szCs w:val="20"/>
                <w:lang w:eastAsia="en-IE"/>
              </w:rPr>
              <w:t xml:space="preserve">POCP is artificially caused by the photochemical oxidation of gases emitted by some vehicles, particularly carbon monoxide and volatile organic compounds (VOCs). When sunlight hits VOCs, they form airborne particles and ground-level ozone, commonly called smog. It is measured in units of </w:t>
            </w:r>
            <w:proofErr w:type="gramStart"/>
            <w:r w:rsidRPr="008C3716">
              <w:rPr>
                <w:rFonts w:ascii="Times New Roman" w:hAnsi="Times New Roman" w:cs="Times New Roman"/>
                <w:sz w:val="20"/>
                <w:szCs w:val="20"/>
                <w:lang w:eastAsia="en-IE"/>
              </w:rPr>
              <w:t>Non-Methane</w:t>
            </w:r>
            <w:proofErr w:type="gramEnd"/>
            <w:r w:rsidRPr="008C3716">
              <w:rPr>
                <w:rFonts w:ascii="Times New Roman" w:hAnsi="Times New Roman" w:cs="Times New Roman"/>
                <w:sz w:val="20"/>
                <w:szCs w:val="20"/>
                <w:lang w:eastAsia="en-IE"/>
              </w:rPr>
              <w:t xml:space="preserve"> VOCs (NMVOC).</w:t>
            </w:r>
          </w:p>
        </w:tc>
      </w:tr>
      <w:tr w:rsidR="00C64F34" w:rsidRPr="008C3716" w14:paraId="3A321BAC" w14:textId="77777777" w:rsidTr="00CD1D2E">
        <w:trPr>
          <w:trHeight w:val="20"/>
        </w:trPr>
        <w:tc>
          <w:tcPr>
            <w:tcW w:w="582" w:type="pct"/>
            <w:tcBorders>
              <w:top w:val="nil"/>
              <w:left w:val="single" w:sz="4" w:space="0" w:color="auto"/>
              <w:bottom w:val="single" w:sz="4" w:space="0" w:color="auto"/>
              <w:right w:val="single" w:sz="4" w:space="0" w:color="auto"/>
            </w:tcBorders>
            <w:vAlign w:val="center"/>
            <w:hideMark/>
          </w:tcPr>
          <w:p w14:paraId="36BEA6D8" w14:textId="77777777" w:rsidR="00C64F34" w:rsidRPr="008C3716" w:rsidRDefault="00C64F34" w:rsidP="00CD1D2E">
            <w:pPr>
              <w:spacing w:line="240" w:lineRule="auto"/>
              <w:jc w:val="left"/>
              <w:rPr>
                <w:rFonts w:ascii="Times New Roman" w:hAnsi="Times New Roman" w:cs="Times New Roman"/>
                <w:sz w:val="20"/>
                <w:szCs w:val="20"/>
                <w:lang w:eastAsia="en-IE"/>
              </w:rPr>
            </w:pPr>
            <w:r w:rsidRPr="008C3716">
              <w:rPr>
                <w:rFonts w:ascii="Times New Roman" w:hAnsi="Times New Roman" w:cs="Times New Roman"/>
                <w:sz w:val="20"/>
                <w:szCs w:val="20"/>
                <w:lang w:eastAsia="en-IE"/>
              </w:rPr>
              <w:t>Fine particulate matter formation</w:t>
            </w:r>
          </w:p>
        </w:tc>
        <w:tc>
          <w:tcPr>
            <w:tcW w:w="341" w:type="pct"/>
            <w:tcBorders>
              <w:top w:val="nil"/>
              <w:left w:val="nil"/>
              <w:bottom w:val="single" w:sz="4" w:space="0" w:color="auto"/>
              <w:right w:val="nil"/>
            </w:tcBorders>
            <w:vAlign w:val="center"/>
          </w:tcPr>
          <w:p w14:paraId="4B13869B" w14:textId="77777777" w:rsidR="00C64F34" w:rsidRPr="008C3716" w:rsidRDefault="00C64F34" w:rsidP="00CD1D2E">
            <w:pPr>
              <w:spacing w:line="240" w:lineRule="auto"/>
              <w:jc w:val="left"/>
              <w:rPr>
                <w:rFonts w:ascii="Times New Roman" w:hAnsi="Times New Roman" w:cs="Times New Roman"/>
                <w:sz w:val="20"/>
                <w:szCs w:val="20"/>
                <w:lang w:eastAsia="en-IE"/>
              </w:rPr>
            </w:pPr>
            <w:r w:rsidRPr="008C3716">
              <w:rPr>
                <w:rFonts w:ascii="Times New Roman" w:hAnsi="Times New Roman" w:cs="Times New Roman"/>
                <w:noProof/>
                <w:sz w:val="20"/>
                <w:szCs w:val="20"/>
                <w:lang w:eastAsia="en-IE"/>
              </w:rPr>
              <w:drawing>
                <wp:inline distT="0" distB="0" distL="0" distR="0" wp14:anchorId="31FD9ADE" wp14:editId="692B06AB">
                  <wp:extent cx="552478" cy="518160"/>
                  <wp:effectExtent l="0" t="0" r="0" b="0"/>
                  <wp:docPr id="9" name="Picture 8">
                    <a:extLst xmlns:a="http://schemas.openxmlformats.org/drawingml/2006/main">
                      <a:ext uri="{FF2B5EF4-FFF2-40B4-BE49-F238E27FC236}">
                        <a16:creationId xmlns:a16="http://schemas.microsoft.com/office/drawing/2014/main" id="{5E62E958-9ACA-74DE-A057-4553AD9850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5E62E958-9ACA-74DE-A057-4553AD98506A}"/>
                              </a:ext>
                            </a:extLst>
                          </pic:cNvPr>
                          <pic:cNvPicPr>
                            <a:picLocks noChangeAspect="1"/>
                          </pic:cNvPicPr>
                        </pic:nvPicPr>
                        <pic:blipFill rotWithShape="1">
                          <a:blip r:embed="rId9"/>
                          <a:srcRect t="50370" b="39858"/>
                          <a:stretch/>
                        </pic:blipFill>
                        <pic:spPr>
                          <a:xfrm>
                            <a:off x="0" y="0"/>
                            <a:ext cx="552478" cy="518160"/>
                          </a:xfrm>
                          <a:prstGeom prst="rect">
                            <a:avLst/>
                          </a:prstGeom>
                        </pic:spPr>
                      </pic:pic>
                    </a:graphicData>
                  </a:graphic>
                </wp:inline>
              </w:drawing>
            </w:r>
          </w:p>
        </w:tc>
        <w:tc>
          <w:tcPr>
            <w:tcW w:w="633" w:type="pct"/>
            <w:tcBorders>
              <w:top w:val="nil"/>
              <w:left w:val="nil"/>
              <w:bottom w:val="single" w:sz="4" w:space="0" w:color="auto"/>
              <w:right w:val="single" w:sz="4" w:space="0" w:color="auto"/>
            </w:tcBorders>
            <w:vAlign w:val="center"/>
            <w:hideMark/>
          </w:tcPr>
          <w:p w14:paraId="471FD5DB" w14:textId="77777777" w:rsidR="00C64F34" w:rsidRPr="008C3716" w:rsidRDefault="00C64F34" w:rsidP="00CD1D2E">
            <w:pPr>
              <w:spacing w:line="240" w:lineRule="auto"/>
              <w:jc w:val="left"/>
              <w:rPr>
                <w:rFonts w:ascii="Times New Roman" w:hAnsi="Times New Roman" w:cs="Times New Roman"/>
                <w:sz w:val="20"/>
                <w:szCs w:val="20"/>
                <w:lang w:eastAsia="en-IE"/>
              </w:rPr>
            </w:pPr>
            <w:r w:rsidRPr="008C3716">
              <w:rPr>
                <w:rFonts w:ascii="Times New Roman" w:hAnsi="Times New Roman" w:cs="Times New Roman"/>
                <w:sz w:val="20"/>
                <w:szCs w:val="20"/>
                <w:lang w:eastAsia="en-IE"/>
              </w:rPr>
              <w:t>Particulate matter formation potential (PMFP)</w:t>
            </w:r>
          </w:p>
        </w:tc>
        <w:tc>
          <w:tcPr>
            <w:tcW w:w="341" w:type="pct"/>
            <w:tcBorders>
              <w:top w:val="nil"/>
              <w:left w:val="nil"/>
              <w:bottom w:val="single" w:sz="4" w:space="0" w:color="auto"/>
              <w:right w:val="single" w:sz="4" w:space="0" w:color="auto"/>
            </w:tcBorders>
            <w:vAlign w:val="center"/>
            <w:hideMark/>
          </w:tcPr>
          <w:p w14:paraId="2B5BFB77" w14:textId="77777777" w:rsidR="00C64F34" w:rsidRPr="008C3716" w:rsidRDefault="00C64F34" w:rsidP="00CD1D2E">
            <w:pPr>
              <w:spacing w:line="240" w:lineRule="auto"/>
              <w:jc w:val="center"/>
              <w:rPr>
                <w:rFonts w:ascii="Times New Roman" w:hAnsi="Times New Roman" w:cs="Times New Roman"/>
                <w:sz w:val="20"/>
                <w:szCs w:val="20"/>
                <w:lang w:eastAsia="en-IE"/>
              </w:rPr>
            </w:pPr>
            <w:r w:rsidRPr="008C3716">
              <w:rPr>
                <w:rFonts w:ascii="Times New Roman" w:hAnsi="Times New Roman" w:cs="Times New Roman"/>
                <w:sz w:val="20"/>
                <w:szCs w:val="20"/>
                <w:lang w:eastAsia="en-IE"/>
              </w:rPr>
              <w:t>g PM</w:t>
            </w:r>
            <w:r w:rsidRPr="008C3716">
              <w:rPr>
                <w:rFonts w:ascii="Times New Roman" w:hAnsi="Times New Roman" w:cs="Times New Roman"/>
                <w:sz w:val="20"/>
                <w:szCs w:val="20"/>
                <w:vertAlign w:val="subscript"/>
                <w:lang w:eastAsia="en-IE"/>
              </w:rPr>
              <w:t>2.5</w:t>
            </w:r>
            <w:r w:rsidRPr="008C3716">
              <w:rPr>
                <w:rFonts w:ascii="Times New Roman" w:hAnsi="Times New Roman" w:cs="Times New Roman"/>
                <w:sz w:val="20"/>
                <w:szCs w:val="20"/>
                <w:lang w:eastAsia="en-IE"/>
              </w:rPr>
              <w:t xml:space="preserve"> eq.</w:t>
            </w:r>
          </w:p>
        </w:tc>
        <w:tc>
          <w:tcPr>
            <w:tcW w:w="3103" w:type="pct"/>
            <w:tcBorders>
              <w:top w:val="nil"/>
              <w:left w:val="nil"/>
              <w:bottom w:val="single" w:sz="4" w:space="0" w:color="auto"/>
              <w:right w:val="single" w:sz="4" w:space="0" w:color="auto"/>
            </w:tcBorders>
            <w:vAlign w:val="center"/>
            <w:hideMark/>
          </w:tcPr>
          <w:p w14:paraId="02CAD3F5" w14:textId="77777777" w:rsidR="00C64F34" w:rsidRPr="008C3716" w:rsidRDefault="00C64F34" w:rsidP="00CD1D2E">
            <w:pPr>
              <w:spacing w:line="240" w:lineRule="auto"/>
              <w:rPr>
                <w:rFonts w:ascii="Times New Roman" w:hAnsi="Times New Roman" w:cs="Times New Roman"/>
                <w:sz w:val="20"/>
                <w:szCs w:val="20"/>
                <w:lang w:eastAsia="en-IE"/>
              </w:rPr>
            </w:pPr>
            <w:r w:rsidRPr="008C3716">
              <w:rPr>
                <w:rFonts w:ascii="Times New Roman" w:hAnsi="Times New Roman" w:cs="Times New Roman"/>
                <w:sz w:val="20"/>
                <w:szCs w:val="20"/>
                <w:lang w:eastAsia="en-IE"/>
              </w:rPr>
              <w:t xml:space="preserve">Fine particulate matter with a diameter of less than 2.5 </w:t>
            </w:r>
            <w:proofErr w:type="spellStart"/>
            <w:r w:rsidRPr="008C3716">
              <w:rPr>
                <w:rFonts w:ascii="Times New Roman" w:hAnsi="Times New Roman" w:cs="Times New Roman"/>
                <w:sz w:val="20"/>
                <w:szCs w:val="20"/>
                <w:lang w:eastAsia="en-IE"/>
              </w:rPr>
              <w:t>μm</w:t>
            </w:r>
            <w:proofErr w:type="spellEnd"/>
            <w:r w:rsidRPr="008C3716">
              <w:rPr>
                <w:rFonts w:ascii="Times New Roman" w:hAnsi="Times New Roman" w:cs="Times New Roman"/>
                <w:sz w:val="20"/>
                <w:szCs w:val="20"/>
                <w:lang w:eastAsia="en-IE"/>
              </w:rPr>
              <w:t xml:space="preserve"> (PM</w:t>
            </w:r>
            <w:r w:rsidRPr="008C3716">
              <w:rPr>
                <w:rFonts w:ascii="Times New Roman" w:hAnsi="Times New Roman" w:cs="Times New Roman"/>
                <w:sz w:val="20"/>
                <w:szCs w:val="20"/>
                <w:vertAlign w:val="subscript"/>
                <w:lang w:eastAsia="en-IE"/>
              </w:rPr>
              <w:t>2.5</w:t>
            </w:r>
            <w:r w:rsidRPr="008C3716">
              <w:rPr>
                <w:rFonts w:ascii="Times New Roman" w:hAnsi="Times New Roman" w:cs="Times New Roman"/>
                <w:sz w:val="20"/>
                <w:szCs w:val="20"/>
                <w:lang w:eastAsia="en-IE"/>
              </w:rPr>
              <w:t>) represents a complex mixture of organic and inorganic substances that causes human health issues by reaching the upper respiratory tract and lungs when inhaled. PM</w:t>
            </w:r>
            <w:r w:rsidRPr="008C3716">
              <w:rPr>
                <w:rFonts w:ascii="Times New Roman" w:hAnsi="Times New Roman" w:cs="Times New Roman"/>
                <w:sz w:val="20"/>
                <w:szCs w:val="20"/>
                <w:vertAlign w:val="subscript"/>
                <w:lang w:eastAsia="en-IE"/>
              </w:rPr>
              <w:t>2.5</w:t>
            </w:r>
            <w:r w:rsidRPr="008C3716">
              <w:rPr>
                <w:rFonts w:ascii="Times New Roman" w:hAnsi="Times New Roman" w:cs="Times New Roman"/>
                <w:sz w:val="20"/>
                <w:szCs w:val="20"/>
                <w:lang w:eastAsia="en-IE"/>
              </w:rPr>
              <w:t xml:space="preserve"> secondary aerosols are formed in the air mainly from emissions of sulphur dioxide (SO</w:t>
            </w:r>
            <w:r w:rsidRPr="008C3716">
              <w:rPr>
                <w:rFonts w:ascii="Times New Roman" w:hAnsi="Times New Roman" w:cs="Times New Roman"/>
                <w:sz w:val="20"/>
                <w:szCs w:val="20"/>
                <w:vertAlign w:val="subscript"/>
                <w:lang w:eastAsia="en-IE"/>
              </w:rPr>
              <w:t>2</w:t>
            </w:r>
            <w:r w:rsidRPr="008C3716">
              <w:rPr>
                <w:rFonts w:ascii="Times New Roman" w:hAnsi="Times New Roman" w:cs="Times New Roman"/>
                <w:sz w:val="20"/>
                <w:szCs w:val="20"/>
                <w:lang w:eastAsia="en-IE"/>
              </w:rPr>
              <w:t>), ammonia (NH</w:t>
            </w:r>
            <w:r w:rsidRPr="008C3716">
              <w:rPr>
                <w:rFonts w:ascii="Times New Roman" w:hAnsi="Times New Roman" w:cs="Times New Roman"/>
                <w:sz w:val="20"/>
                <w:szCs w:val="20"/>
                <w:vertAlign w:val="subscript"/>
                <w:lang w:eastAsia="en-IE"/>
              </w:rPr>
              <w:t>3</w:t>
            </w:r>
            <w:r w:rsidRPr="008C3716">
              <w:rPr>
                <w:rFonts w:ascii="Times New Roman" w:hAnsi="Times New Roman" w:cs="Times New Roman"/>
                <w:sz w:val="20"/>
                <w:szCs w:val="20"/>
                <w:lang w:eastAsia="en-IE"/>
              </w:rPr>
              <w:t>) and nitrogen oxides (NO</w:t>
            </w:r>
            <w:r w:rsidRPr="008C3716">
              <w:rPr>
                <w:rFonts w:ascii="Times New Roman" w:hAnsi="Times New Roman" w:cs="Times New Roman"/>
                <w:sz w:val="20"/>
                <w:szCs w:val="20"/>
                <w:vertAlign w:val="subscript"/>
                <w:lang w:eastAsia="en-IE"/>
              </w:rPr>
              <w:t>x</w:t>
            </w:r>
            <w:r w:rsidRPr="008C3716">
              <w:rPr>
                <w:rFonts w:ascii="Times New Roman" w:hAnsi="Times New Roman" w:cs="Times New Roman"/>
                <w:sz w:val="20"/>
                <w:szCs w:val="20"/>
                <w:lang w:eastAsia="en-IE"/>
              </w:rPr>
              <w:t>).</w:t>
            </w:r>
          </w:p>
        </w:tc>
      </w:tr>
      <w:tr w:rsidR="00C64F34" w:rsidRPr="008C3716" w14:paraId="77BA088B" w14:textId="77777777" w:rsidTr="00CD1D2E">
        <w:trPr>
          <w:trHeight w:val="20"/>
        </w:trPr>
        <w:tc>
          <w:tcPr>
            <w:tcW w:w="582" w:type="pct"/>
            <w:tcBorders>
              <w:top w:val="nil"/>
              <w:left w:val="single" w:sz="4" w:space="0" w:color="auto"/>
              <w:bottom w:val="single" w:sz="4" w:space="0" w:color="auto"/>
              <w:right w:val="single" w:sz="4" w:space="0" w:color="auto"/>
            </w:tcBorders>
            <w:vAlign w:val="center"/>
            <w:hideMark/>
          </w:tcPr>
          <w:p w14:paraId="2F5C5BC5" w14:textId="77777777" w:rsidR="00C64F34" w:rsidRPr="008C3716" w:rsidRDefault="00C64F34" w:rsidP="00CD1D2E">
            <w:pPr>
              <w:spacing w:line="240" w:lineRule="auto"/>
              <w:jc w:val="left"/>
              <w:rPr>
                <w:rFonts w:ascii="Times New Roman" w:hAnsi="Times New Roman" w:cs="Times New Roman"/>
                <w:sz w:val="20"/>
                <w:szCs w:val="20"/>
                <w:lang w:eastAsia="en-IE"/>
              </w:rPr>
            </w:pPr>
            <w:r w:rsidRPr="008C3716">
              <w:rPr>
                <w:rFonts w:ascii="Times New Roman" w:hAnsi="Times New Roman" w:cs="Times New Roman"/>
                <w:sz w:val="20"/>
                <w:szCs w:val="20"/>
                <w:lang w:eastAsia="en-IE"/>
              </w:rPr>
              <w:t>Acidification</w:t>
            </w:r>
          </w:p>
        </w:tc>
        <w:tc>
          <w:tcPr>
            <w:tcW w:w="341" w:type="pct"/>
            <w:tcBorders>
              <w:top w:val="nil"/>
              <w:left w:val="nil"/>
              <w:bottom w:val="single" w:sz="4" w:space="0" w:color="auto"/>
              <w:right w:val="nil"/>
            </w:tcBorders>
            <w:vAlign w:val="center"/>
          </w:tcPr>
          <w:p w14:paraId="05396D96" w14:textId="77777777" w:rsidR="00C64F34" w:rsidRPr="008C3716" w:rsidRDefault="00C64F34" w:rsidP="00CD1D2E">
            <w:pPr>
              <w:spacing w:line="240" w:lineRule="auto"/>
              <w:jc w:val="left"/>
              <w:rPr>
                <w:rFonts w:ascii="Times New Roman" w:hAnsi="Times New Roman" w:cs="Times New Roman"/>
                <w:sz w:val="20"/>
                <w:szCs w:val="20"/>
                <w:lang w:eastAsia="en-IE"/>
              </w:rPr>
            </w:pPr>
            <w:r w:rsidRPr="008C3716">
              <w:rPr>
                <w:rFonts w:ascii="Times New Roman" w:hAnsi="Times New Roman" w:cs="Times New Roman"/>
                <w:noProof/>
                <w:sz w:val="20"/>
                <w:szCs w:val="20"/>
                <w:lang w:eastAsia="en-IE"/>
              </w:rPr>
              <w:drawing>
                <wp:inline distT="0" distB="0" distL="0" distR="0" wp14:anchorId="32ABCE06" wp14:editId="040B9858">
                  <wp:extent cx="552478" cy="510540"/>
                  <wp:effectExtent l="0" t="0" r="0" b="3810"/>
                  <wp:docPr id="21" name="Picture 20">
                    <a:extLst xmlns:a="http://schemas.openxmlformats.org/drawingml/2006/main">
                      <a:ext uri="{FF2B5EF4-FFF2-40B4-BE49-F238E27FC236}">
                        <a16:creationId xmlns:a16="http://schemas.microsoft.com/office/drawing/2014/main" id="{E8A79EB2-1444-057F-E9DC-9CD1ECF5FA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a:extLst>
                              <a:ext uri="{FF2B5EF4-FFF2-40B4-BE49-F238E27FC236}">
                                <a16:creationId xmlns:a16="http://schemas.microsoft.com/office/drawing/2014/main" id="{E8A79EB2-1444-057F-E9DC-9CD1ECF5FA68}"/>
                              </a:ext>
                            </a:extLst>
                          </pic:cNvPr>
                          <pic:cNvPicPr>
                            <a:picLocks noChangeAspect="1"/>
                          </pic:cNvPicPr>
                        </pic:nvPicPr>
                        <pic:blipFill rotWithShape="1">
                          <a:blip r:embed="rId9"/>
                          <a:srcRect t="90607" b="-236"/>
                          <a:stretch/>
                        </pic:blipFill>
                        <pic:spPr>
                          <a:xfrm>
                            <a:off x="0" y="0"/>
                            <a:ext cx="552478" cy="510540"/>
                          </a:xfrm>
                          <a:prstGeom prst="rect">
                            <a:avLst/>
                          </a:prstGeom>
                        </pic:spPr>
                      </pic:pic>
                    </a:graphicData>
                  </a:graphic>
                </wp:inline>
              </w:drawing>
            </w:r>
          </w:p>
        </w:tc>
        <w:tc>
          <w:tcPr>
            <w:tcW w:w="633" w:type="pct"/>
            <w:tcBorders>
              <w:top w:val="nil"/>
              <w:left w:val="nil"/>
              <w:bottom w:val="single" w:sz="4" w:space="0" w:color="auto"/>
              <w:right w:val="single" w:sz="4" w:space="0" w:color="auto"/>
            </w:tcBorders>
            <w:vAlign w:val="center"/>
            <w:hideMark/>
          </w:tcPr>
          <w:p w14:paraId="072DBEE1" w14:textId="77777777" w:rsidR="00C64F34" w:rsidRPr="008C3716" w:rsidRDefault="00C64F34" w:rsidP="00CD1D2E">
            <w:pPr>
              <w:spacing w:line="240" w:lineRule="auto"/>
              <w:jc w:val="left"/>
              <w:rPr>
                <w:rFonts w:ascii="Times New Roman" w:hAnsi="Times New Roman" w:cs="Times New Roman"/>
                <w:sz w:val="20"/>
                <w:szCs w:val="20"/>
                <w:lang w:eastAsia="en-IE"/>
              </w:rPr>
            </w:pPr>
            <w:r w:rsidRPr="008C3716">
              <w:rPr>
                <w:rFonts w:ascii="Times New Roman" w:hAnsi="Times New Roman" w:cs="Times New Roman"/>
                <w:sz w:val="20"/>
                <w:szCs w:val="20"/>
                <w:lang w:eastAsia="en-IE"/>
              </w:rPr>
              <w:t>Acidification potential (AP)</w:t>
            </w:r>
          </w:p>
        </w:tc>
        <w:tc>
          <w:tcPr>
            <w:tcW w:w="341" w:type="pct"/>
            <w:tcBorders>
              <w:top w:val="nil"/>
              <w:left w:val="nil"/>
              <w:bottom w:val="single" w:sz="4" w:space="0" w:color="auto"/>
              <w:right w:val="single" w:sz="4" w:space="0" w:color="auto"/>
            </w:tcBorders>
            <w:vAlign w:val="center"/>
            <w:hideMark/>
          </w:tcPr>
          <w:p w14:paraId="010077BD" w14:textId="77777777" w:rsidR="00C64F34" w:rsidRPr="008C3716" w:rsidRDefault="00C64F34" w:rsidP="00CD1D2E">
            <w:pPr>
              <w:spacing w:line="240" w:lineRule="auto"/>
              <w:jc w:val="center"/>
              <w:rPr>
                <w:rFonts w:ascii="Times New Roman" w:hAnsi="Times New Roman" w:cs="Times New Roman"/>
                <w:sz w:val="20"/>
                <w:szCs w:val="20"/>
                <w:lang w:eastAsia="en-IE"/>
              </w:rPr>
            </w:pPr>
            <w:r w:rsidRPr="008C3716">
              <w:rPr>
                <w:rFonts w:ascii="Times New Roman" w:hAnsi="Times New Roman" w:cs="Times New Roman"/>
                <w:sz w:val="20"/>
                <w:szCs w:val="20"/>
                <w:lang w:eastAsia="en-IE"/>
              </w:rPr>
              <w:t>g SO</w:t>
            </w:r>
            <w:r w:rsidRPr="008C3716">
              <w:rPr>
                <w:rFonts w:ascii="Times New Roman" w:hAnsi="Times New Roman" w:cs="Times New Roman"/>
                <w:sz w:val="20"/>
                <w:szCs w:val="20"/>
                <w:vertAlign w:val="subscript"/>
                <w:lang w:eastAsia="en-IE"/>
              </w:rPr>
              <w:t>2</w:t>
            </w:r>
            <w:r w:rsidRPr="008C3716">
              <w:rPr>
                <w:rFonts w:ascii="Times New Roman" w:hAnsi="Times New Roman" w:cs="Times New Roman"/>
                <w:sz w:val="20"/>
                <w:szCs w:val="20"/>
                <w:lang w:eastAsia="en-IE"/>
              </w:rPr>
              <w:t xml:space="preserve"> eq.</w:t>
            </w:r>
          </w:p>
        </w:tc>
        <w:tc>
          <w:tcPr>
            <w:tcW w:w="3103" w:type="pct"/>
            <w:tcBorders>
              <w:top w:val="nil"/>
              <w:left w:val="nil"/>
              <w:bottom w:val="single" w:sz="4" w:space="0" w:color="auto"/>
              <w:right w:val="single" w:sz="4" w:space="0" w:color="auto"/>
            </w:tcBorders>
            <w:vAlign w:val="center"/>
            <w:hideMark/>
          </w:tcPr>
          <w:p w14:paraId="09FE3168" w14:textId="77777777" w:rsidR="00C64F34" w:rsidRPr="008C3716" w:rsidRDefault="00C64F34" w:rsidP="00CD1D2E">
            <w:pPr>
              <w:spacing w:line="240" w:lineRule="auto"/>
              <w:rPr>
                <w:rFonts w:ascii="Times New Roman" w:hAnsi="Times New Roman" w:cs="Times New Roman"/>
                <w:sz w:val="20"/>
                <w:szCs w:val="20"/>
                <w:lang w:eastAsia="en-IE"/>
              </w:rPr>
            </w:pPr>
            <w:r w:rsidRPr="008C3716">
              <w:rPr>
                <w:rFonts w:ascii="Times New Roman" w:hAnsi="Times New Roman" w:cs="Times New Roman"/>
                <w:sz w:val="20"/>
                <w:szCs w:val="20"/>
                <w:lang w:eastAsia="en-IE"/>
              </w:rPr>
              <w:t xml:space="preserve">Atmospheric deposition of inorganic substances, such as </w:t>
            </w:r>
            <w:proofErr w:type="spellStart"/>
            <w:r w:rsidRPr="008C3716">
              <w:rPr>
                <w:rFonts w:ascii="Times New Roman" w:hAnsi="Times New Roman" w:cs="Times New Roman"/>
                <w:sz w:val="20"/>
                <w:szCs w:val="20"/>
                <w:lang w:eastAsia="en-IE"/>
              </w:rPr>
              <w:t>sulfates</w:t>
            </w:r>
            <w:proofErr w:type="spellEnd"/>
            <w:r w:rsidRPr="008C3716">
              <w:rPr>
                <w:rFonts w:ascii="Times New Roman" w:hAnsi="Times New Roman" w:cs="Times New Roman"/>
                <w:sz w:val="20"/>
                <w:szCs w:val="20"/>
                <w:lang w:eastAsia="en-IE"/>
              </w:rPr>
              <w:t xml:space="preserve">, nitrates and phosphates, causes a change in soil acidity. For almost all plant species, there is an optimal, well-defined level of acidity. Acidification-related damage is considered to occur if the deviation from this optimal level for that </w:t>
            </w:r>
            <w:proofErr w:type="gramStart"/>
            <w:r w:rsidRPr="008C3716">
              <w:rPr>
                <w:rFonts w:ascii="Times New Roman" w:hAnsi="Times New Roman" w:cs="Times New Roman"/>
                <w:sz w:val="20"/>
                <w:szCs w:val="20"/>
                <w:lang w:eastAsia="en-IE"/>
              </w:rPr>
              <w:t>particular species</w:t>
            </w:r>
            <w:proofErr w:type="gramEnd"/>
            <w:r w:rsidRPr="008C3716">
              <w:rPr>
                <w:rFonts w:ascii="Times New Roman" w:hAnsi="Times New Roman" w:cs="Times New Roman"/>
                <w:sz w:val="20"/>
                <w:szCs w:val="20"/>
                <w:lang w:eastAsia="en-IE"/>
              </w:rPr>
              <w:t xml:space="preserve"> is significant.</w:t>
            </w:r>
          </w:p>
        </w:tc>
      </w:tr>
      <w:tr w:rsidR="00C64F34" w:rsidRPr="008C3716" w14:paraId="2ECBD99E" w14:textId="77777777" w:rsidTr="00CD1D2E">
        <w:trPr>
          <w:trHeight w:val="20"/>
        </w:trPr>
        <w:tc>
          <w:tcPr>
            <w:tcW w:w="582" w:type="pct"/>
            <w:tcBorders>
              <w:top w:val="nil"/>
              <w:left w:val="single" w:sz="4" w:space="0" w:color="auto"/>
              <w:bottom w:val="single" w:sz="4" w:space="0" w:color="auto"/>
              <w:right w:val="single" w:sz="4" w:space="0" w:color="auto"/>
            </w:tcBorders>
            <w:vAlign w:val="center"/>
            <w:hideMark/>
          </w:tcPr>
          <w:p w14:paraId="36E6B6D1" w14:textId="77777777" w:rsidR="00C64F34" w:rsidRPr="008C3716" w:rsidRDefault="00C64F34" w:rsidP="00CD1D2E">
            <w:pPr>
              <w:spacing w:line="240" w:lineRule="auto"/>
              <w:jc w:val="left"/>
              <w:rPr>
                <w:rFonts w:ascii="Times New Roman" w:hAnsi="Times New Roman" w:cs="Times New Roman"/>
                <w:sz w:val="20"/>
                <w:szCs w:val="20"/>
                <w:lang w:eastAsia="en-IE"/>
              </w:rPr>
            </w:pPr>
            <w:r w:rsidRPr="008C3716">
              <w:rPr>
                <w:rFonts w:ascii="Times New Roman" w:hAnsi="Times New Roman" w:cs="Times New Roman"/>
                <w:sz w:val="20"/>
                <w:szCs w:val="20"/>
                <w:lang w:eastAsia="en-IE"/>
              </w:rPr>
              <w:t>Freshwater eutrophication</w:t>
            </w:r>
          </w:p>
        </w:tc>
        <w:tc>
          <w:tcPr>
            <w:tcW w:w="341" w:type="pct"/>
            <w:tcBorders>
              <w:top w:val="nil"/>
              <w:left w:val="nil"/>
              <w:bottom w:val="single" w:sz="4" w:space="0" w:color="auto"/>
              <w:right w:val="nil"/>
            </w:tcBorders>
            <w:vAlign w:val="center"/>
          </w:tcPr>
          <w:p w14:paraId="4C004AF7" w14:textId="77777777" w:rsidR="00C64F34" w:rsidRPr="008C3716" w:rsidRDefault="00C64F34" w:rsidP="00CD1D2E">
            <w:pPr>
              <w:spacing w:line="240" w:lineRule="auto"/>
              <w:jc w:val="left"/>
              <w:rPr>
                <w:rFonts w:ascii="Times New Roman" w:hAnsi="Times New Roman" w:cs="Times New Roman"/>
                <w:sz w:val="20"/>
                <w:szCs w:val="20"/>
                <w:lang w:eastAsia="en-IE"/>
              </w:rPr>
            </w:pPr>
            <w:r w:rsidRPr="008C3716">
              <w:rPr>
                <w:rFonts w:ascii="Times New Roman" w:hAnsi="Times New Roman" w:cs="Times New Roman"/>
                <w:noProof/>
                <w:sz w:val="20"/>
                <w:szCs w:val="20"/>
                <w:lang w:eastAsia="en-IE"/>
              </w:rPr>
              <w:drawing>
                <wp:inline distT="0" distB="0" distL="0" distR="0" wp14:anchorId="4BE02B7B" wp14:editId="71F0DA68">
                  <wp:extent cx="558829" cy="528639"/>
                  <wp:effectExtent l="0" t="0" r="0" b="5080"/>
                  <wp:docPr id="14" name="Picture 13">
                    <a:extLst xmlns:a="http://schemas.openxmlformats.org/drawingml/2006/main">
                      <a:ext uri="{FF2B5EF4-FFF2-40B4-BE49-F238E27FC236}">
                        <a16:creationId xmlns:a16="http://schemas.microsoft.com/office/drawing/2014/main" id="{A908E547-08AE-5CF3-8AC9-9A1386053A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A908E547-08AE-5CF3-8AC9-9A1386053AFF}"/>
                              </a:ext>
                            </a:extLst>
                          </pic:cNvPr>
                          <pic:cNvPicPr>
                            <a:picLocks noChangeAspect="1"/>
                          </pic:cNvPicPr>
                        </pic:nvPicPr>
                        <pic:blipFill rotWithShape="1">
                          <a:blip r:embed="rId10"/>
                          <a:srcRect t="11849" b="78647"/>
                          <a:stretch/>
                        </pic:blipFill>
                        <pic:spPr>
                          <a:xfrm>
                            <a:off x="0" y="0"/>
                            <a:ext cx="558829" cy="528639"/>
                          </a:xfrm>
                          <a:prstGeom prst="rect">
                            <a:avLst/>
                          </a:prstGeom>
                        </pic:spPr>
                      </pic:pic>
                    </a:graphicData>
                  </a:graphic>
                </wp:inline>
              </w:drawing>
            </w:r>
          </w:p>
        </w:tc>
        <w:tc>
          <w:tcPr>
            <w:tcW w:w="633" w:type="pct"/>
            <w:tcBorders>
              <w:top w:val="nil"/>
              <w:left w:val="nil"/>
              <w:bottom w:val="single" w:sz="4" w:space="0" w:color="auto"/>
              <w:right w:val="single" w:sz="4" w:space="0" w:color="auto"/>
            </w:tcBorders>
            <w:vAlign w:val="center"/>
            <w:hideMark/>
          </w:tcPr>
          <w:p w14:paraId="4248B3CE" w14:textId="77777777" w:rsidR="00C64F34" w:rsidRPr="008C3716" w:rsidRDefault="00C64F34" w:rsidP="00CD1D2E">
            <w:pPr>
              <w:spacing w:line="240" w:lineRule="auto"/>
              <w:jc w:val="left"/>
              <w:rPr>
                <w:rFonts w:ascii="Times New Roman" w:hAnsi="Times New Roman" w:cs="Times New Roman"/>
                <w:sz w:val="20"/>
                <w:szCs w:val="20"/>
                <w:lang w:eastAsia="en-IE"/>
              </w:rPr>
            </w:pPr>
            <w:r w:rsidRPr="008C3716">
              <w:rPr>
                <w:rFonts w:ascii="Times New Roman" w:hAnsi="Times New Roman" w:cs="Times New Roman"/>
                <w:sz w:val="20"/>
                <w:szCs w:val="20"/>
                <w:lang w:eastAsia="en-IE"/>
              </w:rPr>
              <w:t>Eutrophication potential (EP)</w:t>
            </w:r>
          </w:p>
        </w:tc>
        <w:tc>
          <w:tcPr>
            <w:tcW w:w="341" w:type="pct"/>
            <w:tcBorders>
              <w:top w:val="nil"/>
              <w:left w:val="nil"/>
              <w:bottom w:val="single" w:sz="4" w:space="0" w:color="auto"/>
              <w:right w:val="single" w:sz="4" w:space="0" w:color="auto"/>
            </w:tcBorders>
            <w:vAlign w:val="center"/>
            <w:hideMark/>
          </w:tcPr>
          <w:p w14:paraId="7A26CA03" w14:textId="77777777" w:rsidR="00C64F34" w:rsidRPr="008C3716" w:rsidRDefault="00C64F34" w:rsidP="00CD1D2E">
            <w:pPr>
              <w:spacing w:line="240" w:lineRule="auto"/>
              <w:jc w:val="center"/>
              <w:rPr>
                <w:rFonts w:ascii="Times New Roman" w:hAnsi="Times New Roman" w:cs="Times New Roman"/>
                <w:sz w:val="20"/>
                <w:szCs w:val="20"/>
                <w:lang w:eastAsia="en-IE"/>
              </w:rPr>
            </w:pPr>
            <w:r w:rsidRPr="008C3716">
              <w:rPr>
                <w:rFonts w:ascii="Times New Roman" w:hAnsi="Times New Roman" w:cs="Times New Roman"/>
                <w:sz w:val="20"/>
                <w:szCs w:val="20"/>
                <w:lang w:eastAsia="en-IE"/>
              </w:rPr>
              <w:t>g PO</w:t>
            </w:r>
            <w:r w:rsidRPr="008C3716">
              <w:rPr>
                <w:rFonts w:ascii="Times New Roman" w:hAnsi="Times New Roman" w:cs="Times New Roman"/>
                <w:sz w:val="20"/>
                <w:szCs w:val="20"/>
                <w:vertAlign w:val="subscript"/>
                <w:lang w:eastAsia="en-IE"/>
              </w:rPr>
              <w:t>4</w:t>
            </w:r>
            <w:r w:rsidRPr="008C3716">
              <w:rPr>
                <w:rFonts w:ascii="Times New Roman" w:hAnsi="Times New Roman" w:cs="Times New Roman"/>
                <w:sz w:val="20"/>
                <w:szCs w:val="20"/>
                <w:vertAlign w:val="superscript"/>
                <w:lang w:eastAsia="en-IE"/>
              </w:rPr>
              <w:t>3-</w:t>
            </w:r>
            <w:r w:rsidRPr="008C3716">
              <w:rPr>
                <w:rFonts w:ascii="Times New Roman" w:hAnsi="Times New Roman" w:cs="Times New Roman"/>
                <w:sz w:val="20"/>
                <w:szCs w:val="20"/>
                <w:lang w:eastAsia="en-IE"/>
              </w:rPr>
              <w:t xml:space="preserve"> eq.</w:t>
            </w:r>
          </w:p>
        </w:tc>
        <w:tc>
          <w:tcPr>
            <w:tcW w:w="3103" w:type="pct"/>
            <w:tcBorders>
              <w:top w:val="nil"/>
              <w:left w:val="nil"/>
              <w:bottom w:val="single" w:sz="4" w:space="0" w:color="auto"/>
              <w:right w:val="single" w:sz="4" w:space="0" w:color="auto"/>
            </w:tcBorders>
            <w:vAlign w:val="center"/>
            <w:hideMark/>
          </w:tcPr>
          <w:p w14:paraId="3D20CFAC" w14:textId="77777777" w:rsidR="00C64F34" w:rsidRPr="008C3716" w:rsidRDefault="00C64F34" w:rsidP="00CD1D2E">
            <w:pPr>
              <w:spacing w:line="240" w:lineRule="auto"/>
              <w:rPr>
                <w:rFonts w:ascii="Times New Roman" w:hAnsi="Times New Roman" w:cs="Times New Roman"/>
                <w:sz w:val="20"/>
                <w:szCs w:val="20"/>
                <w:lang w:eastAsia="en-IE"/>
              </w:rPr>
            </w:pPr>
            <w:r w:rsidRPr="008C3716">
              <w:rPr>
                <w:rFonts w:ascii="Times New Roman" w:hAnsi="Times New Roman" w:cs="Times New Roman"/>
                <w:sz w:val="20"/>
                <w:szCs w:val="20"/>
                <w:lang w:eastAsia="en-IE"/>
              </w:rPr>
              <w:t xml:space="preserve">The potential for eutrophication leads to increased growth of aquatic plants attributable to nutrients such as nitrogen and phosphorus released into water and soils </w:t>
            </w:r>
            <w:proofErr w:type="gramStart"/>
            <w:r w:rsidRPr="008C3716">
              <w:rPr>
                <w:rFonts w:ascii="Times New Roman" w:hAnsi="Times New Roman" w:cs="Times New Roman"/>
                <w:sz w:val="20"/>
                <w:szCs w:val="20"/>
                <w:lang w:eastAsia="en-IE"/>
              </w:rPr>
              <w:t>as a result of</w:t>
            </w:r>
            <w:proofErr w:type="gramEnd"/>
            <w:r w:rsidRPr="008C3716">
              <w:rPr>
                <w:rFonts w:ascii="Times New Roman" w:hAnsi="Times New Roman" w:cs="Times New Roman"/>
                <w:sz w:val="20"/>
                <w:szCs w:val="20"/>
                <w:lang w:eastAsia="en-IE"/>
              </w:rPr>
              <w:t xml:space="preserve"> excessive fertilization.</w:t>
            </w:r>
          </w:p>
        </w:tc>
      </w:tr>
      <w:tr w:rsidR="00C64F34" w:rsidRPr="008C3716" w14:paraId="2A5C2854" w14:textId="77777777" w:rsidTr="00CD1D2E">
        <w:trPr>
          <w:trHeight w:val="20"/>
        </w:trPr>
        <w:tc>
          <w:tcPr>
            <w:tcW w:w="582" w:type="pct"/>
            <w:tcBorders>
              <w:top w:val="nil"/>
              <w:left w:val="single" w:sz="4" w:space="0" w:color="auto"/>
              <w:bottom w:val="single" w:sz="4" w:space="0" w:color="auto"/>
              <w:right w:val="single" w:sz="4" w:space="0" w:color="auto"/>
            </w:tcBorders>
            <w:vAlign w:val="center"/>
          </w:tcPr>
          <w:p w14:paraId="5D685DF6" w14:textId="77777777" w:rsidR="00C64F34" w:rsidRPr="008C3716" w:rsidRDefault="00C64F34" w:rsidP="00CD1D2E">
            <w:pPr>
              <w:spacing w:line="240" w:lineRule="auto"/>
              <w:jc w:val="left"/>
              <w:rPr>
                <w:rFonts w:ascii="Times New Roman" w:hAnsi="Times New Roman" w:cs="Times New Roman"/>
                <w:sz w:val="20"/>
                <w:szCs w:val="20"/>
                <w:lang w:eastAsia="en-IE"/>
              </w:rPr>
            </w:pPr>
            <w:r w:rsidRPr="008C3716">
              <w:rPr>
                <w:rFonts w:ascii="Times New Roman" w:hAnsi="Times New Roman" w:cs="Times New Roman"/>
                <w:sz w:val="20"/>
                <w:szCs w:val="20"/>
                <w:lang w:eastAsia="en-IE"/>
              </w:rPr>
              <w:t>Human toxicity</w:t>
            </w:r>
          </w:p>
        </w:tc>
        <w:tc>
          <w:tcPr>
            <w:tcW w:w="341" w:type="pct"/>
            <w:tcBorders>
              <w:top w:val="nil"/>
              <w:left w:val="nil"/>
              <w:bottom w:val="single" w:sz="4" w:space="0" w:color="auto"/>
              <w:right w:val="nil"/>
            </w:tcBorders>
            <w:vAlign w:val="center"/>
          </w:tcPr>
          <w:p w14:paraId="07E97EDC" w14:textId="77777777" w:rsidR="00C64F34" w:rsidRPr="008C3716" w:rsidRDefault="00C64F34" w:rsidP="00CD1D2E">
            <w:pPr>
              <w:spacing w:line="240" w:lineRule="auto"/>
              <w:jc w:val="left"/>
              <w:rPr>
                <w:rFonts w:ascii="Times New Roman" w:hAnsi="Times New Roman" w:cs="Times New Roman"/>
                <w:sz w:val="20"/>
                <w:szCs w:val="20"/>
                <w:lang w:eastAsia="en-IE"/>
              </w:rPr>
            </w:pPr>
            <w:r w:rsidRPr="008C3716">
              <w:rPr>
                <w:rFonts w:ascii="Times New Roman" w:hAnsi="Times New Roman" w:cs="Times New Roman"/>
                <w:noProof/>
                <w:sz w:val="20"/>
                <w:szCs w:val="20"/>
                <w:lang w:eastAsia="en-IE"/>
              </w:rPr>
              <w:drawing>
                <wp:inline distT="0" distB="0" distL="0" distR="0" wp14:anchorId="3FF7C7FC" wp14:editId="1FBFE04C">
                  <wp:extent cx="552478" cy="510540"/>
                  <wp:effectExtent l="0" t="0" r="0" b="3810"/>
                  <wp:docPr id="8" name="Picture 7">
                    <a:extLst xmlns:a="http://schemas.openxmlformats.org/drawingml/2006/main">
                      <a:ext uri="{FF2B5EF4-FFF2-40B4-BE49-F238E27FC236}">
                        <a16:creationId xmlns:a16="http://schemas.microsoft.com/office/drawing/2014/main" id="{AE3545BB-53D0-C4BE-30EE-CB98FC3F59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AE3545BB-53D0-C4BE-30EE-CB98FC3F5925}"/>
                              </a:ext>
                            </a:extLst>
                          </pic:cNvPr>
                          <pic:cNvPicPr>
                            <a:picLocks noChangeAspect="1"/>
                          </pic:cNvPicPr>
                        </pic:nvPicPr>
                        <pic:blipFill rotWithShape="1">
                          <a:blip r:embed="rId9"/>
                          <a:srcRect t="37292" b="53079"/>
                          <a:stretch/>
                        </pic:blipFill>
                        <pic:spPr>
                          <a:xfrm>
                            <a:off x="0" y="0"/>
                            <a:ext cx="552478" cy="510540"/>
                          </a:xfrm>
                          <a:prstGeom prst="rect">
                            <a:avLst/>
                          </a:prstGeom>
                        </pic:spPr>
                      </pic:pic>
                    </a:graphicData>
                  </a:graphic>
                </wp:inline>
              </w:drawing>
            </w:r>
          </w:p>
        </w:tc>
        <w:tc>
          <w:tcPr>
            <w:tcW w:w="633" w:type="pct"/>
            <w:tcBorders>
              <w:top w:val="nil"/>
              <w:left w:val="nil"/>
              <w:bottom w:val="single" w:sz="4" w:space="0" w:color="auto"/>
              <w:right w:val="single" w:sz="4" w:space="0" w:color="auto"/>
            </w:tcBorders>
            <w:vAlign w:val="center"/>
          </w:tcPr>
          <w:p w14:paraId="23B48541" w14:textId="77777777" w:rsidR="00C64F34" w:rsidRPr="008C3716" w:rsidRDefault="00C64F34" w:rsidP="00CD1D2E">
            <w:pPr>
              <w:spacing w:line="240" w:lineRule="auto"/>
              <w:jc w:val="left"/>
              <w:rPr>
                <w:rFonts w:ascii="Times New Roman" w:hAnsi="Times New Roman" w:cs="Times New Roman"/>
                <w:sz w:val="20"/>
                <w:szCs w:val="20"/>
                <w:lang w:eastAsia="en-IE"/>
              </w:rPr>
            </w:pPr>
            <w:r w:rsidRPr="008C3716">
              <w:rPr>
                <w:rFonts w:ascii="Times New Roman" w:hAnsi="Times New Roman" w:cs="Times New Roman"/>
                <w:sz w:val="20"/>
                <w:szCs w:val="20"/>
                <w:lang w:eastAsia="en-IE"/>
              </w:rPr>
              <w:t>Comparative toxic unit for humans (</w:t>
            </w:r>
            <w:proofErr w:type="spellStart"/>
            <w:r w:rsidRPr="008C3716">
              <w:rPr>
                <w:rFonts w:ascii="Times New Roman" w:hAnsi="Times New Roman" w:cs="Times New Roman"/>
                <w:sz w:val="20"/>
                <w:szCs w:val="20"/>
                <w:lang w:eastAsia="en-IE"/>
              </w:rPr>
              <w:t>CTUh</w:t>
            </w:r>
            <w:proofErr w:type="spellEnd"/>
            <w:r w:rsidRPr="008C3716">
              <w:rPr>
                <w:rFonts w:ascii="Times New Roman" w:hAnsi="Times New Roman" w:cs="Times New Roman"/>
                <w:sz w:val="20"/>
                <w:szCs w:val="20"/>
                <w:lang w:eastAsia="en-IE"/>
              </w:rPr>
              <w:t>)</w:t>
            </w:r>
          </w:p>
        </w:tc>
        <w:tc>
          <w:tcPr>
            <w:tcW w:w="341" w:type="pct"/>
            <w:tcBorders>
              <w:top w:val="nil"/>
              <w:left w:val="nil"/>
              <w:bottom w:val="single" w:sz="4" w:space="0" w:color="auto"/>
              <w:right w:val="single" w:sz="4" w:space="0" w:color="auto"/>
            </w:tcBorders>
            <w:vAlign w:val="center"/>
          </w:tcPr>
          <w:p w14:paraId="5F68E574" w14:textId="77777777" w:rsidR="00C64F34" w:rsidRPr="008C3716" w:rsidRDefault="00C64F34" w:rsidP="00CD1D2E">
            <w:pPr>
              <w:spacing w:line="240" w:lineRule="auto"/>
              <w:jc w:val="center"/>
              <w:rPr>
                <w:rFonts w:ascii="Times New Roman" w:hAnsi="Times New Roman" w:cs="Times New Roman"/>
                <w:sz w:val="20"/>
                <w:szCs w:val="20"/>
                <w:lang w:eastAsia="en-IE"/>
              </w:rPr>
            </w:pPr>
            <w:proofErr w:type="spellStart"/>
            <w:r w:rsidRPr="008C3716">
              <w:rPr>
                <w:rFonts w:ascii="Times New Roman" w:hAnsi="Times New Roman" w:cs="Times New Roman"/>
                <w:sz w:val="20"/>
                <w:szCs w:val="20"/>
                <w:lang w:eastAsia="en-IE"/>
              </w:rPr>
              <w:t>CTUh</w:t>
            </w:r>
            <w:proofErr w:type="spellEnd"/>
          </w:p>
        </w:tc>
        <w:tc>
          <w:tcPr>
            <w:tcW w:w="3103" w:type="pct"/>
            <w:tcBorders>
              <w:top w:val="nil"/>
              <w:left w:val="nil"/>
              <w:bottom w:val="single" w:sz="4" w:space="0" w:color="auto"/>
              <w:right w:val="single" w:sz="4" w:space="0" w:color="auto"/>
            </w:tcBorders>
            <w:vAlign w:val="center"/>
          </w:tcPr>
          <w:p w14:paraId="563780FC" w14:textId="77777777" w:rsidR="00C64F34" w:rsidRPr="008C3716" w:rsidRDefault="00C64F34" w:rsidP="00CD1D2E">
            <w:pPr>
              <w:spacing w:line="240" w:lineRule="auto"/>
              <w:rPr>
                <w:rFonts w:ascii="Times New Roman" w:hAnsi="Times New Roman" w:cs="Times New Roman"/>
                <w:sz w:val="20"/>
                <w:szCs w:val="20"/>
                <w:lang w:eastAsia="en-IE"/>
              </w:rPr>
            </w:pPr>
            <w:r w:rsidRPr="008C3716">
              <w:rPr>
                <w:rFonts w:ascii="Times New Roman" w:hAnsi="Times New Roman" w:cs="Times New Roman"/>
                <w:sz w:val="20"/>
                <w:szCs w:val="20"/>
                <w:lang w:eastAsia="en-IE"/>
              </w:rPr>
              <w:t>Toxicity to humans is an impact category that represents the adverse effects on human health caused by the intake of toxic substances. This intake may occur by inhalation of air, ingestion of food/water, and dermal penetration. The effect might be non-carcinogenic or carcinogenic if the impact derives from particulate/smog caused by emissions of inorganic substances or ionizing radiation.</w:t>
            </w:r>
          </w:p>
        </w:tc>
      </w:tr>
      <w:tr w:rsidR="00C64F34" w:rsidRPr="008C3716" w14:paraId="00F6ED78" w14:textId="77777777" w:rsidTr="00CD1D2E">
        <w:trPr>
          <w:trHeight w:val="20"/>
        </w:trPr>
        <w:tc>
          <w:tcPr>
            <w:tcW w:w="582" w:type="pct"/>
            <w:tcBorders>
              <w:top w:val="nil"/>
              <w:left w:val="single" w:sz="4" w:space="0" w:color="auto"/>
              <w:bottom w:val="single" w:sz="4" w:space="0" w:color="auto"/>
              <w:right w:val="single" w:sz="4" w:space="0" w:color="auto"/>
            </w:tcBorders>
            <w:vAlign w:val="center"/>
            <w:hideMark/>
          </w:tcPr>
          <w:p w14:paraId="2C83DDC2" w14:textId="77777777" w:rsidR="00C64F34" w:rsidRPr="008C3716" w:rsidRDefault="00C64F34" w:rsidP="00CD1D2E">
            <w:pPr>
              <w:spacing w:line="240" w:lineRule="auto"/>
              <w:jc w:val="left"/>
              <w:rPr>
                <w:rFonts w:ascii="Times New Roman" w:hAnsi="Times New Roman" w:cs="Times New Roman"/>
                <w:sz w:val="20"/>
                <w:szCs w:val="20"/>
                <w:lang w:eastAsia="en-IE"/>
              </w:rPr>
            </w:pPr>
            <w:r w:rsidRPr="008C3716">
              <w:rPr>
                <w:rFonts w:ascii="Times New Roman" w:hAnsi="Times New Roman" w:cs="Times New Roman"/>
                <w:sz w:val="20"/>
                <w:szCs w:val="20"/>
                <w:lang w:eastAsia="en-IE"/>
              </w:rPr>
              <w:t>Freshwater ecotoxicity</w:t>
            </w:r>
          </w:p>
        </w:tc>
        <w:tc>
          <w:tcPr>
            <w:tcW w:w="341" w:type="pct"/>
            <w:tcBorders>
              <w:top w:val="nil"/>
              <w:left w:val="nil"/>
              <w:bottom w:val="single" w:sz="4" w:space="0" w:color="auto"/>
              <w:right w:val="nil"/>
            </w:tcBorders>
            <w:vAlign w:val="center"/>
          </w:tcPr>
          <w:p w14:paraId="59DF1AA4" w14:textId="77777777" w:rsidR="00C64F34" w:rsidRPr="008C3716" w:rsidRDefault="00C64F34" w:rsidP="00CD1D2E">
            <w:pPr>
              <w:spacing w:line="240" w:lineRule="auto"/>
              <w:jc w:val="left"/>
              <w:rPr>
                <w:rFonts w:ascii="Times New Roman" w:hAnsi="Times New Roman" w:cs="Times New Roman"/>
                <w:sz w:val="20"/>
                <w:szCs w:val="20"/>
                <w:lang w:eastAsia="en-IE"/>
              </w:rPr>
            </w:pPr>
            <w:r w:rsidRPr="008C3716">
              <w:rPr>
                <w:rFonts w:ascii="Times New Roman" w:hAnsi="Times New Roman" w:cs="Times New Roman"/>
                <w:noProof/>
                <w:sz w:val="20"/>
                <w:szCs w:val="20"/>
                <w:lang w:eastAsia="en-IE"/>
              </w:rPr>
              <w:drawing>
                <wp:inline distT="0" distB="0" distL="0" distR="0" wp14:anchorId="1F0C7D9B" wp14:editId="3D3B6D6A">
                  <wp:extent cx="558829" cy="518160"/>
                  <wp:effectExtent l="0" t="0" r="0" b="0"/>
                  <wp:docPr id="4" name="Picture 15">
                    <a:extLst xmlns:a="http://schemas.openxmlformats.org/drawingml/2006/main">
                      <a:ext uri="{FF2B5EF4-FFF2-40B4-BE49-F238E27FC236}">
                        <a16:creationId xmlns:a16="http://schemas.microsoft.com/office/drawing/2014/main" id="{212662CA-FFAA-A2EF-1CD1-817AA6FB44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a:extLst>
                              <a:ext uri="{FF2B5EF4-FFF2-40B4-BE49-F238E27FC236}">
                                <a16:creationId xmlns:a16="http://schemas.microsoft.com/office/drawing/2014/main" id="{212662CA-FFAA-A2EF-1CD1-817AA6FB44CA}"/>
                              </a:ext>
                            </a:extLst>
                          </pic:cNvPr>
                          <pic:cNvPicPr>
                            <a:picLocks noChangeAspect="1"/>
                          </pic:cNvPicPr>
                        </pic:nvPicPr>
                        <pic:blipFill rotWithShape="1">
                          <a:blip r:embed="rId10"/>
                          <a:srcRect t="35307" b="55378"/>
                          <a:stretch/>
                        </pic:blipFill>
                        <pic:spPr>
                          <a:xfrm>
                            <a:off x="0" y="0"/>
                            <a:ext cx="558829" cy="518160"/>
                          </a:xfrm>
                          <a:prstGeom prst="rect">
                            <a:avLst/>
                          </a:prstGeom>
                        </pic:spPr>
                      </pic:pic>
                    </a:graphicData>
                  </a:graphic>
                </wp:inline>
              </w:drawing>
            </w:r>
          </w:p>
        </w:tc>
        <w:tc>
          <w:tcPr>
            <w:tcW w:w="633" w:type="pct"/>
            <w:tcBorders>
              <w:top w:val="nil"/>
              <w:left w:val="nil"/>
              <w:bottom w:val="single" w:sz="4" w:space="0" w:color="auto"/>
              <w:right w:val="single" w:sz="4" w:space="0" w:color="auto"/>
            </w:tcBorders>
            <w:vAlign w:val="center"/>
            <w:hideMark/>
          </w:tcPr>
          <w:p w14:paraId="5F0DE423" w14:textId="77777777" w:rsidR="00C64F34" w:rsidRPr="008C3716" w:rsidRDefault="00C64F34" w:rsidP="00CD1D2E">
            <w:pPr>
              <w:spacing w:line="240" w:lineRule="auto"/>
              <w:jc w:val="left"/>
              <w:rPr>
                <w:rFonts w:ascii="Times New Roman" w:hAnsi="Times New Roman" w:cs="Times New Roman"/>
                <w:sz w:val="20"/>
                <w:szCs w:val="20"/>
                <w:lang w:eastAsia="en-IE"/>
              </w:rPr>
            </w:pPr>
            <w:r w:rsidRPr="008C3716">
              <w:rPr>
                <w:rFonts w:ascii="Times New Roman" w:hAnsi="Times New Roman" w:cs="Times New Roman"/>
                <w:sz w:val="20"/>
                <w:szCs w:val="20"/>
                <w:lang w:eastAsia="en-IE"/>
              </w:rPr>
              <w:t>Comparative toxic unit for ecosystems (</w:t>
            </w:r>
            <w:proofErr w:type="spellStart"/>
            <w:r w:rsidRPr="008C3716">
              <w:rPr>
                <w:rFonts w:ascii="Times New Roman" w:hAnsi="Times New Roman" w:cs="Times New Roman"/>
                <w:sz w:val="20"/>
                <w:szCs w:val="20"/>
                <w:lang w:eastAsia="en-IE"/>
              </w:rPr>
              <w:t>CTUe</w:t>
            </w:r>
            <w:proofErr w:type="spellEnd"/>
            <w:r w:rsidRPr="008C3716">
              <w:rPr>
                <w:rFonts w:ascii="Times New Roman" w:hAnsi="Times New Roman" w:cs="Times New Roman"/>
                <w:sz w:val="20"/>
                <w:szCs w:val="20"/>
                <w:lang w:eastAsia="en-IE"/>
              </w:rPr>
              <w:t>)</w:t>
            </w:r>
          </w:p>
        </w:tc>
        <w:tc>
          <w:tcPr>
            <w:tcW w:w="341" w:type="pct"/>
            <w:tcBorders>
              <w:top w:val="nil"/>
              <w:left w:val="nil"/>
              <w:bottom w:val="single" w:sz="4" w:space="0" w:color="auto"/>
              <w:right w:val="single" w:sz="4" w:space="0" w:color="auto"/>
            </w:tcBorders>
            <w:vAlign w:val="center"/>
            <w:hideMark/>
          </w:tcPr>
          <w:p w14:paraId="32F5F566" w14:textId="77777777" w:rsidR="00C64F34" w:rsidRPr="008C3716" w:rsidRDefault="00C64F34" w:rsidP="00CD1D2E">
            <w:pPr>
              <w:spacing w:line="240" w:lineRule="auto"/>
              <w:jc w:val="center"/>
              <w:rPr>
                <w:rFonts w:ascii="Times New Roman" w:hAnsi="Times New Roman" w:cs="Times New Roman"/>
                <w:sz w:val="20"/>
                <w:szCs w:val="20"/>
                <w:lang w:eastAsia="en-IE"/>
              </w:rPr>
            </w:pPr>
            <w:proofErr w:type="spellStart"/>
            <w:r w:rsidRPr="008C3716">
              <w:rPr>
                <w:rFonts w:ascii="Times New Roman" w:hAnsi="Times New Roman" w:cs="Times New Roman"/>
                <w:sz w:val="20"/>
                <w:szCs w:val="20"/>
                <w:lang w:eastAsia="en-IE"/>
              </w:rPr>
              <w:t>CTUe</w:t>
            </w:r>
            <w:proofErr w:type="spellEnd"/>
          </w:p>
        </w:tc>
        <w:tc>
          <w:tcPr>
            <w:tcW w:w="3103" w:type="pct"/>
            <w:tcBorders>
              <w:top w:val="nil"/>
              <w:left w:val="nil"/>
              <w:bottom w:val="single" w:sz="4" w:space="0" w:color="auto"/>
              <w:right w:val="single" w:sz="4" w:space="0" w:color="auto"/>
            </w:tcBorders>
            <w:vAlign w:val="center"/>
            <w:hideMark/>
          </w:tcPr>
          <w:p w14:paraId="20D40600" w14:textId="77777777" w:rsidR="00C64F34" w:rsidRPr="008C3716" w:rsidRDefault="00C64F34" w:rsidP="00CD1D2E">
            <w:pPr>
              <w:spacing w:line="240" w:lineRule="auto"/>
              <w:rPr>
                <w:rFonts w:ascii="Times New Roman" w:hAnsi="Times New Roman" w:cs="Times New Roman"/>
                <w:sz w:val="20"/>
                <w:szCs w:val="20"/>
                <w:lang w:eastAsia="en-IE"/>
              </w:rPr>
            </w:pPr>
            <w:r w:rsidRPr="008C3716">
              <w:rPr>
                <w:rFonts w:ascii="Times New Roman" w:hAnsi="Times New Roman" w:cs="Times New Roman"/>
                <w:sz w:val="20"/>
                <w:szCs w:val="20"/>
                <w:lang w:eastAsia="en-IE"/>
              </w:rPr>
              <w:t xml:space="preserve">Ecotoxicity is the result of a multiplicity of toxicological mechanisms caused by the release of pollutants into water, which harm individual species and/or change the structure and function of biota, with a direct effect on aquatic ecosystem health; the </w:t>
            </w:r>
            <w:proofErr w:type="spellStart"/>
            <w:r w:rsidRPr="008C3716">
              <w:rPr>
                <w:rFonts w:ascii="Times New Roman" w:hAnsi="Times New Roman" w:cs="Times New Roman"/>
                <w:sz w:val="20"/>
                <w:szCs w:val="20"/>
                <w:lang w:eastAsia="en-IE"/>
              </w:rPr>
              <w:t>CTUe</w:t>
            </w:r>
            <w:proofErr w:type="spellEnd"/>
            <w:r w:rsidRPr="008C3716">
              <w:rPr>
                <w:rFonts w:ascii="Times New Roman" w:hAnsi="Times New Roman" w:cs="Times New Roman"/>
                <w:sz w:val="20"/>
                <w:szCs w:val="20"/>
                <w:lang w:eastAsia="en-IE"/>
              </w:rPr>
              <w:t xml:space="preserve"> expresses the fraction </w:t>
            </w:r>
            <w:bookmarkStart w:id="1" w:name="_Hlk169783509"/>
            <w:r w:rsidRPr="008C3716">
              <w:rPr>
                <w:rFonts w:ascii="Times New Roman" w:hAnsi="Times New Roman" w:cs="Times New Roman"/>
                <w:sz w:val="20"/>
                <w:szCs w:val="20"/>
                <w:lang w:eastAsia="en-IE"/>
              </w:rPr>
              <w:t>of potentially affected species (PAF)</w:t>
            </w:r>
            <w:bookmarkEnd w:id="1"/>
            <w:r w:rsidRPr="008C3716">
              <w:rPr>
                <w:rFonts w:ascii="Times New Roman" w:hAnsi="Times New Roman" w:cs="Times New Roman"/>
                <w:sz w:val="20"/>
                <w:szCs w:val="20"/>
                <w:lang w:eastAsia="en-IE"/>
              </w:rPr>
              <w:t xml:space="preserve">, </w:t>
            </w:r>
            <w:r w:rsidRPr="008C3716">
              <w:rPr>
                <w:rFonts w:ascii="Times New Roman" w:hAnsi="Times New Roman" w:cs="Times New Roman"/>
                <w:sz w:val="20"/>
                <w:szCs w:val="20"/>
                <w:lang w:eastAsia="en-IE"/>
              </w:rPr>
              <w:lastRenderedPageBreak/>
              <w:t xml:space="preserve">integrated over time and volume of the freshwater compartment, per unit mass of the emitted chemical. In practice: PAF × m³ × day per kg emitted = </w:t>
            </w:r>
            <w:proofErr w:type="spellStart"/>
            <w:r w:rsidRPr="008C3716">
              <w:rPr>
                <w:rFonts w:ascii="Times New Roman" w:hAnsi="Times New Roman" w:cs="Times New Roman"/>
                <w:sz w:val="20"/>
                <w:szCs w:val="20"/>
                <w:lang w:eastAsia="en-IE"/>
              </w:rPr>
              <w:t>CTUe</w:t>
            </w:r>
            <w:proofErr w:type="spellEnd"/>
            <w:r w:rsidRPr="008C3716">
              <w:rPr>
                <w:rFonts w:ascii="Times New Roman" w:hAnsi="Times New Roman" w:cs="Times New Roman"/>
                <w:sz w:val="20"/>
                <w:szCs w:val="20"/>
                <w:lang w:eastAsia="en-IE"/>
              </w:rPr>
              <w:t xml:space="preserve"> per kg emitted.</w:t>
            </w:r>
          </w:p>
        </w:tc>
      </w:tr>
      <w:tr w:rsidR="00C64F34" w:rsidRPr="008C3716" w14:paraId="279B280E" w14:textId="77777777" w:rsidTr="00CD1D2E">
        <w:trPr>
          <w:trHeight w:val="20"/>
        </w:trPr>
        <w:tc>
          <w:tcPr>
            <w:tcW w:w="582" w:type="pct"/>
            <w:tcBorders>
              <w:top w:val="nil"/>
              <w:left w:val="single" w:sz="4" w:space="0" w:color="auto"/>
              <w:bottom w:val="single" w:sz="4" w:space="0" w:color="auto"/>
              <w:right w:val="single" w:sz="4" w:space="0" w:color="auto"/>
            </w:tcBorders>
            <w:vAlign w:val="center"/>
            <w:hideMark/>
          </w:tcPr>
          <w:p w14:paraId="1C00C24D" w14:textId="77777777" w:rsidR="00C64F34" w:rsidRPr="008C3716" w:rsidRDefault="00C64F34" w:rsidP="00CD1D2E">
            <w:pPr>
              <w:spacing w:line="240" w:lineRule="auto"/>
              <w:jc w:val="left"/>
              <w:rPr>
                <w:rFonts w:ascii="Times New Roman" w:hAnsi="Times New Roman" w:cs="Times New Roman"/>
                <w:sz w:val="20"/>
                <w:szCs w:val="20"/>
                <w:lang w:eastAsia="en-IE"/>
              </w:rPr>
            </w:pPr>
            <w:r w:rsidRPr="008C3716">
              <w:rPr>
                <w:rFonts w:ascii="Times New Roman" w:hAnsi="Times New Roman" w:cs="Times New Roman"/>
                <w:sz w:val="20"/>
                <w:szCs w:val="20"/>
                <w:lang w:eastAsia="en-IE"/>
              </w:rPr>
              <w:lastRenderedPageBreak/>
              <w:t>Water use</w:t>
            </w:r>
          </w:p>
        </w:tc>
        <w:tc>
          <w:tcPr>
            <w:tcW w:w="341" w:type="pct"/>
            <w:tcBorders>
              <w:top w:val="nil"/>
              <w:left w:val="nil"/>
              <w:bottom w:val="single" w:sz="4" w:space="0" w:color="auto"/>
              <w:right w:val="nil"/>
            </w:tcBorders>
            <w:vAlign w:val="center"/>
          </w:tcPr>
          <w:p w14:paraId="642AD62B" w14:textId="77777777" w:rsidR="00C64F34" w:rsidRPr="008C3716" w:rsidRDefault="00C64F34" w:rsidP="00CD1D2E">
            <w:pPr>
              <w:spacing w:line="240" w:lineRule="auto"/>
              <w:jc w:val="left"/>
              <w:rPr>
                <w:rFonts w:ascii="Times New Roman" w:hAnsi="Times New Roman" w:cs="Times New Roman"/>
                <w:sz w:val="20"/>
                <w:szCs w:val="20"/>
                <w:lang w:eastAsia="en-IE"/>
              </w:rPr>
            </w:pPr>
            <w:r w:rsidRPr="008C3716">
              <w:rPr>
                <w:rFonts w:ascii="Times New Roman" w:hAnsi="Times New Roman" w:cs="Times New Roman"/>
                <w:noProof/>
                <w:sz w:val="20"/>
                <w:szCs w:val="20"/>
                <w:lang w:eastAsia="en-IE"/>
              </w:rPr>
              <w:drawing>
                <wp:inline distT="0" distB="0" distL="0" distR="0" wp14:anchorId="2BE147A3" wp14:editId="7C8600AB">
                  <wp:extent cx="299943" cy="490119"/>
                  <wp:effectExtent l="0" t="0" r="508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822" r="-86" b="4802"/>
                          <a:stretch/>
                        </pic:blipFill>
                        <pic:spPr bwMode="auto">
                          <a:xfrm>
                            <a:off x="0" y="0"/>
                            <a:ext cx="315120" cy="51491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33" w:type="pct"/>
            <w:tcBorders>
              <w:top w:val="nil"/>
              <w:left w:val="nil"/>
              <w:bottom w:val="single" w:sz="4" w:space="0" w:color="auto"/>
              <w:right w:val="single" w:sz="4" w:space="0" w:color="auto"/>
            </w:tcBorders>
            <w:vAlign w:val="center"/>
            <w:hideMark/>
          </w:tcPr>
          <w:p w14:paraId="5A671EED" w14:textId="77777777" w:rsidR="00C64F34" w:rsidRPr="008C3716" w:rsidRDefault="00C64F34" w:rsidP="00CD1D2E">
            <w:pPr>
              <w:spacing w:line="240" w:lineRule="auto"/>
              <w:jc w:val="left"/>
              <w:rPr>
                <w:rFonts w:ascii="Times New Roman" w:hAnsi="Times New Roman" w:cs="Times New Roman"/>
                <w:sz w:val="20"/>
                <w:szCs w:val="20"/>
                <w:lang w:eastAsia="en-IE"/>
              </w:rPr>
            </w:pPr>
            <w:r w:rsidRPr="008C3716">
              <w:rPr>
                <w:rFonts w:ascii="Times New Roman" w:hAnsi="Times New Roman" w:cs="Times New Roman"/>
                <w:sz w:val="20"/>
                <w:szCs w:val="20"/>
                <w:lang w:eastAsia="en-IE"/>
              </w:rPr>
              <w:t>Water consumption potential (WCP)</w:t>
            </w:r>
          </w:p>
        </w:tc>
        <w:tc>
          <w:tcPr>
            <w:tcW w:w="341" w:type="pct"/>
            <w:tcBorders>
              <w:top w:val="nil"/>
              <w:left w:val="nil"/>
              <w:bottom w:val="single" w:sz="4" w:space="0" w:color="auto"/>
              <w:right w:val="single" w:sz="4" w:space="0" w:color="auto"/>
            </w:tcBorders>
            <w:vAlign w:val="center"/>
            <w:hideMark/>
          </w:tcPr>
          <w:p w14:paraId="411A5073" w14:textId="77777777" w:rsidR="00C64F34" w:rsidRPr="008C3716" w:rsidRDefault="00C64F34" w:rsidP="00CD1D2E">
            <w:pPr>
              <w:spacing w:line="240" w:lineRule="auto"/>
              <w:jc w:val="center"/>
              <w:rPr>
                <w:rFonts w:ascii="Times New Roman" w:hAnsi="Times New Roman" w:cs="Times New Roman"/>
                <w:sz w:val="20"/>
                <w:szCs w:val="20"/>
                <w:lang w:eastAsia="en-IE"/>
              </w:rPr>
            </w:pPr>
            <w:r w:rsidRPr="008C3716">
              <w:rPr>
                <w:rFonts w:ascii="Times New Roman" w:hAnsi="Times New Roman" w:cs="Times New Roman"/>
                <w:sz w:val="20"/>
                <w:szCs w:val="20"/>
                <w:lang w:eastAsia="en-IE"/>
              </w:rPr>
              <w:t>L</w:t>
            </w:r>
          </w:p>
        </w:tc>
        <w:tc>
          <w:tcPr>
            <w:tcW w:w="3103" w:type="pct"/>
            <w:tcBorders>
              <w:top w:val="nil"/>
              <w:left w:val="nil"/>
              <w:bottom w:val="single" w:sz="4" w:space="0" w:color="auto"/>
              <w:right w:val="single" w:sz="4" w:space="0" w:color="auto"/>
            </w:tcBorders>
            <w:vAlign w:val="center"/>
            <w:hideMark/>
          </w:tcPr>
          <w:p w14:paraId="298D2A43" w14:textId="77777777" w:rsidR="00C64F34" w:rsidRPr="008C3716" w:rsidRDefault="00C64F34" w:rsidP="00CD1D2E">
            <w:pPr>
              <w:spacing w:line="240" w:lineRule="auto"/>
              <w:rPr>
                <w:rFonts w:ascii="Times New Roman" w:hAnsi="Times New Roman" w:cs="Times New Roman"/>
                <w:sz w:val="20"/>
                <w:szCs w:val="20"/>
                <w:lang w:eastAsia="en-IE"/>
              </w:rPr>
            </w:pPr>
            <w:r w:rsidRPr="008C3716">
              <w:rPr>
                <w:rFonts w:ascii="Times New Roman" w:hAnsi="Times New Roman" w:cs="Times New Roman"/>
                <w:sz w:val="20"/>
                <w:szCs w:val="20"/>
                <w:lang w:eastAsia="en-IE"/>
              </w:rPr>
              <w:t>This indicator represents a kind of “water footprint” in that it measures all the water consumed along the life cycle activities, which undergoes evaporation processes and is incorporated into products, transferred to other watersheds, or that reaches the sea.</w:t>
            </w:r>
          </w:p>
        </w:tc>
      </w:tr>
      <w:tr w:rsidR="00C64F34" w:rsidRPr="008C3716" w14:paraId="1BEBE69A" w14:textId="77777777" w:rsidTr="00CD1D2E">
        <w:trPr>
          <w:trHeight w:val="20"/>
        </w:trPr>
        <w:tc>
          <w:tcPr>
            <w:tcW w:w="582" w:type="pct"/>
            <w:tcBorders>
              <w:top w:val="nil"/>
              <w:left w:val="single" w:sz="4" w:space="0" w:color="auto"/>
              <w:bottom w:val="single" w:sz="4" w:space="0" w:color="auto"/>
              <w:right w:val="single" w:sz="4" w:space="0" w:color="auto"/>
            </w:tcBorders>
            <w:vAlign w:val="center"/>
          </w:tcPr>
          <w:p w14:paraId="065C6127" w14:textId="77777777" w:rsidR="00C64F34" w:rsidRPr="008C3716" w:rsidRDefault="00C64F34" w:rsidP="00CD1D2E">
            <w:pPr>
              <w:spacing w:line="240" w:lineRule="auto"/>
              <w:jc w:val="left"/>
              <w:rPr>
                <w:rFonts w:ascii="Times New Roman" w:hAnsi="Times New Roman" w:cs="Times New Roman"/>
                <w:sz w:val="20"/>
                <w:szCs w:val="20"/>
                <w:highlight w:val="yellow"/>
                <w:lang w:eastAsia="en-IE"/>
              </w:rPr>
            </w:pPr>
            <w:r w:rsidRPr="008C3716">
              <w:rPr>
                <w:rFonts w:ascii="Times New Roman" w:hAnsi="Times New Roman" w:cs="Times New Roman"/>
                <w:sz w:val="20"/>
                <w:szCs w:val="20"/>
                <w:lang w:eastAsia="en-IE"/>
              </w:rPr>
              <w:t>Water scarcity</w:t>
            </w:r>
          </w:p>
        </w:tc>
        <w:tc>
          <w:tcPr>
            <w:tcW w:w="341" w:type="pct"/>
            <w:tcBorders>
              <w:top w:val="nil"/>
              <w:left w:val="nil"/>
              <w:bottom w:val="single" w:sz="4" w:space="0" w:color="auto"/>
              <w:right w:val="nil"/>
            </w:tcBorders>
            <w:vAlign w:val="center"/>
          </w:tcPr>
          <w:p w14:paraId="2107D443" w14:textId="77777777" w:rsidR="00C64F34" w:rsidRPr="008C3716" w:rsidRDefault="00C64F34" w:rsidP="00CD1D2E">
            <w:pPr>
              <w:spacing w:line="240" w:lineRule="auto"/>
              <w:jc w:val="left"/>
              <w:rPr>
                <w:rFonts w:ascii="Times New Roman" w:hAnsi="Times New Roman" w:cs="Times New Roman"/>
                <w:sz w:val="20"/>
                <w:szCs w:val="20"/>
                <w:lang w:eastAsia="en-IE"/>
              </w:rPr>
            </w:pPr>
            <w:r w:rsidRPr="008C3716">
              <w:rPr>
                <w:rFonts w:ascii="Times New Roman" w:hAnsi="Times New Roman" w:cs="Times New Roman"/>
                <w:noProof/>
                <w:sz w:val="20"/>
                <w:szCs w:val="20"/>
                <w:lang w:eastAsia="en-IE"/>
              </w:rPr>
              <w:drawing>
                <wp:inline distT="0" distB="0" distL="0" distR="0" wp14:anchorId="3BD492C3" wp14:editId="650F1961">
                  <wp:extent cx="558829" cy="537211"/>
                  <wp:effectExtent l="0" t="0" r="0" b="0"/>
                  <wp:docPr id="18" name="Picture 17">
                    <a:extLst xmlns:a="http://schemas.openxmlformats.org/drawingml/2006/main">
                      <a:ext uri="{FF2B5EF4-FFF2-40B4-BE49-F238E27FC236}">
                        <a16:creationId xmlns:a16="http://schemas.microsoft.com/office/drawing/2014/main" id="{FDDC4F03-4C17-B3E7-ECE8-7555B54045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a:extLst>
                              <a:ext uri="{FF2B5EF4-FFF2-40B4-BE49-F238E27FC236}">
                                <a16:creationId xmlns:a16="http://schemas.microsoft.com/office/drawing/2014/main" id="{FDDC4F03-4C17-B3E7-ECE8-7555B54045AD}"/>
                              </a:ext>
                            </a:extLst>
                          </pic:cNvPr>
                          <pic:cNvPicPr>
                            <a:picLocks noChangeAspect="1"/>
                          </pic:cNvPicPr>
                        </pic:nvPicPr>
                        <pic:blipFill rotWithShape="1">
                          <a:blip r:embed="rId10"/>
                          <a:srcRect t="66166" b="24177"/>
                          <a:stretch/>
                        </pic:blipFill>
                        <pic:spPr>
                          <a:xfrm>
                            <a:off x="0" y="0"/>
                            <a:ext cx="558829" cy="537211"/>
                          </a:xfrm>
                          <a:prstGeom prst="rect">
                            <a:avLst/>
                          </a:prstGeom>
                        </pic:spPr>
                      </pic:pic>
                    </a:graphicData>
                  </a:graphic>
                </wp:inline>
              </w:drawing>
            </w:r>
          </w:p>
        </w:tc>
        <w:tc>
          <w:tcPr>
            <w:tcW w:w="633" w:type="pct"/>
            <w:tcBorders>
              <w:top w:val="nil"/>
              <w:left w:val="nil"/>
              <w:bottom w:val="single" w:sz="4" w:space="0" w:color="auto"/>
              <w:right w:val="single" w:sz="4" w:space="0" w:color="auto"/>
            </w:tcBorders>
            <w:vAlign w:val="center"/>
          </w:tcPr>
          <w:p w14:paraId="4466BF91" w14:textId="77777777" w:rsidR="00C64F34" w:rsidRPr="008C3716" w:rsidRDefault="00C64F34" w:rsidP="00CD1D2E">
            <w:pPr>
              <w:spacing w:line="240" w:lineRule="auto"/>
              <w:jc w:val="left"/>
              <w:rPr>
                <w:rFonts w:ascii="Times New Roman" w:hAnsi="Times New Roman" w:cs="Times New Roman"/>
                <w:sz w:val="20"/>
                <w:szCs w:val="20"/>
                <w:highlight w:val="yellow"/>
                <w:lang w:eastAsia="en-IE"/>
              </w:rPr>
            </w:pPr>
            <w:r w:rsidRPr="008C3716">
              <w:rPr>
                <w:rFonts w:ascii="Times New Roman" w:hAnsi="Times New Roman" w:cs="Times New Roman"/>
                <w:sz w:val="20"/>
                <w:szCs w:val="20"/>
                <w:lang w:eastAsia="en-IE"/>
              </w:rPr>
              <w:t>Water deprivation potential for users (WSF)</w:t>
            </w:r>
          </w:p>
        </w:tc>
        <w:tc>
          <w:tcPr>
            <w:tcW w:w="341" w:type="pct"/>
            <w:tcBorders>
              <w:top w:val="nil"/>
              <w:left w:val="nil"/>
              <w:bottom w:val="single" w:sz="4" w:space="0" w:color="auto"/>
              <w:right w:val="single" w:sz="4" w:space="0" w:color="auto"/>
            </w:tcBorders>
            <w:vAlign w:val="center"/>
          </w:tcPr>
          <w:p w14:paraId="34D0047A" w14:textId="77777777" w:rsidR="00C64F34" w:rsidRPr="008C3716" w:rsidRDefault="00C64F34" w:rsidP="00CD1D2E">
            <w:pPr>
              <w:spacing w:line="240" w:lineRule="auto"/>
              <w:jc w:val="center"/>
              <w:rPr>
                <w:rFonts w:ascii="Times New Roman" w:hAnsi="Times New Roman" w:cs="Times New Roman"/>
                <w:sz w:val="20"/>
                <w:szCs w:val="20"/>
                <w:lang w:eastAsia="en-IE"/>
              </w:rPr>
            </w:pPr>
            <w:r w:rsidRPr="008C3716">
              <w:rPr>
                <w:rFonts w:ascii="Times New Roman" w:hAnsi="Times New Roman" w:cs="Times New Roman"/>
                <w:sz w:val="20"/>
                <w:szCs w:val="20"/>
                <w:lang w:eastAsia="en-IE"/>
              </w:rPr>
              <w:t>m</w:t>
            </w:r>
            <w:r w:rsidRPr="008C3716">
              <w:rPr>
                <w:rFonts w:ascii="Times New Roman" w:hAnsi="Times New Roman" w:cs="Times New Roman"/>
                <w:sz w:val="20"/>
                <w:szCs w:val="20"/>
                <w:vertAlign w:val="superscript"/>
                <w:lang w:eastAsia="en-IE"/>
              </w:rPr>
              <w:t>3</w:t>
            </w:r>
            <w:r w:rsidRPr="008C3716">
              <w:rPr>
                <w:rFonts w:ascii="Times New Roman" w:hAnsi="Times New Roman" w:cs="Times New Roman"/>
                <w:sz w:val="20"/>
                <w:szCs w:val="20"/>
                <w:lang w:eastAsia="en-IE"/>
              </w:rPr>
              <w:t xml:space="preserve"> eq.</w:t>
            </w:r>
          </w:p>
        </w:tc>
        <w:tc>
          <w:tcPr>
            <w:tcW w:w="3103" w:type="pct"/>
            <w:tcBorders>
              <w:top w:val="nil"/>
              <w:left w:val="nil"/>
              <w:bottom w:val="single" w:sz="4" w:space="0" w:color="auto"/>
              <w:right w:val="single" w:sz="4" w:space="0" w:color="auto"/>
            </w:tcBorders>
            <w:vAlign w:val="center"/>
          </w:tcPr>
          <w:p w14:paraId="2B489E41" w14:textId="77777777" w:rsidR="00C64F34" w:rsidRPr="008C3716" w:rsidRDefault="00C64F34" w:rsidP="00CD1D2E">
            <w:pPr>
              <w:spacing w:line="240" w:lineRule="auto"/>
              <w:rPr>
                <w:rFonts w:ascii="Times New Roman" w:hAnsi="Times New Roman" w:cs="Times New Roman"/>
                <w:sz w:val="20"/>
                <w:szCs w:val="20"/>
                <w:lang w:eastAsia="en-IE"/>
              </w:rPr>
            </w:pPr>
            <w:r w:rsidRPr="008C3716">
              <w:rPr>
                <w:rFonts w:ascii="Times New Roman" w:hAnsi="Times New Roman" w:cs="Times New Roman"/>
                <w:sz w:val="20"/>
                <w:szCs w:val="20"/>
                <w:lang w:eastAsia="en-IE"/>
              </w:rPr>
              <w:t xml:space="preserve">This indicator quantifies the potential of water deprivation for humans or ecosystems. It is based on an estimate of the ratio of water demand to availability and measures the volume of available water that remains, per unit area </w:t>
            </w:r>
            <w:proofErr w:type="gramStart"/>
            <w:r w:rsidRPr="008C3716">
              <w:rPr>
                <w:rFonts w:ascii="Times New Roman" w:hAnsi="Times New Roman" w:cs="Times New Roman"/>
                <w:sz w:val="20"/>
                <w:szCs w:val="20"/>
                <w:lang w:eastAsia="en-IE"/>
              </w:rPr>
              <w:t>in a given</w:t>
            </w:r>
            <w:proofErr w:type="gramEnd"/>
            <w:r w:rsidRPr="008C3716">
              <w:rPr>
                <w:rFonts w:ascii="Times New Roman" w:hAnsi="Times New Roman" w:cs="Times New Roman"/>
                <w:sz w:val="20"/>
                <w:szCs w:val="20"/>
                <w:lang w:eastAsia="en-IE"/>
              </w:rPr>
              <w:t xml:space="preserve"> watershed and relative to the world average, once the demand for water by humans and the aquatic ecosystem has been satisfied. </w:t>
            </w:r>
          </w:p>
        </w:tc>
      </w:tr>
      <w:tr w:rsidR="00C64F34" w:rsidRPr="008C3716" w14:paraId="0B9E835C" w14:textId="77777777" w:rsidTr="00CD1D2E">
        <w:trPr>
          <w:trHeight w:val="20"/>
        </w:trPr>
        <w:tc>
          <w:tcPr>
            <w:tcW w:w="582" w:type="pct"/>
            <w:tcBorders>
              <w:top w:val="nil"/>
              <w:left w:val="single" w:sz="4" w:space="0" w:color="auto"/>
              <w:bottom w:val="single" w:sz="4" w:space="0" w:color="auto"/>
              <w:right w:val="single" w:sz="4" w:space="0" w:color="auto"/>
            </w:tcBorders>
            <w:vAlign w:val="center"/>
            <w:hideMark/>
          </w:tcPr>
          <w:p w14:paraId="43FA6442" w14:textId="77777777" w:rsidR="00C64F34" w:rsidRPr="008C3716" w:rsidRDefault="00C64F34" w:rsidP="00CD1D2E">
            <w:pPr>
              <w:spacing w:line="240" w:lineRule="auto"/>
              <w:jc w:val="left"/>
              <w:rPr>
                <w:rFonts w:ascii="Times New Roman" w:hAnsi="Times New Roman" w:cs="Times New Roman"/>
                <w:sz w:val="20"/>
                <w:szCs w:val="20"/>
                <w:lang w:eastAsia="en-IE"/>
              </w:rPr>
            </w:pPr>
            <w:r w:rsidRPr="008C3716">
              <w:rPr>
                <w:rFonts w:ascii="Times New Roman" w:hAnsi="Times New Roman" w:cs="Times New Roman"/>
                <w:sz w:val="20"/>
                <w:szCs w:val="20"/>
                <w:lang w:eastAsia="en-IE"/>
              </w:rPr>
              <w:t>Fossil resource use</w:t>
            </w:r>
          </w:p>
        </w:tc>
        <w:tc>
          <w:tcPr>
            <w:tcW w:w="341" w:type="pct"/>
            <w:tcBorders>
              <w:top w:val="nil"/>
              <w:left w:val="nil"/>
              <w:bottom w:val="single" w:sz="4" w:space="0" w:color="auto"/>
              <w:right w:val="nil"/>
            </w:tcBorders>
            <w:vAlign w:val="center"/>
          </w:tcPr>
          <w:p w14:paraId="77E5084C" w14:textId="77777777" w:rsidR="00C64F34" w:rsidRPr="008C3716" w:rsidRDefault="00C64F34" w:rsidP="00CD1D2E">
            <w:pPr>
              <w:spacing w:line="240" w:lineRule="auto"/>
              <w:jc w:val="left"/>
              <w:rPr>
                <w:rFonts w:ascii="Times New Roman" w:hAnsi="Times New Roman" w:cs="Times New Roman"/>
                <w:sz w:val="20"/>
                <w:szCs w:val="20"/>
                <w:lang w:eastAsia="en-IE"/>
              </w:rPr>
            </w:pPr>
            <w:r w:rsidRPr="008C3716">
              <w:rPr>
                <w:rFonts w:ascii="Times New Roman" w:hAnsi="Times New Roman" w:cs="Times New Roman"/>
                <w:noProof/>
                <w:sz w:val="20"/>
                <w:szCs w:val="20"/>
                <w:lang w:eastAsia="en-IE"/>
              </w:rPr>
              <w:drawing>
                <wp:inline distT="0" distB="0" distL="0" distR="0" wp14:anchorId="0F4D9694" wp14:editId="2E96544E">
                  <wp:extent cx="558829" cy="512684"/>
                  <wp:effectExtent l="0" t="0" r="0" b="1905"/>
                  <wp:docPr id="20" name="Picture 19">
                    <a:extLst xmlns:a="http://schemas.openxmlformats.org/drawingml/2006/main">
                      <a:ext uri="{FF2B5EF4-FFF2-40B4-BE49-F238E27FC236}">
                        <a16:creationId xmlns:a16="http://schemas.microsoft.com/office/drawing/2014/main" id="{CD7431BB-D408-DF2C-78B1-4336DE68BD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a:extLst>
                              <a:ext uri="{FF2B5EF4-FFF2-40B4-BE49-F238E27FC236}">
                                <a16:creationId xmlns:a16="http://schemas.microsoft.com/office/drawing/2014/main" id="{CD7431BB-D408-DF2C-78B1-4336DE68BD15}"/>
                              </a:ext>
                            </a:extLst>
                          </pic:cNvPr>
                          <pic:cNvPicPr>
                            <a:picLocks noChangeAspect="1"/>
                          </pic:cNvPicPr>
                        </pic:nvPicPr>
                        <pic:blipFill rotWithShape="1">
                          <a:blip r:embed="rId10"/>
                          <a:srcRect t="90784"/>
                          <a:stretch/>
                        </pic:blipFill>
                        <pic:spPr>
                          <a:xfrm>
                            <a:off x="0" y="0"/>
                            <a:ext cx="558829" cy="512684"/>
                          </a:xfrm>
                          <a:prstGeom prst="rect">
                            <a:avLst/>
                          </a:prstGeom>
                        </pic:spPr>
                      </pic:pic>
                    </a:graphicData>
                  </a:graphic>
                </wp:inline>
              </w:drawing>
            </w:r>
          </w:p>
        </w:tc>
        <w:tc>
          <w:tcPr>
            <w:tcW w:w="633" w:type="pct"/>
            <w:tcBorders>
              <w:top w:val="nil"/>
              <w:left w:val="nil"/>
              <w:bottom w:val="single" w:sz="4" w:space="0" w:color="auto"/>
              <w:right w:val="single" w:sz="4" w:space="0" w:color="auto"/>
            </w:tcBorders>
            <w:vAlign w:val="center"/>
            <w:hideMark/>
          </w:tcPr>
          <w:p w14:paraId="287C4106" w14:textId="77777777" w:rsidR="00C64F34" w:rsidRPr="008C3716" w:rsidRDefault="00C64F34" w:rsidP="00CD1D2E">
            <w:pPr>
              <w:spacing w:line="240" w:lineRule="auto"/>
              <w:jc w:val="left"/>
              <w:rPr>
                <w:rFonts w:ascii="Times New Roman" w:hAnsi="Times New Roman" w:cs="Times New Roman"/>
                <w:sz w:val="20"/>
                <w:szCs w:val="20"/>
                <w:lang w:eastAsia="en-IE"/>
              </w:rPr>
            </w:pPr>
            <w:r w:rsidRPr="008C3716">
              <w:rPr>
                <w:rFonts w:ascii="Times New Roman" w:hAnsi="Times New Roman" w:cs="Times New Roman"/>
                <w:sz w:val="20"/>
                <w:szCs w:val="20"/>
                <w:lang w:eastAsia="en-IE"/>
              </w:rPr>
              <w:t>Abiotic resource depletion, fossil fuels (ADP-fossil)</w:t>
            </w:r>
          </w:p>
        </w:tc>
        <w:tc>
          <w:tcPr>
            <w:tcW w:w="341" w:type="pct"/>
            <w:tcBorders>
              <w:top w:val="nil"/>
              <w:left w:val="nil"/>
              <w:bottom w:val="single" w:sz="4" w:space="0" w:color="auto"/>
              <w:right w:val="single" w:sz="4" w:space="0" w:color="auto"/>
            </w:tcBorders>
            <w:vAlign w:val="center"/>
            <w:hideMark/>
          </w:tcPr>
          <w:p w14:paraId="41D74EEF" w14:textId="77777777" w:rsidR="00C64F34" w:rsidRPr="008C3716" w:rsidRDefault="00C64F34" w:rsidP="00CD1D2E">
            <w:pPr>
              <w:spacing w:line="240" w:lineRule="auto"/>
              <w:jc w:val="center"/>
              <w:rPr>
                <w:rFonts w:ascii="Times New Roman" w:hAnsi="Times New Roman" w:cs="Times New Roman"/>
                <w:sz w:val="20"/>
                <w:szCs w:val="20"/>
                <w:lang w:eastAsia="en-IE"/>
              </w:rPr>
            </w:pPr>
            <w:r w:rsidRPr="008C3716">
              <w:rPr>
                <w:rFonts w:ascii="Times New Roman" w:hAnsi="Times New Roman" w:cs="Times New Roman"/>
                <w:sz w:val="20"/>
                <w:szCs w:val="20"/>
                <w:lang w:eastAsia="en-IE"/>
              </w:rPr>
              <w:t>MJ</w:t>
            </w:r>
          </w:p>
        </w:tc>
        <w:tc>
          <w:tcPr>
            <w:tcW w:w="3103" w:type="pct"/>
            <w:vMerge w:val="restart"/>
            <w:tcBorders>
              <w:top w:val="nil"/>
              <w:left w:val="single" w:sz="4" w:space="0" w:color="auto"/>
              <w:bottom w:val="single" w:sz="4" w:space="0" w:color="auto"/>
              <w:right w:val="single" w:sz="4" w:space="0" w:color="auto"/>
            </w:tcBorders>
            <w:vAlign w:val="center"/>
            <w:hideMark/>
          </w:tcPr>
          <w:p w14:paraId="7BFBF2CC" w14:textId="77777777" w:rsidR="00C64F34" w:rsidRPr="008C3716" w:rsidRDefault="00C64F34" w:rsidP="00CD1D2E">
            <w:pPr>
              <w:spacing w:line="240" w:lineRule="auto"/>
              <w:rPr>
                <w:rFonts w:ascii="Times New Roman" w:hAnsi="Times New Roman" w:cs="Times New Roman"/>
                <w:sz w:val="20"/>
                <w:szCs w:val="20"/>
                <w:lang w:eastAsia="en-IE"/>
              </w:rPr>
            </w:pPr>
            <w:r w:rsidRPr="008C3716">
              <w:rPr>
                <w:rFonts w:ascii="Times New Roman" w:hAnsi="Times New Roman" w:cs="Times New Roman"/>
                <w:sz w:val="20"/>
                <w:szCs w:val="20"/>
                <w:lang w:eastAsia="en-IE"/>
              </w:rPr>
              <w:t>ODP characterization factors are calculated as abiotic resource depletion potentials quantified as kg of antimony equivalent per kg of extracted substance, or as MJ of energy carriers. The depletion model is based on the use/availability ratio. Full substitution among fossil energy carriers is assumed.</w:t>
            </w:r>
          </w:p>
        </w:tc>
      </w:tr>
      <w:tr w:rsidR="00C64F34" w:rsidRPr="008C3716" w14:paraId="62E2FD7B" w14:textId="77777777" w:rsidTr="00CD1D2E">
        <w:trPr>
          <w:trHeight w:val="20"/>
        </w:trPr>
        <w:tc>
          <w:tcPr>
            <w:tcW w:w="582" w:type="pct"/>
            <w:tcBorders>
              <w:top w:val="nil"/>
              <w:left w:val="single" w:sz="4" w:space="0" w:color="auto"/>
              <w:bottom w:val="single" w:sz="4" w:space="0" w:color="auto"/>
              <w:right w:val="single" w:sz="4" w:space="0" w:color="auto"/>
            </w:tcBorders>
            <w:vAlign w:val="center"/>
            <w:hideMark/>
          </w:tcPr>
          <w:p w14:paraId="5B220EA7" w14:textId="77777777" w:rsidR="00C64F34" w:rsidRPr="008C3716" w:rsidRDefault="00C64F34" w:rsidP="00CD1D2E">
            <w:pPr>
              <w:spacing w:line="240" w:lineRule="auto"/>
              <w:jc w:val="left"/>
              <w:rPr>
                <w:rFonts w:ascii="Times New Roman" w:hAnsi="Times New Roman" w:cs="Times New Roman"/>
                <w:sz w:val="20"/>
                <w:szCs w:val="20"/>
                <w:lang w:eastAsia="en-IE"/>
              </w:rPr>
            </w:pPr>
            <w:r w:rsidRPr="008C3716">
              <w:rPr>
                <w:rFonts w:ascii="Times New Roman" w:hAnsi="Times New Roman" w:cs="Times New Roman"/>
                <w:sz w:val="20"/>
                <w:szCs w:val="20"/>
                <w:lang w:eastAsia="en-IE"/>
              </w:rPr>
              <w:t xml:space="preserve">Minerals and metals resource use </w:t>
            </w:r>
          </w:p>
        </w:tc>
        <w:tc>
          <w:tcPr>
            <w:tcW w:w="341" w:type="pct"/>
            <w:tcBorders>
              <w:top w:val="nil"/>
              <w:left w:val="nil"/>
              <w:bottom w:val="single" w:sz="4" w:space="0" w:color="auto"/>
              <w:right w:val="nil"/>
            </w:tcBorders>
            <w:vAlign w:val="center"/>
          </w:tcPr>
          <w:p w14:paraId="4498F948" w14:textId="77777777" w:rsidR="00C64F34" w:rsidRPr="008C3716" w:rsidRDefault="00C64F34" w:rsidP="00CD1D2E">
            <w:pPr>
              <w:spacing w:line="240" w:lineRule="auto"/>
              <w:jc w:val="left"/>
              <w:rPr>
                <w:rFonts w:ascii="Times New Roman" w:hAnsi="Times New Roman" w:cs="Times New Roman"/>
                <w:sz w:val="20"/>
                <w:szCs w:val="20"/>
                <w:lang w:eastAsia="en-IE"/>
              </w:rPr>
            </w:pPr>
            <w:r w:rsidRPr="008C3716">
              <w:rPr>
                <w:rFonts w:ascii="Times New Roman" w:hAnsi="Times New Roman" w:cs="Times New Roman"/>
                <w:noProof/>
                <w:sz w:val="20"/>
                <w:szCs w:val="20"/>
                <w:lang w:eastAsia="en-IE"/>
              </w:rPr>
              <w:drawing>
                <wp:inline distT="0" distB="0" distL="0" distR="0" wp14:anchorId="582CF213" wp14:editId="4F4FB684">
                  <wp:extent cx="558829" cy="514351"/>
                  <wp:effectExtent l="0" t="0" r="0" b="0"/>
                  <wp:docPr id="19" name="Picture 18">
                    <a:extLst xmlns:a="http://schemas.openxmlformats.org/drawingml/2006/main">
                      <a:ext uri="{FF2B5EF4-FFF2-40B4-BE49-F238E27FC236}">
                        <a16:creationId xmlns:a16="http://schemas.microsoft.com/office/drawing/2014/main" id="{A19C7C10-FC41-292E-0FB9-06EE0BE513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a:extLst>
                              <a:ext uri="{FF2B5EF4-FFF2-40B4-BE49-F238E27FC236}">
                                <a16:creationId xmlns:a16="http://schemas.microsoft.com/office/drawing/2014/main" id="{A19C7C10-FC41-292E-0FB9-06EE0BE5137D}"/>
                              </a:ext>
                            </a:extLst>
                          </pic:cNvPr>
                          <pic:cNvPicPr>
                            <a:picLocks noChangeAspect="1"/>
                          </pic:cNvPicPr>
                        </pic:nvPicPr>
                        <pic:blipFill rotWithShape="1">
                          <a:blip r:embed="rId10"/>
                          <a:srcRect t="78969" b="11785"/>
                          <a:stretch/>
                        </pic:blipFill>
                        <pic:spPr>
                          <a:xfrm>
                            <a:off x="0" y="0"/>
                            <a:ext cx="558829" cy="514351"/>
                          </a:xfrm>
                          <a:prstGeom prst="rect">
                            <a:avLst/>
                          </a:prstGeom>
                        </pic:spPr>
                      </pic:pic>
                    </a:graphicData>
                  </a:graphic>
                </wp:inline>
              </w:drawing>
            </w:r>
          </w:p>
        </w:tc>
        <w:tc>
          <w:tcPr>
            <w:tcW w:w="633" w:type="pct"/>
            <w:tcBorders>
              <w:top w:val="nil"/>
              <w:left w:val="nil"/>
              <w:bottom w:val="single" w:sz="4" w:space="0" w:color="auto"/>
              <w:right w:val="single" w:sz="4" w:space="0" w:color="auto"/>
            </w:tcBorders>
            <w:vAlign w:val="center"/>
            <w:hideMark/>
          </w:tcPr>
          <w:p w14:paraId="3BA0061D" w14:textId="77777777" w:rsidR="00C64F34" w:rsidRPr="008C3716" w:rsidRDefault="00C64F34" w:rsidP="00CD1D2E">
            <w:pPr>
              <w:spacing w:line="240" w:lineRule="auto"/>
              <w:jc w:val="left"/>
              <w:rPr>
                <w:rFonts w:ascii="Times New Roman" w:hAnsi="Times New Roman" w:cs="Times New Roman"/>
                <w:sz w:val="20"/>
                <w:szCs w:val="20"/>
                <w:lang w:eastAsia="en-IE"/>
              </w:rPr>
            </w:pPr>
            <w:r w:rsidRPr="008C3716">
              <w:rPr>
                <w:rFonts w:ascii="Times New Roman" w:hAnsi="Times New Roman" w:cs="Times New Roman"/>
                <w:sz w:val="20"/>
                <w:szCs w:val="20"/>
                <w:lang w:eastAsia="en-IE"/>
              </w:rPr>
              <w:t>Abiotic resource depletion (ADP-ultimate reserves)</w:t>
            </w:r>
          </w:p>
        </w:tc>
        <w:tc>
          <w:tcPr>
            <w:tcW w:w="341" w:type="pct"/>
            <w:tcBorders>
              <w:top w:val="nil"/>
              <w:left w:val="nil"/>
              <w:bottom w:val="single" w:sz="4" w:space="0" w:color="auto"/>
              <w:right w:val="single" w:sz="4" w:space="0" w:color="auto"/>
            </w:tcBorders>
            <w:vAlign w:val="center"/>
            <w:hideMark/>
          </w:tcPr>
          <w:p w14:paraId="051760E7" w14:textId="77777777" w:rsidR="00C64F34" w:rsidRPr="008C3716" w:rsidRDefault="00C64F34" w:rsidP="00CD1D2E">
            <w:pPr>
              <w:spacing w:line="240" w:lineRule="auto"/>
              <w:jc w:val="center"/>
              <w:rPr>
                <w:rFonts w:ascii="Times New Roman" w:hAnsi="Times New Roman" w:cs="Times New Roman"/>
                <w:sz w:val="20"/>
                <w:szCs w:val="20"/>
                <w:lang w:eastAsia="en-IE"/>
              </w:rPr>
            </w:pPr>
            <w:r w:rsidRPr="008C3716">
              <w:rPr>
                <w:rFonts w:ascii="Times New Roman" w:hAnsi="Times New Roman" w:cs="Times New Roman"/>
                <w:sz w:val="20"/>
                <w:szCs w:val="20"/>
                <w:lang w:eastAsia="en-IE"/>
              </w:rPr>
              <w:t>g Sb eq.</w:t>
            </w:r>
          </w:p>
        </w:tc>
        <w:tc>
          <w:tcPr>
            <w:tcW w:w="3103" w:type="pct"/>
            <w:vMerge/>
            <w:tcBorders>
              <w:top w:val="nil"/>
              <w:left w:val="single" w:sz="4" w:space="0" w:color="auto"/>
              <w:bottom w:val="single" w:sz="4" w:space="0" w:color="auto"/>
              <w:right w:val="single" w:sz="4" w:space="0" w:color="auto"/>
            </w:tcBorders>
            <w:vAlign w:val="center"/>
            <w:hideMark/>
          </w:tcPr>
          <w:p w14:paraId="6CED33A4" w14:textId="77777777" w:rsidR="00C64F34" w:rsidRPr="008C3716" w:rsidRDefault="00C64F34" w:rsidP="00CD1D2E">
            <w:pPr>
              <w:spacing w:line="240" w:lineRule="auto"/>
              <w:rPr>
                <w:rFonts w:ascii="Times New Roman" w:hAnsi="Times New Roman" w:cs="Times New Roman"/>
                <w:sz w:val="20"/>
                <w:szCs w:val="20"/>
                <w:lang w:eastAsia="en-IE"/>
              </w:rPr>
            </w:pPr>
          </w:p>
        </w:tc>
      </w:tr>
      <w:tr w:rsidR="00C64F34" w:rsidRPr="008C3716" w14:paraId="26F9A963" w14:textId="77777777" w:rsidTr="00CD1D2E">
        <w:trPr>
          <w:trHeight w:val="20"/>
        </w:trPr>
        <w:tc>
          <w:tcPr>
            <w:tcW w:w="582" w:type="pct"/>
            <w:tcBorders>
              <w:top w:val="nil"/>
              <w:left w:val="single" w:sz="4" w:space="0" w:color="auto"/>
              <w:bottom w:val="single" w:sz="4" w:space="0" w:color="auto"/>
              <w:right w:val="single" w:sz="4" w:space="0" w:color="auto"/>
            </w:tcBorders>
            <w:vAlign w:val="center"/>
            <w:hideMark/>
          </w:tcPr>
          <w:p w14:paraId="39234EE5" w14:textId="77777777" w:rsidR="00C64F34" w:rsidRPr="008C3716" w:rsidRDefault="00C64F34" w:rsidP="00CD1D2E">
            <w:pPr>
              <w:spacing w:line="240" w:lineRule="auto"/>
              <w:jc w:val="left"/>
              <w:rPr>
                <w:rFonts w:ascii="Times New Roman" w:hAnsi="Times New Roman" w:cs="Times New Roman"/>
                <w:sz w:val="20"/>
                <w:szCs w:val="20"/>
                <w:lang w:eastAsia="en-IE"/>
              </w:rPr>
            </w:pPr>
            <w:r w:rsidRPr="008C3716">
              <w:rPr>
                <w:rFonts w:ascii="Times New Roman" w:hAnsi="Times New Roman" w:cs="Times New Roman"/>
                <w:sz w:val="20"/>
                <w:szCs w:val="20"/>
                <w:lang w:eastAsia="en-IE"/>
              </w:rPr>
              <w:t>Land use (agricultural)</w:t>
            </w:r>
          </w:p>
        </w:tc>
        <w:tc>
          <w:tcPr>
            <w:tcW w:w="341" w:type="pct"/>
            <w:tcBorders>
              <w:top w:val="nil"/>
              <w:left w:val="nil"/>
              <w:bottom w:val="single" w:sz="4" w:space="0" w:color="auto"/>
              <w:right w:val="nil"/>
            </w:tcBorders>
            <w:vAlign w:val="center"/>
          </w:tcPr>
          <w:p w14:paraId="1A9680A9" w14:textId="77777777" w:rsidR="00C64F34" w:rsidRPr="008C3716" w:rsidRDefault="00C64F34" w:rsidP="00CD1D2E">
            <w:pPr>
              <w:spacing w:line="240" w:lineRule="auto"/>
              <w:jc w:val="left"/>
              <w:rPr>
                <w:rFonts w:ascii="Times New Roman" w:hAnsi="Times New Roman" w:cs="Times New Roman"/>
                <w:sz w:val="20"/>
                <w:szCs w:val="20"/>
                <w:lang w:eastAsia="en-IE"/>
              </w:rPr>
            </w:pPr>
            <w:r w:rsidRPr="008C3716">
              <w:rPr>
                <w:rFonts w:ascii="Times New Roman" w:hAnsi="Times New Roman" w:cs="Times New Roman"/>
                <w:noProof/>
                <w:sz w:val="20"/>
                <w:szCs w:val="20"/>
                <w:lang w:eastAsia="en-IE"/>
              </w:rPr>
              <w:drawing>
                <wp:inline distT="0" distB="0" distL="0" distR="0" wp14:anchorId="4019CA35" wp14:editId="386F2E71">
                  <wp:extent cx="558829" cy="510540"/>
                  <wp:effectExtent l="0" t="0" r="0" b="3810"/>
                  <wp:docPr id="17" name="Picture 16">
                    <a:extLst xmlns:a="http://schemas.openxmlformats.org/drawingml/2006/main">
                      <a:ext uri="{FF2B5EF4-FFF2-40B4-BE49-F238E27FC236}">
                        <a16:creationId xmlns:a16="http://schemas.microsoft.com/office/drawing/2014/main" id="{71A15811-586F-9DBC-1FEF-7DD3ACB531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a:extLst>
                              <a:ext uri="{FF2B5EF4-FFF2-40B4-BE49-F238E27FC236}">
                                <a16:creationId xmlns:a16="http://schemas.microsoft.com/office/drawing/2014/main" id="{71A15811-586F-9DBC-1FEF-7DD3ACB531FD}"/>
                              </a:ext>
                            </a:extLst>
                          </pic:cNvPr>
                          <pic:cNvPicPr>
                            <a:picLocks noChangeAspect="1"/>
                          </pic:cNvPicPr>
                        </pic:nvPicPr>
                        <pic:blipFill rotWithShape="1">
                          <a:blip r:embed="rId10"/>
                          <a:srcRect t="50614" b="40207"/>
                          <a:stretch/>
                        </pic:blipFill>
                        <pic:spPr>
                          <a:xfrm>
                            <a:off x="0" y="0"/>
                            <a:ext cx="558829" cy="510540"/>
                          </a:xfrm>
                          <a:prstGeom prst="rect">
                            <a:avLst/>
                          </a:prstGeom>
                        </pic:spPr>
                      </pic:pic>
                    </a:graphicData>
                  </a:graphic>
                </wp:inline>
              </w:drawing>
            </w:r>
          </w:p>
        </w:tc>
        <w:tc>
          <w:tcPr>
            <w:tcW w:w="633" w:type="pct"/>
            <w:tcBorders>
              <w:top w:val="nil"/>
              <w:left w:val="nil"/>
              <w:bottom w:val="single" w:sz="4" w:space="0" w:color="auto"/>
              <w:right w:val="single" w:sz="4" w:space="0" w:color="auto"/>
            </w:tcBorders>
            <w:vAlign w:val="center"/>
            <w:hideMark/>
          </w:tcPr>
          <w:p w14:paraId="1AD2823A" w14:textId="77777777" w:rsidR="00C64F34" w:rsidRPr="008C3716" w:rsidRDefault="00C64F34" w:rsidP="00CD1D2E">
            <w:pPr>
              <w:spacing w:line="240" w:lineRule="auto"/>
              <w:jc w:val="left"/>
              <w:rPr>
                <w:rFonts w:ascii="Times New Roman" w:hAnsi="Times New Roman" w:cs="Times New Roman"/>
                <w:sz w:val="20"/>
                <w:szCs w:val="20"/>
                <w:lang w:eastAsia="en-IE"/>
              </w:rPr>
            </w:pPr>
            <w:r w:rsidRPr="008C3716">
              <w:rPr>
                <w:rFonts w:ascii="Times New Roman" w:hAnsi="Times New Roman" w:cs="Times New Roman"/>
                <w:sz w:val="20"/>
                <w:szCs w:val="20"/>
                <w:lang w:eastAsia="en-IE"/>
              </w:rPr>
              <w:t>Equivalent agricultural land occupation potential (ALOP)</w:t>
            </w:r>
          </w:p>
        </w:tc>
        <w:tc>
          <w:tcPr>
            <w:tcW w:w="341" w:type="pct"/>
            <w:tcBorders>
              <w:top w:val="nil"/>
              <w:left w:val="nil"/>
              <w:bottom w:val="single" w:sz="4" w:space="0" w:color="auto"/>
              <w:right w:val="single" w:sz="4" w:space="0" w:color="auto"/>
            </w:tcBorders>
            <w:vAlign w:val="center"/>
            <w:hideMark/>
          </w:tcPr>
          <w:p w14:paraId="18DAB2B4" w14:textId="77777777" w:rsidR="00C64F34" w:rsidRPr="008C3716" w:rsidRDefault="00C64F34" w:rsidP="00CD1D2E">
            <w:pPr>
              <w:spacing w:line="240" w:lineRule="auto"/>
              <w:jc w:val="center"/>
              <w:rPr>
                <w:rFonts w:ascii="Times New Roman" w:hAnsi="Times New Roman" w:cs="Times New Roman"/>
                <w:sz w:val="20"/>
                <w:szCs w:val="20"/>
                <w:lang w:eastAsia="en-IE"/>
              </w:rPr>
            </w:pPr>
            <w:r w:rsidRPr="008C3716">
              <w:rPr>
                <w:rFonts w:ascii="Times New Roman" w:hAnsi="Times New Roman" w:cs="Times New Roman"/>
                <w:sz w:val="20"/>
                <w:szCs w:val="20"/>
                <w:lang w:eastAsia="en-IE"/>
              </w:rPr>
              <w:t>m</w:t>
            </w:r>
            <w:r w:rsidRPr="008C3716">
              <w:rPr>
                <w:rFonts w:ascii="Times New Roman" w:hAnsi="Times New Roman" w:cs="Times New Roman"/>
                <w:sz w:val="20"/>
                <w:szCs w:val="20"/>
                <w:vertAlign w:val="superscript"/>
                <w:lang w:eastAsia="en-IE"/>
              </w:rPr>
              <w:t>2</w:t>
            </w:r>
            <w:r w:rsidRPr="008C3716">
              <w:rPr>
                <w:rFonts w:ascii="Times New Roman" w:hAnsi="Times New Roman" w:cs="Times New Roman"/>
                <w:sz w:val="20"/>
                <w:szCs w:val="20"/>
                <w:lang w:eastAsia="en-IE"/>
              </w:rPr>
              <w:t>a crop eq.</w:t>
            </w:r>
          </w:p>
        </w:tc>
        <w:tc>
          <w:tcPr>
            <w:tcW w:w="3103" w:type="pct"/>
            <w:tcBorders>
              <w:top w:val="nil"/>
              <w:left w:val="nil"/>
              <w:bottom w:val="single" w:sz="4" w:space="0" w:color="auto"/>
              <w:right w:val="single" w:sz="4" w:space="0" w:color="auto"/>
            </w:tcBorders>
            <w:vAlign w:val="center"/>
            <w:hideMark/>
          </w:tcPr>
          <w:p w14:paraId="19066FBF" w14:textId="77777777" w:rsidR="00C64F34" w:rsidRPr="008C3716" w:rsidRDefault="00C64F34" w:rsidP="00CD1D2E">
            <w:pPr>
              <w:spacing w:line="240" w:lineRule="auto"/>
              <w:rPr>
                <w:rFonts w:ascii="Times New Roman" w:hAnsi="Times New Roman" w:cs="Times New Roman"/>
                <w:sz w:val="20"/>
                <w:szCs w:val="20"/>
                <w:lang w:eastAsia="en-IE"/>
              </w:rPr>
            </w:pPr>
            <w:r w:rsidRPr="008C3716">
              <w:rPr>
                <w:rFonts w:ascii="Times New Roman" w:hAnsi="Times New Roman" w:cs="Times New Roman"/>
                <w:sz w:val="20"/>
                <w:szCs w:val="20"/>
                <w:lang w:eastAsia="en-IE"/>
              </w:rPr>
              <w:t xml:space="preserve">Conceptually, this approach assumes that a natural situation would have been present if no land use had occurred. Therefore, the living species richness of the current anthropogenic land use is compared with the natural reference, without </w:t>
            </w:r>
            <w:proofErr w:type="gramStart"/>
            <w:r w:rsidRPr="008C3716">
              <w:rPr>
                <w:rFonts w:ascii="Times New Roman" w:hAnsi="Times New Roman" w:cs="Times New Roman"/>
                <w:sz w:val="20"/>
                <w:szCs w:val="20"/>
                <w:lang w:eastAsia="en-IE"/>
              </w:rPr>
              <w:t>taking into account</w:t>
            </w:r>
            <w:proofErr w:type="gramEnd"/>
            <w:r w:rsidRPr="008C3716">
              <w:rPr>
                <w:rFonts w:ascii="Times New Roman" w:hAnsi="Times New Roman" w:cs="Times New Roman"/>
                <w:sz w:val="20"/>
                <w:szCs w:val="20"/>
                <w:lang w:eastAsia="en-IE"/>
              </w:rPr>
              <w:t xml:space="preserve"> any other anthropogenic land uses that may have occurred before the current one. Therefore, this impact category is based on the relative loss of species caused by a certain type of land use x, relative to the potential loss of species that may be directly associated with global-scale average annual agricultural production.</w:t>
            </w:r>
          </w:p>
        </w:tc>
      </w:tr>
      <w:bookmarkEnd w:id="0"/>
    </w:tbl>
    <w:p w14:paraId="0EBFC2A5" w14:textId="77777777" w:rsidR="00C64F34" w:rsidRDefault="00C64F34" w:rsidP="00FA57CA">
      <w:pPr>
        <w:pStyle w:val="TextMonsanto"/>
        <w:spacing w:line="480" w:lineRule="auto"/>
        <w:rPr>
          <w:rFonts w:ascii="Times New Roman" w:hAnsi="Times New Roman" w:cs="Times New Roman"/>
          <w:color w:val="000000" w:themeColor="text1"/>
          <w:highlight w:val="yellow"/>
          <w:lang w:val="en-GB"/>
        </w:rPr>
      </w:pPr>
    </w:p>
    <w:p w14:paraId="0EFCB734" w14:textId="127ACFA8" w:rsidR="003E6FAA" w:rsidRDefault="005A5C33" w:rsidP="003E6FAA">
      <w:pPr>
        <w:pStyle w:val="TextMonsanto"/>
        <w:spacing w:line="480" w:lineRule="auto"/>
        <w:rPr>
          <w:rFonts w:ascii="Times New Roman" w:hAnsi="Times New Roman" w:cs="Times New Roman"/>
          <w:lang w:val="en-GB"/>
        </w:rPr>
      </w:pPr>
      <w:r w:rsidRPr="003E6FAA">
        <w:rPr>
          <w:rFonts w:ascii="Times New Roman" w:hAnsi="Times New Roman" w:cs="Times New Roman"/>
          <w:b/>
          <w:bCs/>
          <w:lang w:val="en-GB"/>
        </w:rPr>
        <w:t xml:space="preserve">On the </w:t>
      </w:r>
      <w:r>
        <w:rPr>
          <w:rFonts w:ascii="Times New Roman" w:hAnsi="Times New Roman" w:cs="Times New Roman"/>
          <w:b/>
          <w:bCs/>
          <w:lang w:val="en-GB"/>
        </w:rPr>
        <w:t>selected impact category and impact characterization indicators</w:t>
      </w:r>
      <w:r w:rsidRPr="008C3716">
        <w:rPr>
          <w:rFonts w:ascii="Times New Roman" w:hAnsi="Times New Roman" w:cs="Times New Roman"/>
          <w:lang w:val="en-GB"/>
        </w:rPr>
        <w:t xml:space="preserve"> </w:t>
      </w:r>
      <w:r w:rsidR="00192558">
        <w:rPr>
          <w:rFonts w:ascii="Arial" w:hAnsi="Arial" w:cs="Arial"/>
          <w:lang w:val="en-GB"/>
        </w:rPr>
        <w:t>–</w:t>
      </w:r>
      <w:r>
        <w:rPr>
          <w:rFonts w:ascii="Times New Roman" w:hAnsi="Times New Roman" w:cs="Times New Roman"/>
          <w:lang w:val="en-GB"/>
        </w:rPr>
        <w:t xml:space="preserve"> </w:t>
      </w:r>
      <w:r w:rsidR="00192558">
        <w:rPr>
          <w:rFonts w:ascii="Times New Roman" w:hAnsi="Times New Roman" w:cs="Times New Roman"/>
          <w:lang w:val="en-GB"/>
        </w:rPr>
        <w:t>As anticipated in the main paper, most of the impact listed in Table S1</w:t>
      </w:r>
      <w:r w:rsidR="00192558" w:rsidRPr="007A3CD5">
        <w:rPr>
          <w:rFonts w:ascii="Times New Roman" w:hAnsi="Times New Roman" w:cs="Times New Roman"/>
          <w:lang w:val="en-GB"/>
        </w:rPr>
        <w:t xml:space="preserve"> were calculated by applying pre-calculated characterization factors related to the indicators recommended by the </w:t>
      </w:r>
      <w:r w:rsidR="00192558" w:rsidRPr="007A3CD5">
        <w:rPr>
          <w:rFonts w:ascii="Times New Roman" w:hAnsi="Times New Roman" w:cs="Times New Roman"/>
          <w:i/>
          <w:iCs/>
          <w:lang w:val="en-GB"/>
        </w:rPr>
        <w:t>Environmental Footprint (EF) 3.1</w:t>
      </w:r>
      <w:r w:rsidR="00192558" w:rsidRPr="007A3CD5">
        <w:rPr>
          <w:rFonts w:ascii="Times New Roman" w:hAnsi="Times New Roman" w:cs="Times New Roman"/>
          <w:lang w:val="en-GB"/>
        </w:rPr>
        <w:t xml:space="preserve"> method</w:t>
      </w:r>
      <w:r w:rsidR="00192558">
        <w:rPr>
          <w:rStyle w:val="FootnoteReference"/>
          <w:rFonts w:ascii="Times New Roman" w:hAnsi="Times New Roman" w:cs="Times New Roman"/>
          <w:lang w:val="en-GB"/>
        </w:rPr>
        <w:footnoteReference w:id="3"/>
      </w:r>
      <w:r w:rsidR="00192558">
        <w:rPr>
          <w:rFonts w:ascii="Times New Roman" w:hAnsi="Times New Roman" w:cs="Times New Roman"/>
          <w:lang w:val="en-GB"/>
        </w:rPr>
        <w:t>, in particular with regard to t</w:t>
      </w:r>
      <w:r w:rsidR="00192558" w:rsidRPr="007A3CD5">
        <w:rPr>
          <w:rFonts w:ascii="Times New Roman" w:hAnsi="Times New Roman" w:cs="Times New Roman"/>
          <w:lang w:val="en-GB"/>
        </w:rPr>
        <w:t xml:space="preserve">he indicators </w:t>
      </w:r>
      <w:r w:rsidR="00192558">
        <w:rPr>
          <w:rFonts w:ascii="Times New Roman" w:hAnsi="Times New Roman" w:cs="Times New Roman"/>
          <w:lang w:val="en-GB"/>
        </w:rPr>
        <w:t xml:space="preserve">of </w:t>
      </w:r>
      <w:r w:rsidR="00192558" w:rsidRPr="007A3CD5">
        <w:rPr>
          <w:rFonts w:ascii="Times New Roman" w:hAnsi="Times New Roman" w:cs="Times New Roman"/>
          <w:lang w:val="en-GB"/>
        </w:rPr>
        <w:t xml:space="preserve">GWP, ODP, POCP, </w:t>
      </w:r>
      <w:proofErr w:type="spellStart"/>
      <w:r w:rsidR="00192558" w:rsidRPr="007A3CD5">
        <w:rPr>
          <w:rFonts w:ascii="Times New Roman" w:hAnsi="Times New Roman" w:cs="Times New Roman"/>
          <w:lang w:val="en-GB"/>
        </w:rPr>
        <w:t>CTUh</w:t>
      </w:r>
      <w:proofErr w:type="spellEnd"/>
      <w:r w:rsidR="00192558" w:rsidRPr="007A3CD5">
        <w:rPr>
          <w:rFonts w:ascii="Times New Roman" w:hAnsi="Times New Roman" w:cs="Times New Roman"/>
          <w:lang w:val="en-GB"/>
        </w:rPr>
        <w:t xml:space="preserve">, </w:t>
      </w:r>
      <w:proofErr w:type="spellStart"/>
      <w:r w:rsidR="00192558" w:rsidRPr="007A3CD5">
        <w:rPr>
          <w:rFonts w:ascii="Times New Roman" w:hAnsi="Times New Roman" w:cs="Times New Roman"/>
          <w:lang w:val="en-GB"/>
        </w:rPr>
        <w:t>CTUe</w:t>
      </w:r>
      <w:proofErr w:type="spellEnd"/>
      <w:r w:rsidR="00192558" w:rsidRPr="007A3CD5">
        <w:rPr>
          <w:rFonts w:ascii="Times New Roman" w:hAnsi="Times New Roman" w:cs="Times New Roman"/>
          <w:lang w:val="en-GB"/>
        </w:rPr>
        <w:t>, WSI and the two ADPs. In contrast, the AP and EP indicators</w:t>
      </w:r>
      <w:r w:rsidR="00192558">
        <w:rPr>
          <w:rFonts w:ascii="Times New Roman" w:hAnsi="Times New Roman" w:cs="Times New Roman"/>
          <w:lang w:val="en-GB"/>
        </w:rPr>
        <w:t>,</w:t>
      </w:r>
      <w:r w:rsidR="00192558" w:rsidRPr="007A3CD5">
        <w:rPr>
          <w:rFonts w:ascii="Times New Roman" w:hAnsi="Times New Roman" w:cs="Times New Roman"/>
          <w:lang w:val="en-GB"/>
        </w:rPr>
        <w:t xml:space="preserve"> and the PMFP, WCP and ALOP indicators were selected from the</w:t>
      </w:r>
      <w:r w:rsidR="00192558" w:rsidRPr="007A3CD5">
        <w:rPr>
          <w:rFonts w:ascii="Times New Roman" w:hAnsi="Times New Roman" w:cs="Times New Roman"/>
          <w:i/>
          <w:iCs/>
          <w:lang w:val="en-GB"/>
        </w:rPr>
        <w:t xml:space="preserve"> CML-IA baseline</w:t>
      </w:r>
      <w:r w:rsidR="0085110F">
        <w:rPr>
          <w:rStyle w:val="FootnoteReference"/>
          <w:rFonts w:ascii="Times New Roman" w:hAnsi="Times New Roman" w:cs="Times New Roman"/>
          <w:i/>
          <w:iCs/>
          <w:lang w:val="en-GB"/>
        </w:rPr>
        <w:footnoteReference w:id="4"/>
      </w:r>
      <w:r w:rsidR="00192558" w:rsidRPr="007A3CD5">
        <w:rPr>
          <w:rFonts w:ascii="Times New Roman" w:hAnsi="Times New Roman" w:cs="Times New Roman"/>
          <w:lang w:val="en-GB"/>
        </w:rPr>
        <w:t xml:space="preserve"> and </w:t>
      </w:r>
      <w:proofErr w:type="spellStart"/>
      <w:r w:rsidR="00192558" w:rsidRPr="007A3CD5">
        <w:rPr>
          <w:rFonts w:ascii="Times New Roman" w:hAnsi="Times New Roman" w:cs="Times New Roman"/>
          <w:i/>
          <w:iCs/>
          <w:lang w:val="en-GB"/>
        </w:rPr>
        <w:t>ReCiPe</w:t>
      </w:r>
      <w:proofErr w:type="spellEnd"/>
      <w:r w:rsidR="00192558" w:rsidRPr="007A3CD5">
        <w:rPr>
          <w:rFonts w:ascii="Times New Roman" w:hAnsi="Times New Roman" w:cs="Times New Roman"/>
          <w:i/>
          <w:iCs/>
          <w:lang w:val="en-GB"/>
        </w:rPr>
        <w:t xml:space="preserve"> 2016 v1.1 midpoint (H)</w:t>
      </w:r>
      <w:r w:rsidR="0085110F">
        <w:rPr>
          <w:rStyle w:val="FootnoteReference"/>
          <w:rFonts w:ascii="Times New Roman" w:hAnsi="Times New Roman" w:cs="Times New Roman"/>
          <w:i/>
          <w:iCs/>
          <w:lang w:val="en-GB"/>
        </w:rPr>
        <w:footnoteReference w:id="5"/>
      </w:r>
      <w:r w:rsidR="00192558" w:rsidRPr="007A3CD5">
        <w:rPr>
          <w:rFonts w:ascii="Times New Roman" w:hAnsi="Times New Roman" w:cs="Times New Roman"/>
          <w:lang w:val="en-GB"/>
        </w:rPr>
        <w:t xml:space="preserve"> </w:t>
      </w:r>
      <w:r w:rsidR="0085110F">
        <w:rPr>
          <w:rFonts w:ascii="Times New Roman" w:hAnsi="Times New Roman" w:cs="Times New Roman"/>
          <w:lang w:val="en-GB"/>
        </w:rPr>
        <w:t xml:space="preserve">LCIA </w:t>
      </w:r>
      <w:r w:rsidR="00192558" w:rsidRPr="007A3CD5">
        <w:rPr>
          <w:rFonts w:ascii="Times New Roman" w:hAnsi="Times New Roman" w:cs="Times New Roman"/>
          <w:lang w:val="en-GB"/>
        </w:rPr>
        <w:t>methods, respectively.</w:t>
      </w:r>
      <w:r w:rsidR="0085110F">
        <w:rPr>
          <w:rFonts w:ascii="Times New Roman" w:hAnsi="Times New Roman" w:cs="Times New Roman"/>
          <w:lang w:val="en-GB"/>
        </w:rPr>
        <w:t xml:space="preserve"> The use of different methods essentially relates</w:t>
      </w:r>
      <w:r w:rsidR="003E6FAA" w:rsidRPr="007A3CD5">
        <w:rPr>
          <w:rFonts w:ascii="Times New Roman" w:hAnsi="Times New Roman" w:cs="Times New Roman"/>
          <w:lang w:val="en-GB"/>
        </w:rPr>
        <w:t xml:space="preserve"> to </w:t>
      </w:r>
      <w:r w:rsidR="0085110F">
        <w:rPr>
          <w:rFonts w:ascii="Times New Roman" w:hAnsi="Times New Roman" w:cs="Times New Roman"/>
          <w:lang w:val="en-GB"/>
        </w:rPr>
        <w:t>the need of applying specific</w:t>
      </w:r>
      <w:r w:rsidR="003E6FAA" w:rsidRPr="007A3CD5">
        <w:rPr>
          <w:rFonts w:ascii="Times New Roman" w:hAnsi="Times New Roman" w:cs="Times New Roman"/>
          <w:lang w:val="en-GB"/>
        </w:rPr>
        <w:t xml:space="preserve"> indicators recommended for the calculation of the Water Footprint (WF) by the </w:t>
      </w:r>
      <w:proofErr w:type="spellStart"/>
      <w:r w:rsidR="003E6FAA" w:rsidRPr="007A3CD5">
        <w:rPr>
          <w:rFonts w:ascii="Times New Roman" w:hAnsi="Times New Roman" w:cs="Times New Roman"/>
          <w:lang w:val="en-GB"/>
        </w:rPr>
        <w:t>Equalitas</w:t>
      </w:r>
      <w:proofErr w:type="spellEnd"/>
      <w:r w:rsidR="003E6FAA" w:rsidRPr="007A3CD5">
        <w:rPr>
          <w:rFonts w:ascii="Times New Roman" w:hAnsi="Times New Roman" w:cs="Times New Roman"/>
          <w:lang w:val="en-GB"/>
        </w:rPr>
        <w:t xml:space="preserve"> standard, as discussed </w:t>
      </w:r>
      <w:r w:rsidR="0085110F">
        <w:rPr>
          <w:rFonts w:ascii="Times New Roman" w:hAnsi="Times New Roman" w:cs="Times New Roman"/>
          <w:lang w:val="en-GB"/>
        </w:rPr>
        <w:t>in Section S2</w:t>
      </w:r>
      <w:r w:rsidR="003E6FAA" w:rsidRPr="007A3CD5">
        <w:rPr>
          <w:rFonts w:ascii="Times New Roman" w:hAnsi="Times New Roman" w:cs="Times New Roman"/>
          <w:lang w:val="en-GB"/>
        </w:rPr>
        <w:t>.</w:t>
      </w:r>
    </w:p>
    <w:p w14:paraId="60C5F320" w14:textId="7A3F4DA3" w:rsidR="003E6FAA" w:rsidRPr="007A3CD5" w:rsidRDefault="0085110F" w:rsidP="003E6FAA">
      <w:pPr>
        <w:pStyle w:val="TextMonsanto"/>
        <w:spacing w:line="480" w:lineRule="auto"/>
        <w:rPr>
          <w:rFonts w:ascii="Times New Roman" w:hAnsi="Times New Roman" w:cs="Times New Roman"/>
          <w:lang w:val="en-GB"/>
        </w:rPr>
      </w:pPr>
      <w:r>
        <w:rPr>
          <w:rFonts w:ascii="Times New Roman" w:hAnsi="Times New Roman" w:cs="Times New Roman"/>
          <w:lang w:val="en-GB"/>
        </w:rPr>
        <w:lastRenderedPageBreak/>
        <w:t>More specifically, t</w:t>
      </w:r>
      <w:r w:rsidR="003E6FAA" w:rsidRPr="005A16F4">
        <w:rPr>
          <w:rFonts w:ascii="Times New Roman" w:hAnsi="Times New Roman" w:cs="Times New Roman"/>
          <w:lang w:val="en-GB"/>
        </w:rPr>
        <w:t xml:space="preserve">he decision to use impact characterisation factors from different (but complementary) LCIA methods and characterisation models was made </w:t>
      </w:r>
      <w:proofErr w:type="gramStart"/>
      <w:r w:rsidR="003E6FAA" w:rsidRPr="005A16F4">
        <w:rPr>
          <w:rFonts w:ascii="Times New Roman" w:hAnsi="Times New Roman" w:cs="Times New Roman"/>
          <w:lang w:val="en-GB"/>
        </w:rPr>
        <w:t>in order to</w:t>
      </w:r>
      <w:proofErr w:type="gramEnd"/>
      <w:r w:rsidR="003E6FAA" w:rsidRPr="005A16F4">
        <w:rPr>
          <w:rFonts w:ascii="Times New Roman" w:hAnsi="Times New Roman" w:cs="Times New Roman"/>
          <w:lang w:val="en-GB"/>
        </w:rPr>
        <w:t xml:space="preserve"> select the most suitable indicators for evaluating the life cycle of </w:t>
      </w:r>
      <w:proofErr w:type="spellStart"/>
      <w:r w:rsidR="003E6FAA" w:rsidRPr="005A16F4">
        <w:rPr>
          <w:rFonts w:ascii="Times New Roman" w:hAnsi="Times New Roman" w:cs="Times New Roman"/>
          <w:lang w:val="en-GB"/>
        </w:rPr>
        <w:t>AriTer</w:t>
      </w:r>
      <w:proofErr w:type="spellEnd"/>
      <w:r w:rsidR="003E6FAA" w:rsidRPr="005A16F4">
        <w:rPr>
          <w:rFonts w:ascii="Times New Roman" w:hAnsi="Times New Roman" w:cs="Times New Roman"/>
          <w:lang w:val="en-GB"/>
        </w:rPr>
        <w:t xml:space="preserve"> and its products, and to align with the </w:t>
      </w:r>
      <w:proofErr w:type="spellStart"/>
      <w:r w:rsidR="003E6FAA" w:rsidRPr="005A16F4">
        <w:rPr>
          <w:rFonts w:ascii="Times New Roman" w:hAnsi="Times New Roman" w:cs="Times New Roman"/>
          <w:lang w:val="en-GB"/>
        </w:rPr>
        <w:t>Equalitas</w:t>
      </w:r>
      <w:proofErr w:type="spellEnd"/>
      <w:r w:rsidR="003E6FAA" w:rsidRPr="005A16F4">
        <w:rPr>
          <w:rFonts w:ascii="Times New Roman" w:hAnsi="Times New Roman" w:cs="Times New Roman"/>
          <w:lang w:val="en-GB"/>
        </w:rPr>
        <w:t xml:space="preserve"> standard</w:t>
      </w:r>
      <w:r>
        <w:rPr>
          <w:rFonts w:ascii="Times New Roman" w:hAnsi="Times New Roman" w:cs="Times New Roman"/>
          <w:lang w:val="en-GB"/>
        </w:rPr>
        <w:t>’</w:t>
      </w:r>
      <w:r w:rsidR="003E6FAA" w:rsidRPr="005A16F4">
        <w:rPr>
          <w:rFonts w:ascii="Times New Roman" w:hAnsi="Times New Roman" w:cs="Times New Roman"/>
          <w:lang w:val="en-GB"/>
        </w:rPr>
        <w:t xml:space="preserve">s methodological criteria. For instance, the EF method is optimal for </w:t>
      </w:r>
      <w:r>
        <w:rPr>
          <w:rFonts w:ascii="Times New Roman" w:hAnsi="Times New Roman" w:cs="Times New Roman"/>
          <w:lang w:val="en-GB"/>
        </w:rPr>
        <w:t>Environmental Product Declaration (</w:t>
      </w:r>
      <w:r w:rsidR="003E6FAA" w:rsidRPr="005A16F4">
        <w:rPr>
          <w:rFonts w:ascii="Times New Roman" w:hAnsi="Times New Roman" w:cs="Times New Roman"/>
          <w:lang w:val="en-GB"/>
        </w:rPr>
        <w:t>EPD</w:t>
      </w:r>
      <w:r>
        <w:rPr>
          <w:rFonts w:ascii="Times New Roman" w:hAnsi="Times New Roman" w:cs="Times New Roman"/>
          <w:lang w:val="en-GB"/>
        </w:rPr>
        <w:t>)</w:t>
      </w:r>
      <w:r w:rsidR="003E6FAA" w:rsidRPr="005A16F4">
        <w:rPr>
          <w:rFonts w:ascii="Times New Roman" w:hAnsi="Times New Roman" w:cs="Times New Roman"/>
          <w:lang w:val="en-GB"/>
        </w:rPr>
        <w:t xml:space="preserve"> studies and provides a wide range of indicators; however, its approach to assessing water use impacts is based on evaluating upstream resource stocks. </w:t>
      </w:r>
      <w:r>
        <w:rPr>
          <w:rFonts w:ascii="Times New Roman" w:hAnsi="Times New Roman" w:cs="Times New Roman"/>
          <w:lang w:val="en-GB"/>
        </w:rPr>
        <w:t>In contrast</w:t>
      </w:r>
      <w:r w:rsidR="003E6FAA" w:rsidRPr="005A16F4">
        <w:rPr>
          <w:rFonts w:ascii="Times New Roman" w:hAnsi="Times New Roman" w:cs="Times New Roman"/>
          <w:lang w:val="en-GB"/>
        </w:rPr>
        <w:t xml:space="preserve">, the </w:t>
      </w:r>
      <w:proofErr w:type="spellStart"/>
      <w:r w:rsidR="003E6FAA" w:rsidRPr="005A16F4">
        <w:rPr>
          <w:rFonts w:ascii="Times New Roman" w:hAnsi="Times New Roman" w:cs="Times New Roman"/>
          <w:lang w:val="en-GB"/>
        </w:rPr>
        <w:t>ReCiPe</w:t>
      </w:r>
      <w:proofErr w:type="spellEnd"/>
      <w:r w:rsidR="003E6FAA" w:rsidRPr="005A16F4">
        <w:rPr>
          <w:rFonts w:ascii="Times New Roman" w:hAnsi="Times New Roman" w:cs="Times New Roman"/>
          <w:lang w:val="en-GB"/>
        </w:rPr>
        <w:t xml:space="preserve"> method provides a more relevant indicator for monitoring water footprint: the </w:t>
      </w:r>
      <w:r>
        <w:rPr>
          <w:rFonts w:ascii="Times New Roman" w:hAnsi="Times New Roman" w:cs="Times New Roman"/>
          <w:lang w:val="en-GB"/>
        </w:rPr>
        <w:t>‘</w:t>
      </w:r>
      <w:r w:rsidR="003E6FAA" w:rsidRPr="005A16F4">
        <w:rPr>
          <w:rFonts w:ascii="Times New Roman" w:hAnsi="Times New Roman" w:cs="Times New Roman"/>
          <w:lang w:val="en-GB"/>
        </w:rPr>
        <w:t>total net consumption</w:t>
      </w:r>
      <w:r>
        <w:rPr>
          <w:rFonts w:ascii="Times New Roman" w:hAnsi="Times New Roman" w:cs="Times New Roman"/>
          <w:lang w:val="en-GB"/>
        </w:rPr>
        <w:t>’</w:t>
      </w:r>
      <w:r w:rsidR="003E6FAA" w:rsidRPr="005A16F4">
        <w:rPr>
          <w:rFonts w:ascii="Times New Roman" w:hAnsi="Times New Roman" w:cs="Times New Roman"/>
          <w:lang w:val="en-GB"/>
        </w:rPr>
        <w:t xml:space="preserve"> of the resource, regardless of its availability upstream. Furthermore, </w:t>
      </w:r>
      <w:proofErr w:type="spellStart"/>
      <w:r w:rsidR="003E6FAA" w:rsidRPr="005A16F4">
        <w:rPr>
          <w:rFonts w:ascii="Times New Roman" w:hAnsi="Times New Roman" w:cs="Times New Roman"/>
          <w:lang w:val="en-GB"/>
        </w:rPr>
        <w:t>Equalitas</w:t>
      </w:r>
      <w:proofErr w:type="spellEnd"/>
      <w:r w:rsidR="003E6FAA" w:rsidRPr="005A16F4">
        <w:rPr>
          <w:rFonts w:ascii="Times New Roman" w:hAnsi="Times New Roman" w:cs="Times New Roman"/>
          <w:lang w:val="en-GB"/>
        </w:rPr>
        <w:t xml:space="preserve"> standard procedures for calculating WF require the use of an index of water scarcity</w:t>
      </w:r>
      <w:r w:rsidR="001913CD">
        <w:rPr>
          <w:rFonts w:ascii="Times New Roman" w:hAnsi="Times New Roman" w:cs="Times New Roman"/>
          <w:lang w:val="en-GB"/>
        </w:rPr>
        <w:t>, as detailed in Section S2</w:t>
      </w:r>
      <w:r w:rsidR="003E6FAA" w:rsidRPr="005A16F4">
        <w:rPr>
          <w:rFonts w:ascii="Times New Roman" w:hAnsi="Times New Roman" w:cs="Times New Roman"/>
          <w:lang w:val="en-GB"/>
        </w:rPr>
        <w:t>. Other indicators of freshwater ecotoxicity, acidification and eutrophication must also be calculated, but these do not necessarily conform to the units of the EF method indicators (see</w:t>
      </w:r>
      <w:r w:rsidR="003E6FAA">
        <w:rPr>
          <w:rFonts w:ascii="Times New Roman" w:hAnsi="Times New Roman" w:cs="Times New Roman"/>
          <w:lang w:val="en-GB"/>
        </w:rPr>
        <w:t xml:space="preserve"> SI 1 -</w:t>
      </w:r>
      <w:r w:rsidR="003E6FAA" w:rsidRPr="005A16F4">
        <w:rPr>
          <w:rFonts w:ascii="Times New Roman" w:hAnsi="Times New Roman" w:cs="Times New Roman"/>
          <w:lang w:val="en-GB"/>
        </w:rPr>
        <w:t xml:space="preserve">Table </w:t>
      </w:r>
      <w:r w:rsidR="003E6FAA">
        <w:rPr>
          <w:rFonts w:ascii="Times New Roman" w:hAnsi="Times New Roman" w:cs="Times New Roman"/>
          <w:lang w:val="en-GB"/>
        </w:rPr>
        <w:t>1</w:t>
      </w:r>
      <w:r w:rsidR="003E6FAA" w:rsidRPr="005A16F4">
        <w:rPr>
          <w:rFonts w:ascii="Times New Roman" w:hAnsi="Times New Roman" w:cs="Times New Roman"/>
          <w:lang w:val="en-GB"/>
        </w:rPr>
        <w:t xml:space="preserve"> for details).</w:t>
      </w:r>
    </w:p>
    <w:p w14:paraId="37923501" w14:textId="3DFCD8BC" w:rsidR="003E6FAA" w:rsidRPr="008C3716" w:rsidRDefault="003E6FAA" w:rsidP="001913CD">
      <w:pPr>
        <w:spacing w:line="480" w:lineRule="auto"/>
        <w:rPr>
          <w:rFonts w:ascii="Times New Roman" w:hAnsi="Times New Roman" w:cs="Times New Roman"/>
          <w:color w:val="000000" w:themeColor="text1"/>
          <w:highlight w:val="yellow"/>
        </w:rPr>
      </w:pPr>
      <w:r w:rsidRPr="005A16F4">
        <w:rPr>
          <w:rFonts w:ascii="Times New Roman" w:hAnsi="Times New Roman" w:cs="Times New Roman"/>
        </w:rPr>
        <w:t xml:space="preserve">In general, the simultaneous application of two or more LCIA methods developed under different paradigms is not recommended in LCA. This is because indicators developed according to different assumptions and characterisation approaches may introduce an unnecessary level of uncertainty into the calculated value, which should be avoided. In any case, calculating indicators in isolation (as in the present study) does not generate any methodological inconsistencies, and makes the results </w:t>
      </w:r>
      <w:r w:rsidR="001913CD">
        <w:rPr>
          <w:rFonts w:ascii="Times New Roman" w:hAnsi="Times New Roman" w:cs="Times New Roman"/>
        </w:rPr>
        <w:t xml:space="preserve">even </w:t>
      </w:r>
      <w:r w:rsidRPr="005A16F4">
        <w:rPr>
          <w:rFonts w:ascii="Times New Roman" w:hAnsi="Times New Roman" w:cs="Times New Roman"/>
        </w:rPr>
        <w:t xml:space="preserve">more relevant and useful for the company. The impact assessment stops at the “midpoint level” characterisation stage, without performing any arbitrary weighting or normalisation analysis, which could introduce a high </w:t>
      </w:r>
      <w:r w:rsidR="001913CD">
        <w:rPr>
          <w:rFonts w:ascii="Times New Roman" w:hAnsi="Times New Roman" w:cs="Times New Roman"/>
        </w:rPr>
        <w:t xml:space="preserve">degree </w:t>
      </w:r>
      <w:r w:rsidRPr="005A16F4">
        <w:rPr>
          <w:rFonts w:ascii="Times New Roman" w:hAnsi="Times New Roman" w:cs="Times New Roman"/>
        </w:rPr>
        <w:t>of uncertainty into the overall impact assessment.</w:t>
      </w:r>
    </w:p>
    <w:p w14:paraId="393C20CB" w14:textId="4754988C" w:rsidR="00FA57CA" w:rsidRPr="008D6EFE" w:rsidRDefault="008D6EFE" w:rsidP="008D6EFE">
      <w:pPr>
        <w:pStyle w:val="Heading3Arillo"/>
        <w:rPr>
          <w:lang w:val="en-GB"/>
        </w:rPr>
      </w:pPr>
      <w:r w:rsidRPr="002D59DE">
        <w:rPr>
          <w:lang w:val="en-GB"/>
        </w:rPr>
        <w:t>S</w:t>
      </w:r>
      <w:r w:rsidR="00C2563C">
        <w:rPr>
          <w:lang w:val="en-GB"/>
        </w:rPr>
        <w:t>2</w:t>
      </w:r>
      <w:r w:rsidRPr="002D59DE">
        <w:rPr>
          <w:lang w:val="en-GB"/>
        </w:rPr>
        <w:t>.</w:t>
      </w:r>
      <w:r w:rsidR="0085110F" w:rsidRPr="002D59DE">
        <w:rPr>
          <w:lang w:val="en-GB"/>
        </w:rPr>
        <w:t>2</w:t>
      </w:r>
      <w:r w:rsidRPr="002D59DE">
        <w:rPr>
          <w:lang w:val="en-GB"/>
        </w:rPr>
        <w:t xml:space="preserve"> </w:t>
      </w:r>
      <w:r w:rsidR="00FA57CA" w:rsidRPr="002D59DE">
        <w:rPr>
          <w:lang w:val="en-GB"/>
        </w:rPr>
        <w:t>Data collection and development of the inventory model</w:t>
      </w:r>
    </w:p>
    <w:p w14:paraId="52C2EE47" w14:textId="1ACA6ED0" w:rsidR="00FA57CA" w:rsidRPr="008C3716" w:rsidRDefault="00FA57CA" w:rsidP="00FA57CA">
      <w:pPr>
        <w:pStyle w:val="TextMonsanto"/>
        <w:spacing w:line="480" w:lineRule="auto"/>
        <w:rPr>
          <w:rFonts w:ascii="Times New Roman" w:hAnsi="Times New Roman" w:cs="Times New Roman"/>
          <w:color w:val="000000" w:themeColor="text1"/>
          <w:lang w:val="en-GB"/>
        </w:rPr>
      </w:pPr>
      <w:r w:rsidRPr="008C3716">
        <w:rPr>
          <w:rFonts w:ascii="Times New Roman" w:hAnsi="Times New Roman" w:cs="Times New Roman"/>
          <w:color w:val="000000" w:themeColor="text1"/>
          <w:lang w:val="en-GB"/>
        </w:rPr>
        <w:t xml:space="preserve">The process of collecting physical input and output data for each step of the life cycle was carried out by populating questionnaire table prepared in Excel format, supplemented with further communications and clarifications of the company during two technical interviews and by means of email exchanges. All information collected for this study refers to the production year 2022. Although complete and accurate from the beginning of the collection process, data were further revised and checked </w:t>
      </w:r>
      <w:proofErr w:type="gramStart"/>
      <w:r w:rsidRPr="008C3716">
        <w:rPr>
          <w:rFonts w:ascii="Times New Roman" w:hAnsi="Times New Roman" w:cs="Times New Roman"/>
          <w:color w:val="000000" w:themeColor="text1"/>
          <w:lang w:val="en-GB"/>
        </w:rPr>
        <w:t>in light of</w:t>
      </w:r>
      <w:proofErr w:type="gramEnd"/>
      <w:r w:rsidRPr="008C3716">
        <w:rPr>
          <w:rFonts w:ascii="Times New Roman" w:hAnsi="Times New Roman" w:cs="Times New Roman"/>
          <w:color w:val="000000" w:themeColor="text1"/>
          <w:lang w:val="en-GB"/>
        </w:rPr>
        <w:t xml:space="preserve"> the results obtained in a preliminary phase (between November 2023 and April 2024)</w:t>
      </w:r>
      <w:r w:rsidR="00243D32">
        <w:rPr>
          <w:rFonts w:ascii="Times New Roman" w:hAnsi="Times New Roman" w:cs="Times New Roman"/>
          <w:color w:val="000000" w:themeColor="text1"/>
          <w:lang w:val="en-GB"/>
        </w:rPr>
        <w:t>.</w:t>
      </w:r>
      <w:r w:rsidRPr="008C3716">
        <w:rPr>
          <w:rFonts w:ascii="Times New Roman" w:hAnsi="Times New Roman" w:cs="Times New Roman"/>
          <w:color w:val="000000" w:themeColor="text1"/>
          <w:lang w:val="en-GB"/>
        </w:rPr>
        <w:t xml:space="preserve"> This was done both to cover some data gaps and to adjust a few data collection incoherences, albeit of little relevance. Moreover, a general review to validate the inventory with marginal corrections was carried out using the company’s responses to a list of </w:t>
      </w:r>
      <w:r w:rsidRPr="008C3716">
        <w:rPr>
          <w:rFonts w:ascii="Times New Roman" w:hAnsi="Times New Roman" w:cs="Times New Roman"/>
          <w:color w:val="000000" w:themeColor="text1"/>
          <w:lang w:val="en-GB"/>
        </w:rPr>
        <w:lastRenderedPageBreak/>
        <w:t xml:space="preserve">specific issues </w:t>
      </w:r>
      <w:proofErr w:type="gramStart"/>
      <w:r w:rsidRPr="008C3716">
        <w:rPr>
          <w:rFonts w:ascii="Times New Roman" w:hAnsi="Times New Roman" w:cs="Times New Roman"/>
          <w:color w:val="000000" w:themeColor="text1"/>
          <w:lang w:val="en-GB"/>
        </w:rPr>
        <w:t>so as to</w:t>
      </w:r>
      <w:proofErr w:type="gramEnd"/>
      <w:r w:rsidRPr="008C3716">
        <w:rPr>
          <w:rFonts w:ascii="Times New Roman" w:hAnsi="Times New Roman" w:cs="Times New Roman"/>
          <w:color w:val="000000" w:themeColor="text1"/>
          <w:lang w:val="en-GB"/>
        </w:rPr>
        <w:t xml:space="preserve"> optimize timing and use of resources. After this final validation process, there was in fact little change in the results, estimated to be under 3%.</w:t>
      </w:r>
    </w:p>
    <w:p w14:paraId="7EFE3F6D" w14:textId="08765F1A" w:rsidR="006D31AB" w:rsidRDefault="00FA57CA" w:rsidP="006D31AB">
      <w:pPr>
        <w:pStyle w:val="TextMonsanto"/>
        <w:spacing w:line="480" w:lineRule="auto"/>
        <w:rPr>
          <w:rFonts w:ascii="Times New Roman" w:hAnsi="Times New Roman" w:cs="Times New Roman"/>
          <w:lang w:val="en-GB"/>
        </w:rPr>
      </w:pPr>
      <w:r w:rsidRPr="008C3716">
        <w:rPr>
          <w:rFonts w:ascii="Times New Roman" w:hAnsi="Times New Roman" w:cs="Times New Roman"/>
          <w:color w:val="000000" w:themeColor="text1"/>
          <w:lang w:val="en-GB"/>
        </w:rPr>
        <w:t xml:space="preserve">Data collected were first processed and manipulated to be then included as input and output parameters within a representative model of the AriTer’s activities life cycle. </w:t>
      </w:r>
      <w:r w:rsidR="00572EAA">
        <w:rPr>
          <w:rFonts w:ascii="Times New Roman" w:hAnsi="Times New Roman" w:cs="Times New Roman"/>
          <w:lang w:val="en-GB"/>
        </w:rPr>
        <w:t>In particular, d</w:t>
      </w:r>
      <w:r w:rsidR="00572EAA" w:rsidRPr="007A3CD5">
        <w:rPr>
          <w:rFonts w:ascii="Times New Roman" w:hAnsi="Times New Roman" w:cs="Times New Roman"/>
          <w:lang w:val="en-GB"/>
        </w:rPr>
        <w:t xml:space="preserve">ata collected on farm were entered into datasets specifically created in </w:t>
      </w:r>
      <w:proofErr w:type="spellStart"/>
      <w:r w:rsidR="00572EAA" w:rsidRPr="007A3CD5">
        <w:rPr>
          <w:rFonts w:ascii="Times New Roman" w:hAnsi="Times New Roman" w:cs="Times New Roman"/>
          <w:lang w:val="en-GB"/>
        </w:rPr>
        <w:t>OpenLCA</w:t>
      </w:r>
      <w:proofErr w:type="spellEnd"/>
      <w:r w:rsidR="00572EAA">
        <w:rPr>
          <w:rStyle w:val="FootnoteReference"/>
          <w:rFonts w:ascii="Times New Roman" w:hAnsi="Times New Roman" w:cs="Times New Roman"/>
          <w:lang w:val="en-GB"/>
        </w:rPr>
        <w:footnoteReference w:id="6"/>
      </w:r>
      <w:r w:rsidR="00572EAA">
        <w:rPr>
          <w:rFonts w:ascii="Times New Roman" w:hAnsi="Times New Roman" w:cs="Times New Roman"/>
          <w:lang w:val="en-GB"/>
        </w:rPr>
        <w:t xml:space="preserve"> </w:t>
      </w:r>
      <w:r w:rsidR="00572EAA">
        <w:rPr>
          <w:rFonts w:ascii="Times New Roman" w:hAnsi="Times New Roman" w:cs="Times New Roman"/>
          <w:lang w:val="en-GB"/>
        </w:rPr>
        <w:fldChar w:fldCharType="begin"/>
      </w:r>
      <w:r w:rsidR="00AE27E5">
        <w:rPr>
          <w:rFonts w:ascii="Times New Roman" w:hAnsi="Times New Roman" w:cs="Times New Roman"/>
          <w:lang w:val="en-GB"/>
        </w:rPr>
        <w:instrText xml:space="preserve"> ADDIN EN.CITE &lt;EndNote&gt;&lt;Cite&gt;&lt;Author&gt;GreenDelta&lt;/Author&gt;&lt;Year&gt;2023&lt;/Year&gt;&lt;RecNum&gt;11794&lt;/RecNum&gt;&lt;DisplayText&gt;(GreenDelta, 2023)&lt;/DisplayText&gt;&lt;record&gt;&lt;rec-number&gt;11794&lt;/rec-number&gt;&lt;foreign-keys&gt;&lt;key app="EN" db-id="5x9axdpd8a9t5eezwpdxvs92ezd0txatwwfe" timestamp="1755015873"&gt;11794&lt;/key&gt;&lt;/foreign-keys&gt;&lt;ref-type name="Web Page"&gt;12&lt;/ref-type&gt;&lt;contributors&gt;&lt;authors&gt;&lt;author&gt;GreenDelta&lt;/author&gt;&lt;/authors&gt;&lt;/contributors&gt;&lt;titles&gt;&lt;title&gt;OpenLCA software. Available at: https://www.openlca.org/download/ (accessed on August 2025)&lt;/title&gt;&lt;/titles&gt;&lt;dates&gt;&lt;year&gt;2023&lt;/year&gt;&lt;/dates&gt;&lt;urls&gt;&lt;/urls&gt;&lt;/record&gt;&lt;/Cite&gt;&lt;/EndNote&gt;</w:instrText>
      </w:r>
      <w:r w:rsidR="00572EAA">
        <w:rPr>
          <w:rFonts w:ascii="Times New Roman" w:hAnsi="Times New Roman" w:cs="Times New Roman"/>
          <w:lang w:val="en-GB"/>
        </w:rPr>
        <w:fldChar w:fldCharType="separate"/>
      </w:r>
      <w:r w:rsidR="00AE27E5">
        <w:rPr>
          <w:rFonts w:ascii="Times New Roman" w:hAnsi="Times New Roman" w:cs="Times New Roman"/>
          <w:noProof/>
          <w:lang w:val="en-GB"/>
        </w:rPr>
        <w:t>(GreenDelta, 2023)</w:t>
      </w:r>
      <w:r w:rsidR="00572EAA">
        <w:rPr>
          <w:rFonts w:ascii="Times New Roman" w:hAnsi="Times New Roman" w:cs="Times New Roman"/>
          <w:lang w:val="en-GB"/>
        </w:rPr>
        <w:fldChar w:fldCharType="end"/>
      </w:r>
      <w:r w:rsidR="00572EAA" w:rsidRPr="007A3CD5">
        <w:rPr>
          <w:rFonts w:ascii="Times New Roman" w:hAnsi="Times New Roman" w:cs="Times New Roman"/>
          <w:lang w:val="en-GB"/>
        </w:rPr>
        <w:t>to represent all life cycle production activities in the three phases: Upstream, Core, and Downstream (e.g., raw material extraction; transportation; glass production; viticulture; etc.). In turn, these datasets were connected to hundreds of other datasets upstream (through the foreground information entered as input) and downstream (through the data entered as output), allowing the creation of a complex network of “life cycles” linking several thousand process activities to each other. For example, the flow of electricity consumption in the winery amounted to around 70 MWh/year in total and was included in the “Winery Operations” dataset as primary data. This was connected in turn with a pre-defined supply chain model consisting of hundreds of processes containing input/output flows of typical activities (average technologies) of the electricity life cycle in Italy. In this way, for each indicator it was possible to estimate the ‘indirect’ impact of the AriTer’s production system (i.e., the impact that is not generated by emissions or resource uses in the farm’s agricultural area), thus distinguishing between direct impacts (over which the farm may have explicit control) and indirect impacts (over which the farm has implicit responsibility and sometimes no control).</w:t>
      </w:r>
    </w:p>
    <w:p w14:paraId="5F29D26B" w14:textId="601D305D" w:rsidR="00572EAA" w:rsidRDefault="006D31AB" w:rsidP="006D31AB">
      <w:pPr>
        <w:pStyle w:val="TextMonsanto"/>
        <w:spacing w:line="480" w:lineRule="auto"/>
        <w:rPr>
          <w:rFonts w:ascii="Times New Roman" w:hAnsi="Times New Roman" w:cs="Times New Roman"/>
          <w:lang w:val="en-GB"/>
        </w:rPr>
      </w:pPr>
      <w:r>
        <w:rPr>
          <w:rFonts w:ascii="Times New Roman" w:hAnsi="Times New Roman" w:cs="Times New Roman"/>
          <w:lang w:val="en-GB"/>
        </w:rPr>
        <w:t>A</w:t>
      </w:r>
      <w:r w:rsidRPr="002B0649">
        <w:rPr>
          <w:rFonts w:ascii="Times New Roman" w:hAnsi="Times New Roman" w:cs="Times New Roman"/>
          <w:lang w:val="en-GB"/>
        </w:rPr>
        <w:t xml:space="preserve">s no specific data was available to estimate the impact associated with transporting input materials to the system (i.e. from suppliers to </w:t>
      </w:r>
      <w:proofErr w:type="spellStart"/>
      <w:r w:rsidRPr="002B0649">
        <w:rPr>
          <w:rFonts w:ascii="Times New Roman" w:hAnsi="Times New Roman" w:cs="Times New Roman"/>
          <w:lang w:val="en-GB"/>
        </w:rPr>
        <w:t>AriTer</w:t>
      </w:r>
      <w:proofErr w:type="spellEnd"/>
      <w:r w:rsidRPr="002B0649">
        <w:rPr>
          <w:rFonts w:ascii="Times New Roman" w:hAnsi="Times New Roman" w:cs="Times New Roman"/>
          <w:lang w:val="en-GB"/>
        </w:rPr>
        <w:t xml:space="preserve">), a generic distance of 25 km was arbitrarily used. In terms of modelling the distribution of the final product to the market, however, the company provided more detailed estimates of the type of transport (sea and land) and destinations at national, European and intercontinental scales. The most representative processes were selected from the </w:t>
      </w:r>
      <w:proofErr w:type="spellStart"/>
      <w:r w:rsidRPr="002B0649">
        <w:rPr>
          <w:rFonts w:ascii="Times New Roman" w:hAnsi="Times New Roman" w:cs="Times New Roman"/>
          <w:lang w:val="en-GB"/>
        </w:rPr>
        <w:t>ecoinvent</w:t>
      </w:r>
      <w:proofErr w:type="spellEnd"/>
      <w:r w:rsidRPr="002B0649">
        <w:rPr>
          <w:rFonts w:ascii="Times New Roman" w:hAnsi="Times New Roman" w:cs="Times New Roman"/>
          <w:lang w:val="en-GB"/>
        </w:rPr>
        <w:t xml:space="preserve"> database based on the mode of transportation of the materials. It is believed that modelling this stage could provide the company with accurate and useful information on where the most critical environmental issues related to product transportation are concentrated, and how the distribution chain could be improved.</w:t>
      </w:r>
      <w:r>
        <w:rPr>
          <w:rFonts w:ascii="Times New Roman" w:hAnsi="Times New Roman" w:cs="Times New Roman"/>
          <w:lang w:val="en-GB"/>
        </w:rPr>
        <w:t xml:space="preserve"> </w:t>
      </w:r>
      <w:r w:rsidRPr="007A3CD5">
        <w:rPr>
          <w:rFonts w:ascii="Times New Roman" w:hAnsi="Times New Roman" w:cs="Times New Roman"/>
          <w:lang w:val="en-GB"/>
        </w:rPr>
        <w:t xml:space="preserve">For the end-of-life of packaging materials, information was only provided regarding the outputs of exhausted oils and secondary waste from the company (plastic, paper and cardboard of the products consumed by the company, wood from broken pallets, residual glass from the </w:t>
      </w:r>
      <w:r w:rsidRPr="007A3CD5">
        <w:rPr>
          <w:rFonts w:ascii="Times New Roman" w:hAnsi="Times New Roman" w:cs="Times New Roman"/>
          <w:lang w:val="en-GB"/>
        </w:rPr>
        <w:lastRenderedPageBreak/>
        <w:t>packaging processes, etc.). Those followed specific disposal routes for hazardous waste and/or recovery and recycling routes as indicated by specific waste classifications. While only hypothetical scenarios of municipal solid waste treatment, with different percentages of recycling, landfill and incineration in Europe, could be set up for the management of the waste from primary packaging (bottles, boxes, etc.).</w:t>
      </w:r>
    </w:p>
    <w:p w14:paraId="0B98A71E" w14:textId="1B8EEFD4" w:rsidR="006D31AB" w:rsidRDefault="00FA57CA" w:rsidP="006D31AB">
      <w:pPr>
        <w:pStyle w:val="TextMonsanto"/>
        <w:spacing w:line="480" w:lineRule="auto"/>
        <w:rPr>
          <w:rFonts w:ascii="Times New Roman" w:hAnsi="Times New Roman" w:cs="Times New Roman"/>
          <w:lang w:val="en-GB"/>
        </w:rPr>
      </w:pPr>
      <w:r w:rsidRPr="008C3716">
        <w:rPr>
          <w:rFonts w:ascii="Times New Roman" w:hAnsi="Times New Roman" w:cs="Times New Roman"/>
          <w:color w:val="000000" w:themeColor="text1"/>
          <w:lang w:val="en-GB"/>
        </w:rPr>
        <w:t xml:space="preserve">As </w:t>
      </w:r>
      <w:r w:rsidR="00572EAA">
        <w:rPr>
          <w:rFonts w:ascii="Times New Roman" w:hAnsi="Times New Roman" w:cs="Times New Roman"/>
          <w:color w:val="000000" w:themeColor="text1"/>
          <w:lang w:val="en-GB"/>
        </w:rPr>
        <w:t>anticipated</w:t>
      </w:r>
      <w:r w:rsidRPr="008C3716">
        <w:rPr>
          <w:rFonts w:ascii="Times New Roman" w:hAnsi="Times New Roman" w:cs="Times New Roman"/>
          <w:color w:val="000000" w:themeColor="text1"/>
          <w:lang w:val="en-GB"/>
        </w:rPr>
        <w:t xml:space="preserve"> </w:t>
      </w:r>
      <w:r w:rsidR="00243D32">
        <w:rPr>
          <w:rFonts w:ascii="Times New Roman" w:hAnsi="Times New Roman" w:cs="Times New Roman"/>
          <w:color w:val="000000" w:themeColor="text1"/>
          <w:lang w:val="en-GB"/>
        </w:rPr>
        <w:t>in the main paper</w:t>
      </w:r>
      <w:r w:rsidRPr="008C3716">
        <w:rPr>
          <w:rFonts w:ascii="Times New Roman" w:hAnsi="Times New Roman" w:cs="Times New Roman"/>
          <w:color w:val="000000" w:themeColor="text1"/>
          <w:lang w:val="en-GB"/>
        </w:rPr>
        <w:t>, the model was constructed in compliance with the basic principles and criteria of ISO/TS 14072:2014, which is strictly dependent on the ISO 14040:2006 and ISO 14044:2006 standards regarding life cycle inventory (LCI) analysis</w:t>
      </w:r>
      <w:r w:rsidR="00243D32">
        <w:rPr>
          <w:rFonts w:ascii="Times New Roman" w:hAnsi="Times New Roman" w:cs="Times New Roman"/>
          <w:color w:val="000000" w:themeColor="text1"/>
          <w:lang w:val="en-GB"/>
        </w:rPr>
        <w:t>. This implied</w:t>
      </w:r>
      <w:r w:rsidRPr="008C3716">
        <w:rPr>
          <w:rFonts w:ascii="Times New Roman" w:hAnsi="Times New Roman" w:cs="Times New Roman"/>
          <w:color w:val="000000" w:themeColor="text1"/>
          <w:lang w:val="en-GB"/>
        </w:rPr>
        <w:t xml:space="preserve"> compiling and quantifying the inputs and outputs of the processes and products of </w:t>
      </w:r>
      <w:proofErr w:type="spellStart"/>
      <w:r w:rsidRPr="008C3716">
        <w:rPr>
          <w:rFonts w:ascii="Times New Roman" w:hAnsi="Times New Roman" w:cs="Times New Roman"/>
          <w:color w:val="000000" w:themeColor="text1"/>
          <w:lang w:val="en-GB"/>
        </w:rPr>
        <w:t>AriTer</w:t>
      </w:r>
      <w:proofErr w:type="spellEnd"/>
      <w:r w:rsidRPr="008C3716">
        <w:rPr>
          <w:rFonts w:ascii="Times New Roman" w:hAnsi="Times New Roman" w:cs="Times New Roman"/>
          <w:color w:val="000000" w:themeColor="text1"/>
          <w:lang w:val="en-GB"/>
        </w:rPr>
        <w:t xml:space="preserve"> throughout their life cycle. The result of the LCI analysis is a catalogue of the flows of land use, raw materials and energy directly and indirectly used within the system boundaries of the organisation (defined at the initial model development stage), as well as pollutant emissions to air, water and soil. In addition to the aforementioned ISO standards, specific international Product Category Rules (PCR) were consulted to model and collect data related to the life cycle phases of the two main AriTer’s products (wine and </w:t>
      </w:r>
      <w:proofErr w:type="spellStart"/>
      <w:r w:rsidRPr="008C3716">
        <w:rPr>
          <w:rFonts w:ascii="Times New Roman" w:hAnsi="Times New Roman" w:cs="Times New Roman"/>
          <w:color w:val="000000" w:themeColor="text1"/>
          <w:lang w:val="en-GB"/>
        </w:rPr>
        <w:t>evoo</w:t>
      </w:r>
      <w:proofErr w:type="spellEnd"/>
      <w:r w:rsidRPr="008C3716">
        <w:rPr>
          <w:rFonts w:ascii="Times New Roman" w:hAnsi="Times New Roman" w:cs="Times New Roman"/>
          <w:color w:val="000000" w:themeColor="text1"/>
          <w:lang w:val="en-GB"/>
        </w:rPr>
        <w:t xml:space="preserve">), thus providing an adequate technical-theoretical basis to support future environmental sustainability certification processes such as </w:t>
      </w:r>
      <w:proofErr w:type="spellStart"/>
      <w:r w:rsidRPr="008C3716">
        <w:rPr>
          <w:rFonts w:ascii="Times New Roman" w:hAnsi="Times New Roman" w:cs="Times New Roman"/>
          <w:color w:val="000000" w:themeColor="text1"/>
          <w:lang w:val="en-GB"/>
        </w:rPr>
        <w:t>Equalitas</w:t>
      </w:r>
      <w:proofErr w:type="spellEnd"/>
      <w:r w:rsidR="00243D32">
        <w:rPr>
          <w:rStyle w:val="FootnoteReference"/>
          <w:rFonts w:ascii="Times New Roman" w:hAnsi="Times New Roman" w:cs="Times New Roman"/>
          <w:color w:val="000000" w:themeColor="text1"/>
          <w:lang w:val="en-GB"/>
        </w:rPr>
        <w:footnoteReference w:id="7"/>
      </w:r>
      <w:r w:rsidRPr="008C3716">
        <w:rPr>
          <w:rFonts w:ascii="Times New Roman" w:hAnsi="Times New Roman" w:cs="Times New Roman"/>
          <w:color w:val="000000" w:themeColor="text1"/>
          <w:lang w:val="en-GB"/>
        </w:rPr>
        <w:t>.</w:t>
      </w:r>
    </w:p>
    <w:p w14:paraId="652C88F6" w14:textId="433850D1" w:rsidR="00FA57CA" w:rsidRPr="008D6EFE" w:rsidRDefault="008D6EFE" w:rsidP="008D6EFE">
      <w:pPr>
        <w:pStyle w:val="Heading3Arillo"/>
        <w:rPr>
          <w:lang w:val="en-GB"/>
        </w:rPr>
      </w:pPr>
      <w:r w:rsidRPr="008D6EFE">
        <w:rPr>
          <w:lang w:val="en-GB"/>
        </w:rPr>
        <w:t>S</w:t>
      </w:r>
      <w:r w:rsidR="00C2563C">
        <w:rPr>
          <w:lang w:val="en-GB"/>
        </w:rPr>
        <w:t>2</w:t>
      </w:r>
      <w:r w:rsidRPr="008D6EFE">
        <w:rPr>
          <w:lang w:val="en-GB"/>
        </w:rPr>
        <w:t>.</w:t>
      </w:r>
      <w:r w:rsidR="0085110F">
        <w:rPr>
          <w:lang w:val="en-GB"/>
        </w:rPr>
        <w:t>3</w:t>
      </w:r>
      <w:r w:rsidRPr="008D6EFE">
        <w:rPr>
          <w:lang w:val="en-GB"/>
        </w:rPr>
        <w:t xml:space="preserve"> </w:t>
      </w:r>
      <w:r w:rsidR="00FA57CA" w:rsidRPr="008D6EFE">
        <w:rPr>
          <w:lang w:val="en-GB"/>
        </w:rPr>
        <w:t>Model analysis and interpretation of the results</w:t>
      </w:r>
    </w:p>
    <w:p w14:paraId="2C40F687" w14:textId="77777777" w:rsidR="00572EAA" w:rsidRDefault="00FA57CA" w:rsidP="00FA57CA">
      <w:pPr>
        <w:pStyle w:val="TextMonsanto"/>
        <w:spacing w:line="480" w:lineRule="auto"/>
        <w:rPr>
          <w:rFonts w:ascii="Times New Roman" w:hAnsi="Times New Roman" w:cs="Times New Roman"/>
          <w:color w:val="000000" w:themeColor="text1"/>
          <w:lang w:val="en-GB"/>
        </w:rPr>
      </w:pPr>
      <w:r w:rsidRPr="008C3716">
        <w:rPr>
          <w:rFonts w:ascii="Times New Roman" w:hAnsi="Times New Roman" w:cs="Times New Roman"/>
          <w:color w:val="000000" w:themeColor="text1"/>
          <w:lang w:val="en-GB"/>
        </w:rPr>
        <w:t xml:space="preserve">The LCI provides the starting point for the life cycle impact assessment (LCIA) phase in LCA. This aims to assess the magnitude and contextual relevance of </w:t>
      </w:r>
      <w:r w:rsidR="00572EAA">
        <w:rPr>
          <w:rFonts w:ascii="Times New Roman" w:hAnsi="Times New Roman" w:cs="Times New Roman"/>
          <w:color w:val="000000" w:themeColor="text1"/>
          <w:lang w:val="en-GB"/>
        </w:rPr>
        <w:t xml:space="preserve">the </w:t>
      </w:r>
      <w:r w:rsidRPr="008C3716">
        <w:rPr>
          <w:rFonts w:ascii="Times New Roman" w:hAnsi="Times New Roman" w:cs="Times New Roman"/>
          <w:color w:val="000000" w:themeColor="text1"/>
          <w:lang w:val="en-GB"/>
        </w:rPr>
        <w:t xml:space="preserve">potential environmental impacts (e.g., Carbon Footprint) generated by the production system using the LCI results. In general, this methodological </w:t>
      </w:r>
      <w:r w:rsidR="00572EAA">
        <w:rPr>
          <w:rFonts w:ascii="Times New Roman" w:hAnsi="Times New Roman" w:cs="Times New Roman"/>
          <w:color w:val="000000" w:themeColor="text1"/>
          <w:lang w:val="en-GB"/>
        </w:rPr>
        <w:t>step</w:t>
      </w:r>
      <w:r w:rsidRPr="008C3716">
        <w:rPr>
          <w:rFonts w:ascii="Times New Roman" w:hAnsi="Times New Roman" w:cs="Times New Roman"/>
          <w:color w:val="000000" w:themeColor="text1"/>
          <w:lang w:val="en-GB"/>
        </w:rPr>
        <w:t xml:space="preserve"> associates inventory data with specific environmental impact category indicators. The result of an LCIA is the calculation of those environmental impacts, which can be achieved using LCIA methods </w:t>
      </w:r>
      <w:r w:rsidR="00572EAA">
        <w:rPr>
          <w:rFonts w:ascii="Times New Roman" w:hAnsi="Times New Roman" w:cs="Times New Roman"/>
          <w:color w:val="000000" w:themeColor="text1"/>
          <w:lang w:val="en-GB"/>
        </w:rPr>
        <w:t>provided by established</w:t>
      </w:r>
      <w:r w:rsidRPr="008C3716">
        <w:rPr>
          <w:rFonts w:ascii="Times New Roman" w:hAnsi="Times New Roman" w:cs="Times New Roman"/>
          <w:color w:val="000000" w:themeColor="text1"/>
          <w:lang w:val="en-GB"/>
        </w:rPr>
        <w:t xml:space="preserve"> literature and conforming to the guidelines of reference standards on which </w:t>
      </w:r>
      <w:proofErr w:type="spellStart"/>
      <w:r w:rsidRPr="008C3716">
        <w:rPr>
          <w:rFonts w:ascii="Times New Roman" w:hAnsi="Times New Roman" w:cs="Times New Roman"/>
          <w:color w:val="000000" w:themeColor="text1"/>
          <w:lang w:val="en-GB"/>
        </w:rPr>
        <w:t>Equalitas</w:t>
      </w:r>
      <w:proofErr w:type="spellEnd"/>
      <w:r w:rsidRPr="008C3716">
        <w:rPr>
          <w:rFonts w:ascii="Times New Roman" w:hAnsi="Times New Roman" w:cs="Times New Roman"/>
          <w:color w:val="000000" w:themeColor="text1"/>
          <w:lang w:val="en-GB"/>
        </w:rPr>
        <w:t xml:space="preserve"> </w:t>
      </w:r>
      <w:r w:rsidR="00572EAA">
        <w:rPr>
          <w:rFonts w:ascii="Times New Roman" w:hAnsi="Times New Roman" w:cs="Times New Roman"/>
          <w:color w:val="000000" w:themeColor="text1"/>
          <w:lang w:val="en-GB"/>
        </w:rPr>
        <w:t>and other schemes are</w:t>
      </w:r>
      <w:r w:rsidRPr="008C3716">
        <w:rPr>
          <w:rFonts w:ascii="Times New Roman" w:hAnsi="Times New Roman" w:cs="Times New Roman"/>
          <w:color w:val="000000" w:themeColor="text1"/>
          <w:lang w:val="en-GB"/>
        </w:rPr>
        <w:t xml:space="preserve"> based, such as the ISO 14046:2014 on water </w:t>
      </w:r>
      <w:proofErr w:type="spellStart"/>
      <w:r w:rsidRPr="008C3716">
        <w:rPr>
          <w:rFonts w:ascii="Times New Roman" w:hAnsi="Times New Roman" w:cs="Times New Roman"/>
          <w:color w:val="000000" w:themeColor="text1"/>
          <w:lang w:val="en-GB"/>
        </w:rPr>
        <w:t>footprinting</w:t>
      </w:r>
      <w:proofErr w:type="spellEnd"/>
      <w:r w:rsidRPr="008C3716">
        <w:rPr>
          <w:rFonts w:ascii="Times New Roman" w:hAnsi="Times New Roman" w:cs="Times New Roman"/>
          <w:color w:val="000000" w:themeColor="text1"/>
          <w:lang w:val="en-GB"/>
        </w:rPr>
        <w:t xml:space="preserve"> and the ISO 14064-1:2018 for the quantification and reporting of GHG emissions and removals at the organization level.</w:t>
      </w:r>
    </w:p>
    <w:p w14:paraId="788F3F0C" w14:textId="36EF9C1E" w:rsidR="00FA57CA" w:rsidRPr="008C3716" w:rsidRDefault="00FA57CA" w:rsidP="00FA57CA">
      <w:pPr>
        <w:pStyle w:val="TextMonsanto"/>
        <w:spacing w:line="480" w:lineRule="auto"/>
        <w:rPr>
          <w:rFonts w:ascii="Times New Roman" w:hAnsi="Times New Roman" w:cs="Times New Roman"/>
          <w:color w:val="000000" w:themeColor="text1"/>
          <w:lang w:val="en-GB"/>
        </w:rPr>
      </w:pPr>
      <w:r w:rsidRPr="008C3716">
        <w:rPr>
          <w:rFonts w:ascii="Times New Roman" w:hAnsi="Times New Roman" w:cs="Times New Roman"/>
          <w:color w:val="000000" w:themeColor="text1"/>
          <w:lang w:val="en-GB"/>
        </w:rPr>
        <w:t>The LCIA method selected for this study, although with some variations with respect to the choice of indicators (</w:t>
      </w:r>
      <w:r w:rsidR="00572EAA">
        <w:rPr>
          <w:rFonts w:ascii="Times New Roman" w:hAnsi="Times New Roman" w:cs="Times New Roman"/>
          <w:color w:val="000000" w:themeColor="text1"/>
          <w:lang w:val="en-GB"/>
        </w:rPr>
        <w:t>See Section S1.1</w:t>
      </w:r>
      <w:r w:rsidRPr="008C3716">
        <w:rPr>
          <w:rFonts w:ascii="Times New Roman" w:hAnsi="Times New Roman" w:cs="Times New Roman"/>
          <w:color w:val="000000" w:themeColor="text1"/>
          <w:lang w:val="en-GB"/>
        </w:rPr>
        <w:t xml:space="preserve">), is the Organisation Environmental Footprint (OEF). This method has been developed by the Joint Research </w:t>
      </w:r>
      <w:proofErr w:type="spellStart"/>
      <w:r w:rsidRPr="008C3716">
        <w:rPr>
          <w:rFonts w:ascii="Times New Roman" w:hAnsi="Times New Roman" w:cs="Times New Roman"/>
          <w:color w:val="000000" w:themeColor="text1"/>
          <w:lang w:val="en-GB"/>
        </w:rPr>
        <w:t>Center</w:t>
      </w:r>
      <w:proofErr w:type="spellEnd"/>
      <w:r w:rsidRPr="008C3716">
        <w:rPr>
          <w:rFonts w:ascii="Times New Roman" w:hAnsi="Times New Roman" w:cs="Times New Roman"/>
          <w:color w:val="000000" w:themeColor="text1"/>
          <w:lang w:val="en-GB"/>
        </w:rPr>
        <w:t xml:space="preserve"> (JRC) of the European Commission and is continuously evolving and being tested. </w:t>
      </w:r>
      <w:r w:rsidRPr="008C3716">
        <w:rPr>
          <w:rFonts w:ascii="Times New Roman" w:hAnsi="Times New Roman" w:cs="Times New Roman"/>
          <w:color w:val="000000" w:themeColor="text1"/>
          <w:lang w:val="en-GB"/>
        </w:rPr>
        <w:lastRenderedPageBreak/>
        <w:t>It aims to offer a common way and shared approach for measuring environmental performance of companies in all economic sectors across Europe. By demonstrating its validity and relevance for LCA studies in the Italian agrifood sector, the Ministry of the Environment and Protection of Land and Sea (nowadays Ministry of the Environment and Energy Security), with the Decree No. 56 dated 21/03/18 the voluntary national scheme for the assessment and communication of the environmental footprint of products, called “Made Green in Italy”, has been made operational. This is part of the National programs for environmental footprint analysis and enterprise sustainability were the JRC-EC Environmental Footprint methods are a reference pillars.</w:t>
      </w:r>
    </w:p>
    <w:p w14:paraId="5893A096" w14:textId="4375701D" w:rsidR="00FA57CA" w:rsidRPr="008C3716" w:rsidRDefault="00FA57CA" w:rsidP="00FA57CA">
      <w:pPr>
        <w:pStyle w:val="TextMonsanto"/>
        <w:spacing w:line="480" w:lineRule="auto"/>
        <w:rPr>
          <w:rFonts w:ascii="Times New Roman" w:hAnsi="Times New Roman" w:cs="Times New Roman"/>
          <w:color w:val="000000" w:themeColor="text1"/>
          <w:lang w:val="en-GB"/>
        </w:rPr>
      </w:pPr>
      <w:r w:rsidRPr="008C3716">
        <w:rPr>
          <w:rFonts w:ascii="Times New Roman" w:hAnsi="Times New Roman" w:cs="Times New Roman"/>
          <w:color w:val="000000" w:themeColor="text1"/>
          <w:lang w:val="en-GB"/>
        </w:rPr>
        <w:t xml:space="preserve">The last step of the study is called “interpretation” and is the stage of the O-LCA in which both the LCI and LCIA results are reconsidered together. The interpretation stage should provide evidence of consistency of the results with the objective and prospective scope of the scenarios defined in the initial stages of the study, such that useful conclusions for the company and recommendations for improving environmental performance can be formulated. From this point of view, results from the O-LCA, particularly those related to the Carbon Footprint analysis, can be compared and balanced with the results from the assessment of carbon removals in forests and on agricultural soils. By associating the environmental footprint values with field surveys and an enhancement of the good agricultural practices already in use, it was possible to define a path of optimization for the management processes, in order to allow the farm reducing (through impact mitigation actions) the total load of its environmental footprint, as well as compensating (through </w:t>
      </w:r>
      <w:proofErr w:type="spellStart"/>
      <w:r w:rsidRPr="008C3716">
        <w:rPr>
          <w:rFonts w:ascii="Times New Roman" w:hAnsi="Times New Roman" w:cs="Times New Roman"/>
          <w:color w:val="000000" w:themeColor="text1"/>
          <w:lang w:val="en-GB"/>
        </w:rPr>
        <w:t>insetting</w:t>
      </w:r>
      <w:proofErr w:type="spellEnd"/>
      <w:r w:rsidRPr="008C3716">
        <w:rPr>
          <w:rFonts w:ascii="Times New Roman" w:hAnsi="Times New Roman" w:cs="Times New Roman"/>
          <w:color w:val="000000" w:themeColor="text1"/>
          <w:lang w:val="en-GB"/>
        </w:rPr>
        <w:t xml:space="preserve"> procedures) any residual and unavoidable impact. Results of the present O-LCA study will therefore be preparatory to the achievement of a carbon-neutral (or even carbon-positive) condition for the company. Regardless the climate neutrality certification scheme that might be adopted later, the condition of carbon neutral/positive can only be declared following the implementation of a carbon management plan, the basis of which were promoted </w:t>
      </w:r>
      <w:r w:rsidR="00932D43">
        <w:rPr>
          <w:rFonts w:ascii="Times New Roman" w:hAnsi="Times New Roman" w:cs="Times New Roman"/>
          <w:color w:val="000000" w:themeColor="text1"/>
          <w:lang w:val="en-GB"/>
        </w:rPr>
        <w:t>in this paper</w:t>
      </w:r>
      <w:r w:rsidRPr="008C3716">
        <w:rPr>
          <w:rFonts w:ascii="Times New Roman" w:hAnsi="Times New Roman" w:cs="Times New Roman"/>
          <w:color w:val="000000" w:themeColor="text1"/>
          <w:lang w:val="en-GB"/>
        </w:rPr>
        <w:t>.</w:t>
      </w:r>
    </w:p>
    <w:p w14:paraId="40FD32AD" w14:textId="77777777" w:rsidR="008C3716" w:rsidRPr="008C3716" w:rsidRDefault="008C3716" w:rsidP="000B16AC">
      <w:pPr>
        <w:pStyle w:val="Heading2Arillo"/>
        <w:rPr>
          <w:rFonts w:cs="Times New Roman"/>
          <w:lang w:val="en-GB"/>
        </w:rPr>
        <w:sectPr w:rsidR="008C3716" w:rsidRPr="008C3716" w:rsidSect="00A02F82">
          <w:pgSz w:w="11906" w:h="16838" w:code="9"/>
          <w:pgMar w:top="1134" w:right="1134" w:bottom="1134" w:left="1134" w:header="709" w:footer="709" w:gutter="0"/>
          <w:lnNumType w:countBy="1" w:restart="continuous"/>
          <w:cols w:space="708"/>
          <w:docGrid w:linePitch="360"/>
        </w:sectPr>
      </w:pPr>
    </w:p>
    <w:p w14:paraId="2B2E1601" w14:textId="32D92883" w:rsidR="000B16AC" w:rsidRPr="008C3716" w:rsidRDefault="008D6EFE" w:rsidP="000B16AC">
      <w:pPr>
        <w:pStyle w:val="Heading2Arillo"/>
        <w:rPr>
          <w:rFonts w:cs="Times New Roman"/>
          <w:lang w:val="en-GB"/>
        </w:rPr>
      </w:pPr>
      <w:r>
        <w:rPr>
          <w:rFonts w:cs="Times New Roman"/>
          <w:lang w:val="en-GB"/>
        </w:rPr>
        <w:lastRenderedPageBreak/>
        <w:t>S</w:t>
      </w:r>
      <w:r w:rsidR="00C2563C">
        <w:rPr>
          <w:rFonts w:cs="Times New Roman"/>
          <w:lang w:val="en-GB"/>
        </w:rPr>
        <w:t>3</w:t>
      </w:r>
      <w:r>
        <w:rPr>
          <w:rFonts w:cs="Times New Roman"/>
          <w:lang w:val="en-GB"/>
        </w:rPr>
        <w:t xml:space="preserve"> </w:t>
      </w:r>
      <w:r w:rsidR="000B16AC" w:rsidRPr="008C3716">
        <w:rPr>
          <w:rFonts w:cs="Times New Roman"/>
          <w:lang w:val="en-GB"/>
        </w:rPr>
        <w:t xml:space="preserve">Application of the </w:t>
      </w:r>
      <w:proofErr w:type="spellStart"/>
      <w:r w:rsidR="000B16AC" w:rsidRPr="008C3716">
        <w:rPr>
          <w:rFonts w:cs="Times New Roman"/>
          <w:lang w:val="en-GB"/>
        </w:rPr>
        <w:t>Equalitas</w:t>
      </w:r>
      <w:proofErr w:type="spellEnd"/>
      <w:r w:rsidR="000B16AC" w:rsidRPr="008C3716">
        <w:rPr>
          <w:rFonts w:cs="Times New Roman"/>
          <w:lang w:val="en-GB"/>
        </w:rPr>
        <w:t xml:space="preserve"> procedure</w:t>
      </w:r>
    </w:p>
    <w:p w14:paraId="220EF969" w14:textId="363E9181" w:rsidR="000B16AC" w:rsidRPr="008C3716" w:rsidRDefault="008D6EFE" w:rsidP="000B16AC">
      <w:pPr>
        <w:pStyle w:val="Heading3Arillo"/>
        <w:rPr>
          <w:rFonts w:cs="Times New Roman"/>
          <w:lang w:val="en-GB"/>
        </w:rPr>
      </w:pPr>
      <w:bookmarkStart w:id="2" w:name="_Toc176516326"/>
      <w:r>
        <w:rPr>
          <w:rFonts w:cs="Times New Roman"/>
          <w:lang w:val="en-GB"/>
        </w:rPr>
        <w:t>S</w:t>
      </w:r>
      <w:r w:rsidR="00C2563C">
        <w:rPr>
          <w:rFonts w:cs="Times New Roman"/>
          <w:lang w:val="en-GB"/>
        </w:rPr>
        <w:t>3</w:t>
      </w:r>
      <w:r>
        <w:rPr>
          <w:rFonts w:cs="Times New Roman"/>
          <w:lang w:val="en-GB"/>
        </w:rPr>
        <w:t xml:space="preserve">.1 </w:t>
      </w:r>
      <w:r w:rsidR="000B16AC" w:rsidRPr="008C3716">
        <w:rPr>
          <w:rFonts w:cs="Times New Roman"/>
          <w:lang w:val="en-GB"/>
        </w:rPr>
        <w:t>Calculation of the Carbon Footprint of AriTer’s wine</w:t>
      </w:r>
      <w:bookmarkEnd w:id="2"/>
    </w:p>
    <w:p w14:paraId="3382EAD7" w14:textId="77777777" w:rsidR="000B16AC" w:rsidRPr="008C3716" w:rsidRDefault="000B16AC" w:rsidP="000B16AC">
      <w:pPr>
        <w:pStyle w:val="TextMonsanto"/>
        <w:spacing w:line="480" w:lineRule="auto"/>
        <w:rPr>
          <w:rFonts w:ascii="Times New Roman" w:hAnsi="Times New Roman" w:cs="Times New Roman"/>
          <w:lang w:val="en-GB"/>
        </w:rPr>
      </w:pPr>
      <w:r w:rsidRPr="008C3716">
        <w:rPr>
          <w:rFonts w:ascii="Times New Roman" w:hAnsi="Times New Roman" w:cs="Times New Roman"/>
          <w:lang w:val="en-GB"/>
        </w:rPr>
        <w:t>To assess the impact of AriTer’s wine supply chain, the analysis was aligned with the procedures for calculating the Carbon Footprint of organizations defined by the ISO 14064-1:2018</w:t>
      </w:r>
      <w:r w:rsidRPr="008C3716">
        <w:rPr>
          <w:rFonts w:ascii="Times New Roman" w:hAnsi="Times New Roman" w:cs="Times New Roman"/>
          <w:vertAlign w:val="superscript"/>
          <w:lang w:val="en-GB"/>
        </w:rPr>
        <w:footnoteReference w:id="8"/>
      </w:r>
      <w:r w:rsidRPr="008C3716">
        <w:rPr>
          <w:rFonts w:ascii="Times New Roman" w:hAnsi="Times New Roman" w:cs="Times New Roman"/>
          <w:lang w:val="en-GB"/>
        </w:rPr>
        <w:t>, which is already recommended by the GHGs accounting protocol of the International Organization of Vine and Wine (OIV)</w:t>
      </w:r>
      <w:r w:rsidRPr="008C3716">
        <w:rPr>
          <w:rFonts w:ascii="Times New Roman" w:hAnsi="Times New Roman" w:cs="Times New Roman"/>
          <w:vertAlign w:val="superscript"/>
          <w:lang w:val="en-GB"/>
        </w:rPr>
        <w:footnoteReference w:id="9"/>
      </w:r>
      <w:r w:rsidRPr="008C3716">
        <w:rPr>
          <w:rFonts w:ascii="Times New Roman" w:hAnsi="Times New Roman" w:cs="Times New Roman"/>
          <w:lang w:val="en-GB"/>
        </w:rPr>
        <w:t xml:space="preserve"> and provided as a reference methodology by the application regulation of the </w:t>
      </w:r>
      <w:proofErr w:type="spellStart"/>
      <w:r w:rsidRPr="008C3716">
        <w:rPr>
          <w:rFonts w:ascii="Times New Roman" w:hAnsi="Times New Roman" w:cs="Times New Roman"/>
          <w:lang w:val="en-GB"/>
        </w:rPr>
        <w:t>Equalitas</w:t>
      </w:r>
      <w:proofErr w:type="spellEnd"/>
      <w:r w:rsidRPr="008C3716">
        <w:rPr>
          <w:rFonts w:ascii="Times New Roman" w:hAnsi="Times New Roman" w:cs="Times New Roman"/>
          <w:lang w:val="en-GB"/>
        </w:rPr>
        <w:t xml:space="preserve"> standard.</w:t>
      </w:r>
    </w:p>
    <w:p w14:paraId="58D8C5A3" w14:textId="63DDCC53" w:rsidR="000B16AC" w:rsidRPr="008C3716" w:rsidRDefault="000B16AC" w:rsidP="000B16AC">
      <w:pPr>
        <w:pStyle w:val="TextMonsanto"/>
        <w:spacing w:line="480" w:lineRule="auto"/>
        <w:rPr>
          <w:rFonts w:ascii="Times New Roman" w:hAnsi="Times New Roman" w:cs="Times New Roman"/>
          <w:lang w:val="en-GB"/>
        </w:rPr>
      </w:pPr>
      <w:r w:rsidRPr="008C3716">
        <w:rPr>
          <w:rFonts w:ascii="Times New Roman" w:hAnsi="Times New Roman" w:cs="Times New Roman"/>
          <w:lang w:val="en-GB"/>
        </w:rPr>
        <w:t>The ISO 14064-1 procedures detail principles and requirements for designing, developing, managing and reporting organization-level GHG inventories. The standard includes requirements for determining GHG emission and removal (of GHG from the atmosphere) boundaries, quantifying an organization’s GHG emissions and removals, and identifying specific company actions or activities aimed at improving GHG management. The document also includes requirements and guidance on inventory quality management, reporting, internal auditing and the organization’s responsibilities in verification activities. The ISO 14064-1 defines a carbon footprint profile as the sum of GHG emissions and carbon removals in the production system of an organisation, expressed in units of CO</w:t>
      </w:r>
      <w:r w:rsidRPr="008C3716">
        <w:rPr>
          <w:rFonts w:ascii="Times New Roman" w:hAnsi="Times New Roman" w:cs="Times New Roman"/>
          <w:vertAlign w:val="subscript"/>
          <w:lang w:val="en-GB"/>
        </w:rPr>
        <w:t>2</w:t>
      </w:r>
      <w:r w:rsidRPr="008C3716">
        <w:rPr>
          <w:rFonts w:ascii="Times New Roman" w:hAnsi="Times New Roman" w:cs="Times New Roman"/>
          <w:lang w:val="en-GB"/>
        </w:rPr>
        <w:t xml:space="preserve"> equivalent mass (e.g., kg CO</w:t>
      </w:r>
      <w:r w:rsidRPr="008C3716">
        <w:rPr>
          <w:rFonts w:ascii="Times New Roman" w:hAnsi="Times New Roman" w:cs="Times New Roman"/>
          <w:vertAlign w:val="subscript"/>
          <w:lang w:val="en-GB"/>
        </w:rPr>
        <w:t>2</w:t>
      </w:r>
      <w:r w:rsidRPr="008C3716">
        <w:rPr>
          <w:rFonts w:ascii="Times New Roman" w:hAnsi="Times New Roman" w:cs="Times New Roman"/>
          <w:lang w:val="en-GB"/>
        </w:rPr>
        <w:t xml:space="preserve"> eq.) and possibly based on O-LCA modelling using the climate change impact category (global warming potential, or global warming</w:t>
      </w:r>
      <w:r w:rsidRPr="008C3716">
        <w:rPr>
          <w:rFonts w:ascii="Times New Roman" w:hAnsi="Times New Roman" w:cs="Times New Roman"/>
          <w:vertAlign w:val="superscript"/>
          <w:lang w:val="en-GB"/>
        </w:rPr>
        <w:footnoteReference w:id="10"/>
      </w:r>
      <w:r w:rsidRPr="008C3716">
        <w:rPr>
          <w:rFonts w:ascii="Times New Roman" w:hAnsi="Times New Roman" w:cs="Times New Roman"/>
          <w:lang w:val="en-GB"/>
        </w:rPr>
        <w:t xml:space="preserve">), as anticipated in Table </w:t>
      </w:r>
      <w:r w:rsidR="00DA0C5F">
        <w:rPr>
          <w:rFonts w:ascii="Times New Roman" w:hAnsi="Times New Roman" w:cs="Times New Roman"/>
          <w:lang w:val="en-GB"/>
        </w:rPr>
        <w:t>S</w:t>
      </w:r>
      <w:r w:rsidRPr="008C3716">
        <w:rPr>
          <w:rFonts w:ascii="Times New Roman" w:hAnsi="Times New Roman" w:cs="Times New Roman"/>
          <w:lang w:val="en-GB"/>
        </w:rPr>
        <w:t>1.</w:t>
      </w:r>
    </w:p>
    <w:p w14:paraId="49B2C122" w14:textId="5E527258" w:rsidR="000B16AC" w:rsidRPr="008C3716" w:rsidRDefault="000B16AC" w:rsidP="000B16AC">
      <w:pPr>
        <w:pStyle w:val="TextMonsanto"/>
        <w:spacing w:line="480" w:lineRule="auto"/>
        <w:rPr>
          <w:rFonts w:ascii="Times New Roman" w:hAnsi="Times New Roman" w:cs="Times New Roman"/>
          <w:lang w:val="en-GB"/>
        </w:rPr>
      </w:pPr>
      <w:r w:rsidRPr="008C3716">
        <w:rPr>
          <w:rFonts w:ascii="Times New Roman" w:hAnsi="Times New Roman" w:cs="Times New Roman"/>
          <w:lang w:val="en-GB"/>
        </w:rPr>
        <w:t xml:space="preserve">The LCI model for the wine of </w:t>
      </w:r>
      <w:proofErr w:type="spellStart"/>
      <w:r w:rsidRPr="008C3716">
        <w:rPr>
          <w:rFonts w:ascii="Times New Roman" w:hAnsi="Times New Roman" w:cs="Times New Roman"/>
          <w:lang w:val="en-GB"/>
        </w:rPr>
        <w:t>Arillo</w:t>
      </w:r>
      <w:proofErr w:type="spellEnd"/>
      <w:r w:rsidRPr="008C3716">
        <w:rPr>
          <w:rFonts w:ascii="Times New Roman" w:hAnsi="Times New Roman" w:cs="Times New Roman"/>
          <w:lang w:val="en-GB"/>
        </w:rPr>
        <w:t xml:space="preserve"> in </w:t>
      </w:r>
      <w:proofErr w:type="spellStart"/>
      <w:r w:rsidRPr="008C3716">
        <w:rPr>
          <w:rFonts w:ascii="Times New Roman" w:hAnsi="Times New Roman" w:cs="Times New Roman"/>
          <w:lang w:val="en-GB"/>
        </w:rPr>
        <w:t>Terrabianca</w:t>
      </w:r>
      <w:proofErr w:type="spellEnd"/>
      <w:r w:rsidRPr="008C3716">
        <w:rPr>
          <w:rFonts w:ascii="Times New Roman" w:hAnsi="Times New Roman" w:cs="Times New Roman"/>
          <w:lang w:val="en-GB"/>
        </w:rPr>
        <w:t xml:space="preserve"> has been described above. For the definition of the reporting boundaries of the model, the approach recommended in the Annex I of the </w:t>
      </w:r>
      <w:proofErr w:type="spellStart"/>
      <w:r w:rsidRPr="008C3716">
        <w:rPr>
          <w:rFonts w:ascii="Times New Roman" w:hAnsi="Times New Roman" w:cs="Times New Roman"/>
          <w:lang w:val="en-GB"/>
        </w:rPr>
        <w:t>Equalitas</w:t>
      </w:r>
      <w:proofErr w:type="spellEnd"/>
      <w:r w:rsidRPr="008C3716">
        <w:rPr>
          <w:rFonts w:ascii="Times New Roman" w:hAnsi="Times New Roman" w:cs="Times New Roman"/>
          <w:lang w:val="en-GB"/>
        </w:rPr>
        <w:t xml:space="preserve"> standard’s implementation regulation </w:t>
      </w:r>
      <w:r w:rsidR="004B405F">
        <w:rPr>
          <w:rFonts w:ascii="Times New Roman" w:hAnsi="Times New Roman" w:cs="Times New Roman"/>
          <w:lang w:val="en-GB"/>
        </w:rPr>
        <w:t>released in 202</w:t>
      </w:r>
      <w:r w:rsidR="007C6132">
        <w:rPr>
          <w:rFonts w:ascii="Times New Roman" w:hAnsi="Times New Roman" w:cs="Times New Roman"/>
          <w:lang w:val="en-GB"/>
        </w:rPr>
        <w:t>1</w:t>
      </w:r>
      <w:r w:rsidR="004B405F">
        <w:rPr>
          <w:rStyle w:val="FootnoteReference"/>
          <w:rFonts w:ascii="Times New Roman" w:hAnsi="Times New Roman" w:cs="Times New Roman"/>
          <w:lang w:val="en-GB"/>
        </w:rPr>
        <w:footnoteReference w:id="11"/>
      </w:r>
      <w:r w:rsidR="004B405F">
        <w:rPr>
          <w:rFonts w:ascii="Times New Roman" w:hAnsi="Times New Roman" w:cs="Times New Roman"/>
          <w:lang w:val="en-GB"/>
        </w:rPr>
        <w:t xml:space="preserve"> </w:t>
      </w:r>
      <w:r w:rsidRPr="008C3716">
        <w:rPr>
          <w:rFonts w:ascii="Times New Roman" w:hAnsi="Times New Roman" w:cs="Times New Roman"/>
          <w:lang w:val="en-GB"/>
        </w:rPr>
        <w:t>was followed</w:t>
      </w:r>
      <w:r w:rsidR="008973D7">
        <w:rPr>
          <w:rFonts w:ascii="Times New Roman" w:hAnsi="Times New Roman" w:cs="Times New Roman"/>
          <w:lang w:val="en-GB"/>
        </w:rPr>
        <w:t xml:space="preserve"> </w:t>
      </w:r>
      <w:proofErr w:type="gramStart"/>
      <w:r w:rsidR="008973D7">
        <w:rPr>
          <w:rFonts w:ascii="Times New Roman" w:hAnsi="Times New Roman" w:cs="Times New Roman"/>
          <w:lang w:val="en-GB"/>
        </w:rPr>
        <w:t>in order to</w:t>
      </w:r>
      <w:proofErr w:type="gramEnd"/>
      <w:r w:rsidR="008973D7">
        <w:rPr>
          <w:rFonts w:ascii="Times New Roman" w:hAnsi="Times New Roman" w:cs="Times New Roman"/>
          <w:lang w:val="en-GB"/>
        </w:rPr>
        <w:t xml:space="preserve"> allow comparisons of the results with literature data. This version of the </w:t>
      </w:r>
      <w:proofErr w:type="spellStart"/>
      <w:r w:rsidR="008973D7">
        <w:rPr>
          <w:rFonts w:ascii="Times New Roman" w:hAnsi="Times New Roman" w:cs="Times New Roman"/>
          <w:lang w:val="en-GB"/>
        </w:rPr>
        <w:t>Equalitas</w:t>
      </w:r>
      <w:proofErr w:type="spellEnd"/>
      <w:r w:rsidR="008973D7">
        <w:rPr>
          <w:rFonts w:ascii="Times New Roman" w:hAnsi="Times New Roman" w:cs="Times New Roman"/>
          <w:lang w:val="en-GB"/>
        </w:rPr>
        <w:t xml:space="preserve"> regulation</w:t>
      </w:r>
      <w:r w:rsidRPr="008C3716">
        <w:rPr>
          <w:rFonts w:ascii="Times New Roman" w:hAnsi="Times New Roman" w:cs="Times New Roman"/>
          <w:lang w:val="en-GB"/>
        </w:rPr>
        <w:t xml:space="preserve"> </w:t>
      </w:r>
      <w:r w:rsidR="008973D7">
        <w:rPr>
          <w:rFonts w:ascii="Times New Roman" w:hAnsi="Times New Roman" w:cs="Times New Roman"/>
          <w:lang w:val="en-GB"/>
        </w:rPr>
        <w:t>foresaw</w:t>
      </w:r>
      <w:r w:rsidRPr="008C3716">
        <w:rPr>
          <w:rFonts w:ascii="Times New Roman" w:hAnsi="Times New Roman" w:cs="Times New Roman"/>
          <w:lang w:val="en-GB"/>
        </w:rPr>
        <w:t xml:space="preserve"> the decomposition of the life cycle into three </w:t>
      </w:r>
      <w:r w:rsidRPr="008C3716">
        <w:rPr>
          <w:rFonts w:ascii="Times New Roman" w:hAnsi="Times New Roman" w:cs="Times New Roman"/>
          <w:lang w:val="en-GB"/>
        </w:rPr>
        <w:lastRenderedPageBreak/>
        <w:t>main phases linked in cascade: (</w:t>
      </w:r>
      <w:proofErr w:type="spellStart"/>
      <w:r w:rsidRPr="008C3716">
        <w:rPr>
          <w:rFonts w:ascii="Times New Roman" w:hAnsi="Times New Roman" w:cs="Times New Roman"/>
          <w:lang w:val="en-GB"/>
        </w:rPr>
        <w:t>i</w:t>
      </w:r>
      <w:proofErr w:type="spellEnd"/>
      <w:r w:rsidRPr="008C3716">
        <w:rPr>
          <w:rFonts w:ascii="Times New Roman" w:hAnsi="Times New Roman" w:cs="Times New Roman"/>
          <w:lang w:val="en-GB"/>
        </w:rPr>
        <w:t xml:space="preserve">) viticulture and grape production activities (Farm / </w:t>
      </w:r>
      <w:r w:rsidRPr="008C3716">
        <w:rPr>
          <w:rFonts w:ascii="Times New Roman" w:hAnsi="Times New Roman" w:cs="Times New Roman"/>
          <w:i/>
          <w:iCs/>
          <w:lang w:val="en-GB"/>
        </w:rPr>
        <w:t xml:space="preserve">Azienda </w:t>
      </w:r>
      <w:proofErr w:type="spellStart"/>
      <w:r w:rsidRPr="008C3716">
        <w:rPr>
          <w:rFonts w:ascii="Times New Roman" w:hAnsi="Times New Roman" w:cs="Times New Roman"/>
          <w:i/>
          <w:iCs/>
          <w:lang w:val="en-GB"/>
        </w:rPr>
        <w:t>agricola</w:t>
      </w:r>
      <w:proofErr w:type="spellEnd"/>
      <w:r w:rsidRPr="008C3716">
        <w:rPr>
          <w:rFonts w:ascii="Times New Roman" w:hAnsi="Times New Roman" w:cs="Times New Roman"/>
          <w:lang w:val="en-GB"/>
        </w:rPr>
        <w:t xml:space="preserve">), (ii) wine production activities (Winery / </w:t>
      </w:r>
      <w:r w:rsidRPr="008C3716">
        <w:rPr>
          <w:rFonts w:ascii="Times New Roman" w:hAnsi="Times New Roman" w:cs="Times New Roman"/>
          <w:i/>
          <w:iCs/>
          <w:lang w:val="en-GB"/>
        </w:rPr>
        <w:t>Cantina</w:t>
      </w:r>
      <w:r w:rsidRPr="008C3716">
        <w:rPr>
          <w:rFonts w:ascii="Times New Roman" w:hAnsi="Times New Roman" w:cs="Times New Roman"/>
          <w:lang w:val="en-GB"/>
        </w:rPr>
        <w:t xml:space="preserve">), and (iii) bottling and packaging of the final product (Bottler / </w:t>
      </w:r>
      <w:proofErr w:type="spellStart"/>
      <w:r w:rsidRPr="008C3716">
        <w:rPr>
          <w:rFonts w:ascii="Times New Roman" w:hAnsi="Times New Roman" w:cs="Times New Roman"/>
          <w:i/>
          <w:iCs/>
          <w:lang w:val="en-GB"/>
        </w:rPr>
        <w:t>Imbottigliatore</w:t>
      </w:r>
      <w:proofErr w:type="spellEnd"/>
      <w:r w:rsidRPr="008C3716">
        <w:rPr>
          <w:rFonts w:ascii="Times New Roman" w:hAnsi="Times New Roman" w:cs="Times New Roman"/>
          <w:lang w:val="en-GB"/>
        </w:rPr>
        <w:t xml:space="preserve">). The link between each of these stages, as shown in Figure </w:t>
      </w:r>
      <w:r w:rsidR="008D6EFE">
        <w:rPr>
          <w:rFonts w:ascii="Times New Roman" w:hAnsi="Times New Roman" w:cs="Times New Roman"/>
          <w:lang w:val="en-GB"/>
        </w:rPr>
        <w:t>S1</w:t>
      </w:r>
      <w:r w:rsidRPr="008C3716">
        <w:rPr>
          <w:rFonts w:ascii="Times New Roman" w:hAnsi="Times New Roman" w:cs="Times New Roman"/>
          <w:lang w:val="en-GB"/>
        </w:rPr>
        <w:t>, is determined by specific transport processes.</w:t>
      </w:r>
    </w:p>
    <w:p w14:paraId="6FB1D897" w14:textId="23C0044B" w:rsidR="000B16AC" w:rsidRPr="008C3716" w:rsidRDefault="000B16AC" w:rsidP="000B16AC">
      <w:pPr>
        <w:pStyle w:val="TextMonsanto"/>
        <w:spacing w:line="480" w:lineRule="auto"/>
        <w:rPr>
          <w:rFonts w:ascii="Times New Roman" w:hAnsi="Times New Roman" w:cs="Times New Roman"/>
          <w:lang w:val="en-GB"/>
        </w:rPr>
      </w:pPr>
      <w:r w:rsidRPr="008C3716">
        <w:rPr>
          <w:rFonts w:ascii="Times New Roman" w:hAnsi="Times New Roman" w:cs="Times New Roman"/>
          <w:lang w:val="en-GB"/>
        </w:rPr>
        <w:t xml:space="preserve">Physical input and output data from each stage were collected and </w:t>
      </w:r>
      <w:proofErr w:type="gramStart"/>
      <w:r w:rsidRPr="008C3716">
        <w:rPr>
          <w:rFonts w:ascii="Times New Roman" w:hAnsi="Times New Roman" w:cs="Times New Roman"/>
          <w:lang w:val="en-GB"/>
        </w:rPr>
        <w:t>entered into</w:t>
      </w:r>
      <w:proofErr w:type="gramEnd"/>
      <w:r w:rsidRPr="008C3716">
        <w:rPr>
          <w:rFonts w:ascii="Times New Roman" w:hAnsi="Times New Roman" w:cs="Times New Roman"/>
          <w:lang w:val="en-GB"/>
        </w:rPr>
        <w:t xml:space="preserve"> the LCI model in compliance with the ISO 14064-1 procedures. Most of the </w:t>
      </w:r>
      <w:r w:rsidRPr="008C3716">
        <w:rPr>
          <w:rFonts w:ascii="Times New Roman" w:hAnsi="Times New Roman" w:cs="Times New Roman"/>
          <w:i/>
          <w:iCs/>
          <w:lang w:val="en-GB"/>
        </w:rPr>
        <w:t>foreground</w:t>
      </w:r>
      <w:r w:rsidRPr="008C3716">
        <w:rPr>
          <w:rFonts w:ascii="Times New Roman" w:hAnsi="Times New Roman" w:cs="Times New Roman"/>
          <w:vertAlign w:val="superscript"/>
          <w:lang w:val="en-GB"/>
        </w:rPr>
        <w:footnoteReference w:id="12"/>
      </w:r>
      <w:r w:rsidRPr="008C3716">
        <w:rPr>
          <w:rFonts w:ascii="Times New Roman" w:hAnsi="Times New Roman" w:cs="Times New Roman"/>
          <w:lang w:val="en-GB"/>
        </w:rPr>
        <w:t xml:space="preserve"> data were provided by the AriTer’s administration after the analysis of purchase invoices for farm products and services, as well as estimates and calculations made by the farm’s agronomists. All other data, especially the </w:t>
      </w:r>
      <w:r w:rsidRPr="008C3716">
        <w:rPr>
          <w:rFonts w:ascii="Times New Roman" w:hAnsi="Times New Roman" w:cs="Times New Roman"/>
          <w:i/>
          <w:iCs/>
          <w:lang w:val="en-GB"/>
        </w:rPr>
        <w:t>background</w:t>
      </w:r>
      <w:r w:rsidRPr="008C3716">
        <w:rPr>
          <w:rFonts w:ascii="Times New Roman" w:hAnsi="Times New Roman" w:cs="Times New Roman"/>
          <w:lang w:val="en-GB"/>
        </w:rPr>
        <w:t xml:space="preserve"> data, were retrieved from the scientific literature and from specific databases created for conducting LCA studies (for more details, see the data collection</w:t>
      </w:r>
      <w:r w:rsidR="005420A7">
        <w:rPr>
          <w:rFonts w:ascii="Times New Roman" w:hAnsi="Times New Roman" w:cs="Times New Roman"/>
          <w:lang w:val="en-GB"/>
        </w:rPr>
        <w:t xml:space="preserve"> in the main paper and at Section S1.2</w:t>
      </w:r>
      <w:r w:rsidRPr="008C3716">
        <w:rPr>
          <w:rFonts w:ascii="Times New Roman" w:hAnsi="Times New Roman" w:cs="Times New Roman"/>
          <w:lang w:val="en-GB"/>
        </w:rPr>
        <w:t>).</w:t>
      </w:r>
    </w:p>
    <w:p w14:paraId="14CF1012" w14:textId="77777777" w:rsidR="000B16AC" w:rsidRPr="008C3716" w:rsidRDefault="000B16AC" w:rsidP="000B16AC">
      <w:pPr>
        <w:pStyle w:val="TextMonsanto"/>
        <w:spacing w:line="480" w:lineRule="auto"/>
        <w:rPr>
          <w:rFonts w:ascii="Times New Roman" w:hAnsi="Times New Roman" w:cs="Times New Roman"/>
          <w:lang w:val="en-GB"/>
        </w:rPr>
      </w:pPr>
    </w:p>
    <w:p w14:paraId="66A835B7" w14:textId="77777777" w:rsidR="000B16AC" w:rsidRPr="008C3716" w:rsidRDefault="000B16AC" w:rsidP="000B16AC">
      <w:pPr>
        <w:pStyle w:val="TextMonsanto"/>
        <w:spacing w:line="480" w:lineRule="auto"/>
        <w:jc w:val="center"/>
        <w:rPr>
          <w:rFonts w:ascii="Times New Roman" w:hAnsi="Times New Roman" w:cs="Times New Roman"/>
          <w:lang w:val="en-GB"/>
        </w:rPr>
      </w:pPr>
      <w:r w:rsidRPr="008C3716">
        <w:rPr>
          <w:rFonts w:ascii="Times New Roman" w:hAnsi="Times New Roman" w:cs="Times New Roman"/>
          <w:noProof/>
          <w:lang w:val="en-GB"/>
        </w:rPr>
        <w:drawing>
          <wp:inline distT="0" distB="0" distL="0" distR="0" wp14:anchorId="088C9BE7" wp14:editId="1921E05A">
            <wp:extent cx="5069785" cy="2304629"/>
            <wp:effectExtent l="19050" t="19050" r="17145" b="19685"/>
            <wp:docPr id="171238230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382303"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90992" cy="2314269"/>
                    </a:xfrm>
                    <a:prstGeom prst="rect">
                      <a:avLst/>
                    </a:prstGeom>
                    <a:noFill/>
                    <a:ln w="19050">
                      <a:solidFill>
                        <a:schemeClr val="tx1"/>
                      </a:solidFill>
                    </a:ln>
                  </pic:spPr>
                </pic:pic>
              </a:graphicData>
            </a:graphic>
          </wp:inline>
        </w:drawing>
      </w:r>
    </w:p>
    <w:p w14:paraId="5E2189A4" w14:textId="5F3803F6" w:rsidR="000B16AC" w:rsidRPr="008C3716" w:rsidRDefault="000B16AC" w:rsidP="005420A7">
      <w:pPr>
        <w:pStyle w:val="TextMonsanto"/>
        <w:spacing w:line="480" w:lineRule="auto"/>
        <w:jc w:val="center"/>
        <w:rPr>
          <w:rFonts w:ascii="Times New Roman" w:hAnsi="Times New Roman" w:cs="Times New Roman"/>
          <w:lang w:val="en-GB"/>
        </w:rPr>
      </w:pPr>
      <w:r w:rsidRPr="008C3716">
        <w:rPr>
          <w:rFonts w:ascii="Times New Roman" w:hAnsi="Times New Roman" w:cs="Times New Roman"/>
          <w:b/>
          <w:bCs/>
          <w:lang w:val="en-GB"/>
        </w:rPr>
        <w:t xml:space="preserve">Figure </w:t>
      </w:r>
      <w:r w:rsidR="008D6EFE">
        <w:rPr>
          <w:rFonts w:ascii="Times New Roman" w:hAnsi="Times New Roman" w:cs="Times New Roman"/>
          <w:b/>
          <w:bCs/>
          <w:lang w:val="en-GB"/>
        </w:rPr>
        <w:t>S1</w:t>
      </w:r>
      <w:r w:rsidRPr="008C3716">
        <w:rPr>
          <w:rFonts w:ascii="Times New Roman" w:hAnsi="Times New Roman" w:cs="Times New Roman"/>
          <w:b/>
          <w:bCs/>
          <w:lang w:val="en-GB"/>
        </w:rPr>
        <w:t xml:space="preserve"> </w:t>
      </w:r>
      <w:r w:rsidRPr="008C3716">
        <w:rPr>
          <w:rFonts w:ascii="Times New Roman" w:hAnsi="Times New Roman" w:cs="Times New Roman"/>
          <w:lang w:val="en-GB"/>
        </w:rPr>
        <w:t xml:space="preserve">Key life cycle model stages recommended for the environmental footprint calculation of wine according to </w:t>
      </w:r>
      <w:proofErr w:type="spellStart"/>
      <w:r w:rsidRPr="008C3716">
        <w:rPr>
          <w:rFonts w:ascii="Times New Roman" w:hAnsi="Times New Roman" w:cs="Times New Roman"/>
          <w:lang w:val="en-GB"/>
        </w:rPr>
        <w:t>Equalitas</w:t>
      </w:r>
      <w:proofErr w:type="spellEnd"/>
      <w:r w:rsidRPr="008C3716">
        <w:rPr>
          <w:rFonts w:ascii="Times New Roman" w:hAnsi="Times New Roman" w:cs="Times New Roman"/>
          <w:lang w:val="en-GB"/>
        </w:rPr>
        <w:t xml:space="preserve">; </w:t>
      </w:r>
      <w:r w:rsidRPr="008C3716">
        <w:rPr>
          <w:rFonts w:ascii="Times New Roman" w:hAnsi="Times New Roman" w:cs="Times New Roman"/>
          <w:i/>
          <w:iCs/>
          <w:lang w:val="en-GB"/>
        </w:rPr>
        <w:t>source:</w:t>
      </w:r>
      <w:r w:rsidRPr="008C3716">
        <w:rPr>
          <w:rFonts w:ascii="Times New Roman" w:hAnsi="Times New Roman" w:cs="Times New Roman"/>
          <w:lang w:val="en-GB"/>
        </w:rPr>
        <w:t xml:space="preserve"> Figure 1.1 of Annex II, </w:t>
      </w:r>
      <w:proofErr w:type="spellStart"/>
      <w:r w:rsidRPr="008C3716">
        <w:rPr>
          <w:rFonts w:ascii="Times New Roman" w:hAnsi="Times New Roman" w:cs="Times New Roman"/>
          <w:lang w:val="en-GB"/>
        </w:rPr>
        <w:t>Equalitas</w:t>
      </w:r>
      <w:proofErr w:type="spellEnd"/>
      <w:r w:rsidRPr="008C3716">
        <w:rPr>
          <w:rFonts w:ascii="Times New Roman" w:hAnsi="Times New Roman" w:cs="Times New Roman"/>
          <w:lang w:val="en-GB"/>
        </w:rPr>
        <w:t xml:space="preserve"> Guidelines.</w:t>
      </w:r>
    </w:p>
    <w:p w14:paraId="47AA4274" w14:textId="77777777" w:rsidR="000B16AC" w:rsidRPr="008C3716" w:rsidRDefault="000B16AC" w:rsidP="00D333AE">
      <w:pPr>
        <w:pStyle w:val="TextMonsanto"/>
        <w:spacing w:line="480" w:lineRule="auto"/>
        <w:rPr>
          <w:rFonts w:ascii="Times New Roman" w:hAnsi="Times New Roman" w:cs="Times New Roman"/>
          <w:lang w:val="en-GB"/>
        </w:rPr>
      </w:pPr>
    </w:p>
    <w:p w14:paraId="69C428DD" w14:textId="5908A8E6" w:rsidR="000B16AC" w:rsidRPr="00D333AE" w:rsidRDefault="000B16AC" w:rsidP="00D333AE">
      <w:pPr>
        <w:pStyle w:val="TextMonsanto"/>
        <w:spacing w:line="480" w:lineRule="auto"/>
        <w:rPr>
          <w:rFonts w:ascii="Times New Roman" w:hAnsi="Times New Roman" w:cs="Times New Roman"/>
          <w:lang w:val="en-GB"/>
        </w:rPr>
      </w:pPr>
      <w:r w:rsidRPr="00D333AE">
        <w:rPr>
          <w:rFonts w:ascii="Times New Roman" w:hAnsi="Times New Roman" w:cs="Times New Roman"/>
          <w:lang w:val="en-GB"/>
        </w:rPr>
        <w:t xml:space="preserve">As additional elements beyond what is already defined in ISO 14064-1, the Annex I of </w:t>
      </w:r>
      <w:proofErr w:type="spellStart"/>
      <w:r w:rsidRPr="00D333AE">
        <w:rPr>
          <w:rFonts w:ascii="Times New Roman" w:hAnsi="Times New Roman" w:cs="Times New Roman"/>
          <w:lang w:val="en-GB"/>
        </w:rPr>
        <w:t>Equalitas</w:t>
      </w:r>
      <w:proofErr w:type="spellEnd"/>
      <w:r w:rsidRPr="00D333AE">
        <w:rPr>
          <w:rFonts w:ascii="Times New Roman" w:hAnsi="Times New Roman" w:cs="Times New Roman"/>
          <w:lang w:val="en-GB"/>
        </w:rPr>
        <w:t xml:space="preserve"> </w:t>
      </w:r>
      <w:r w:rsidR="00D333AE" w:rsidRPr="00D333AE">
        <w:rPr>
          <w:rFonts w:ascii="Times New Roman" w:hAnsi="Times New Roman" w:cs="Times New Roman"/>
          <w:lang w:val="en-GB"/>
        </w:rPr>
        <w:t xml:space="preserve">version released in 2021 </w:t>
      </w:r>
      <w:r w:rsidRPr="00D333AE">
        <w:rPr>
          <w:rFonts w:ascii="Times New Roman" w:hAnsi="Times New Roman" w:cs="Times New Roman"/>
          <w:lang w:val="en-GB"/>
        </w:rPr>
        <w:t>require</w:t>
      </w:r>
      <w:r w:rsidR="00D333AE" w:rsidRPr="00D333AE">
        <w:rPr>
          <w:rFonts w:ascii="Times New Roman" w:hAnsi="Times New Roman" w:cs="Times New Roman"/>
          <w:lang w:val="en-GB"/>
        </w:rPr>
        <w:t>d</w:t>
      </w:r>
      <w:r w:rsidRPr="00D333AE">
        <w:rPr>
          <w:rFonts w:ascii="Times New Roman" w:hAnsi="Times New Roman" w:cs="Times New Roman"/>
          <w:lang w:val="en-GB"/>
        </w:rPr>
        <w:t xml:space="preserve"> that:</w:t>
      </w:r>
    </w:p>
    <w:p w14:paraId="58C9B32E" w14:textId="3FE38CB0" w:rsidR="008D6EFE" w:rsidRPr="00D333AE" w:rsidRDefault="000B16AC" w:rsidP="00D333AE">
      <w:pPr>
        <w:pStyle w:val="TextMonsanto"/>
        <w:numPr>
          <w:ilvl w:val="0"/>
          <w:numId w:val="1"/>
        </w:numPr>
        <w:spacing w:after="160" w:line="480" w:lineRule="auto"/>
        <w:ind w:left="360"/>
        <w:rPr>
          <w:rFonts w:ascii="Times New Roman" w:eastAsiaTheme="majorEastAsia" w:hAnsi="Times New Roman" w:cs="Times New Roman"/>
          <w:sz w:val="26"/>
          <w:szCs w:val="26"/>
          <w:lang w:val="en-GB"/>
        </w:rPr>
      </w:pPr>
      <w:r w:rsidRPr="00D333AE">
        <w:rPr>
          <w:rFonts w:ascii="Times New Roman" w:hAnsi="Times New Roman" w:cs="Times New Roman"/>
          <w:i/>
          <w:iCs/>
          <w:lang w:val="en-GB"/>
        </w:rPr>
        <w:lastRenderedPageBreak/>
        <w:t xml:space="preserve">data used to quantify significant GHG emissions and removals refer to a 12-month period chosen within the last 24 months </w:t>
      </w:r>
      <w:r w:rsidRPr="00D333AE">
        <w:rPr>
          <w:rFonts w:ascii="Times New Roman" w:hAnsi="Times New Roman" w:cs="Times New Roman"/>
          <w:lang w:val="en-GB"/>
        </w:rPr>
        <w:sym w:font="Wingdings" w:char="F0E8"/>
      </w:r>
      <w:r w:rsidRPr="00D333AE">
        <w:rPr>
          <w:rFonts w:ascii="Times New Roman" w:hAnsi="Times New Roman" w:cs="Times New Roman"/>
          <w:lang w:val="en-GB"/>
        </w:rPr>
        <w:t xml:space="preserve"> foreground data in this study refer to the 2022 grape collection and wine production year, and thus </w:t>
      </w:r>
      <w:r w:rsidR="004B405F" w:rsidRPr="00D333AE">
        <w:rPr>
          <w:rFonts w:ascii="Times New Roman" w:hAnsi="Times New Roman" w:cs="Times New Roman"/>
          <w:lang w:val="en-GB"/>
        </w:rPr>
        <w:t xml:space="preserve">they were </w:t>
      </w:r>
      <w:r w:rsidRPr="00D333AE">
        <w:rPr>
          <w:rFonts w:ascii="Times New Roman" w:hAnsi="Times New Roman" w:cs="Times New Roman"/>
          <w:lang w:val="en-GB"/>
        </w:rPr>
        <w:t xml:space="preserve">consistent </w:t>
      </w:r>
      <w:r w:rsidR="004B405F" w:rsidRPr="00D333AE">
        <w:rPr>
          <w:rFonts w:ascii="Times New Roman" w:hAnsi="Times New Roman" w:cs="Times New Roman"/>
          <w:lang w:val="en-GB"/>
        </w:rPr>
        <w:t>for the</w:t>
      </w:r>
      <w:r w:rsidRPr="00D333AE">
        <w:rPr>
          <w:rFonts w:ascii="Times New Roman" w:hAnsi="Times New Roman" w:cs="Times New Roman"/>
          <w:lang w:val="en-GB"/>
        </w:rPr>
        <w:t xml:space="preserve"> achievement of the label by the beginning of 2025;</w:t>
      </w:r>
    </w:p>
    <w:p w14:paraId="5F499EFB" w14:textId="3463192D" w:rsidR="008D6EFE" w:rsidRPr="00D333AE" w:rsidRDefault="000B16AC" w:rsidP="00D333AE">
      <w:pPr>
        <w:pStyle w:val="TextMonsanto"/>
        <w:numPr>
          <w:ilvl w:val="0"/>
          <w:numId w:val="1"/>
        </w:numPr>
        <w:spacing w:after="160" w:line="480" w:lineRule="auto"/>
        <w:ind w:left="360"/>
        <w:rPr>
          <w:rFonts w:ascii="Times New Roman" w:eastAsiaTheme="majorEastAsia" w:hAnsi="Times New Roman" w:cs="Times New Roman"/>
          <w:sz w:val="26"/>
          <w:szCs w:val="26"/>
          <w:lang w:val="en-GB"/>
        </w:rPr>
      </w:pPr>
      <w:r w:rsidRPr="00D333AE">
        <w:rPr>
          <w:rFonts w:ascii="Times New Roman" w:hAnsi="Times New Roman" w:cs="Times New Roman"/>
          <w:i/>
          <w:iCs/>
          <w:lang w:val="en-GB"/>
        </w:rPr>
        <w:t>all the direct and indirect GHG emissions and removals associated with the activities or facilities included in the reporting boundaries must be identified by the company</w:t>
      </w:r>
      <w:r w:rsidRPr="00D333AE">
        <w:rPr>
          <w:rFonts w:ascii="Times New Roman" w:hAnsi="Times New Roman" w:cs="Times New Roman"/>
          <w:lang w:val="en-GB"/>
        </w:rPr>
        <w:t xml:space="preserve"> </w:t>
      </w:r>
      <w:r w:rsidRPr="00D333AE">
        <w:rPr>
          <w:rFonts w:ascii="Times New Roman" w:hAnsi="Times New Roman" w:cs="Times New Roman"/>
          <w:lang w:val="en-GB"/>
        </w:rPr>
        <w:sym w:font="Wingdings" w:char="F0E8"/>
      </w:r>
      <w:r w:rsidRPr="00D333AE">
        <w:rPr>
          <w:rFonts w:ascii="Times New Roman" w:hAnsi="Times New Roman" w:cs="Times New Roman"/>
          <w:lang w:val="en-GB"/>
        </w:rPr>
        <w:t xml:space="preserve"> all primary (consumption of energy, raw materials, fuels, fertilizers, glass, packaging materials, etc.) and secondary (emissions related to the use of chemicals, combustion of diesel fuel, etc.) data referred to the parcels owned by </w:t>
      </w:r>
      <w:proofErr w:type="spellStart"/>
      <w:r w:rsidRPr="00D333AE">
        <w:rPr>
          <w:rFonts w:ascii="Times New Roman" w:hAnsi="Times New Roman" w:cs="Times New Roman"/>
          <w:lang w:val="en-GB"/>
        </w:rPr>
        <w:t>AriTer</w:t>
      </w:r>
      <w:proofErr w:type="spellEnd"/>
      <w:r w:rsidRPr="00D333AE">
        <w:rPr>
          <w:rFonts w:ascii="Times New Roman" w:hAnsi="Times New Roman" w:cs="Times New Roman"/>
          <w:lang w:val="en-GB"/>
        </w:rPr>
        <w:t xml:space="preserve"> where grapes and wine are produced;</w:t>
      </w:r>
    </w:p>
    <w:p w14:paraId="48897971" w14:textId="3DD06EC4" w:rsidR="008D6EFE" w:rsidRPr="00D333AE" w:rsidRDefault="000B16AC" w:rsidP="00D333AE">
      <w:pPr>
        <w:pStyle w:val="TextMonsanto"/>
        <w:numPr>
          <w:ilvl w:val="0"/>
          <w:numId w:val="1"/>
        </w:numPr>
        <w:spacing w:after="160" w:line="480" w:lineRule="auto"/>
        <w:ind w:left="360"/>
        <w:rPr>
          <w:rFonts w:ascii="Times New Roman" w:eastAsiaTheme="majorEastAsia" w:hAnsi="Times New Roman" w:cs="Times New Roman"/>
          <w:sz w:val="26"/>
          <w:szCs w:val="26"/>
          <w:lang w:val="en-GB"/>
        </w:rPr>
      </w:pPr>
      <w:r w:rsidRPr="00D333AE">
        <w:rPr>
          <w:rFonts w:ascii="Times New Roman" w:hAnsi="Times New Roman" w:cs="Times New Roman"/>
          <w:i/>
          <w:iCs/>
          <w:lang w:val="en-GB"/>
        </w:rPr>
        <w:t>concerning carbon removals, in the absence of other more specific studies it is possible to take as a reference a value of 0.7 kg CO</w:t>
      </w:r>
      <w:r w:rsidRPr="00D333AE">
        <w:rPr>
          <w:rFonts w:ascii="Times New Roman" w:hAnsi="Times New Roman" w:cs="Times New Roman"/>
          <w:i/>
          <w:iCs/>
          <w:vertAlign w:val="subscript"/>
          <w:lang w:val="en-GB"/>
        </w:rPr>
        <w:t>2</w:t>
      </w:r>
      <w:r w:rsidRPr="00D333AE">
        <w:rPr>
          <w:rFonts w:ascii="Times New Roman" w:hAnsi="Times New Roman" w:cs="Times New Roman"/>
          <w:i/>
          <w:iCs/>
          <w:lang w:val="en-GB"/>
        </w:rPr>
        <w:t>/plant assuming a plant life of 30 years</w:t>
      </w:r>
      <w:r w:rsidRPr="00D333AE">
        <w:rPr>
          <w:rFonts w:ascii="Times New Roman" w:hAnsi="Times New Roman" w:cs="Times New Roman"/>
          <w:lang w:val="en-GB"/>
        </w:rPr>
        <w:t>. In this regard, the standard provide</w:t>
      </w:r>
      <w:r w:rsidR="00D333AE">
        <w:rPr>
          <w:rFonts w:ascii="Times New Roman" w:hAnsi="Times New Roman" w:cs="Times New Roman"/>
          <w:lang w:val="en-GB"/>
        </w:rPr>
        <w:t>d</w:t>
      </w:r>
      <w:r w:rsidRPr="00D333AE">
        <w:rPr>
          <w:rFonts w:ascii="Times New Roman" w:hAnsi="Times New Roman" w:cs="Times New Roman"/>
          <w:lang w:val="en-GB"/>
        </w:rPr>
        <w:t xml:space="preserve"> a choice between one of two approaches: </w:t>
      </w:r>
      <w:proofErr w:type="spellStart"/>
      <w:r w:rsidRPr="00D333AE">
        <w:rPr>
          <w:rFonts w:ascii="Times New Roman" w:hAnsi="Times New Roman" w:cs="Times New Roman"/>
          <w:i/>
          <w:iCs/>
          <w:lang w:val="en-GB"/>
        </w:rPr>
        <w:t>i</w:t>
      </w:r>
      <w:proofErr w:type="spellEnd"/>
      <w:r w:rsidRPr="00D333AE">
        <w:rPr>
          <w:rFonts w:ascii="Times New Roman" w:hAnsi="Times New Roman" w:cs="Times New Roman"/>
          <w:i/>
          <w:iCs/>
          <w:lang w:val="en-GB"/>
        </w:rPr>
        <w:t>) short carbon cycle emissions/removals are excluded (e.g., pruning, wine fermentation), or if measurements of plant carbon fluxes are available (e.g., via eddy covariance), all those emissions and removals are considered</w:t>
      </w:r>
      <w:r w:rsidRPr="00D333AE">
        <w:rPr>
          <w:rFonts w:ascii="Times New Roman" w:hAnsi="Times New Roman" w:cs="Times New Roman"/>
          <w:lang w:val="en-GB"/>
        </w:rPr>
        <w:t xml:space="preserve"> </w:t>
      </w:r>
      <w:r w:rsidRPr="00D333AE">
        <w:rPr>
          <w:rFonts w:ascii="Times New Roman" w:hAnsi="Times New Roman" w:cs="Times New Roman"/>
          <w:lang w:val="en-GB"/>
        </w:rPr>
        <w:sym w:font="Wingdings" w:char="F0E8"/>
      </w:r>
      <w:r w:rsidRPr="00D333AE">
        <w:rPr>
          <w:rFonts w:ascii="Times New Roman" w:hAnsi="Times New Roman" w:cs="Times New Roman"/>
          <w:lang w:val="en-GB"/>
        </w:rPr>
        <w:t xml:space="preserve"> considering the absence of site-specific measurements on the vines and given the high uncertainty in defining the relationship between CO</w:t>
      </w:r>
      <w:r w:rsidRPr="00D333AE">
        <w:rPr>
          <w:rFonts w:ascii="Times New Roman" w:hAnsi="Times New Roman" w:cs="Times New Roman"/>
          <w:vertAlign w:val="subscript"/>
          <w:lang w:val="en-GB"/>
        </w:rPr>
        <w:t>2</w:t>
      </w:r>
      <w:r w:rsidRPr="00D333AE">
        <w:rPr>
          <w:rFonts w:ascii="Times New Roman" w:hAnsi="Times New Roman" w:cs="Times New Roman"/>
          <w:lang w:val="en-GB"/>
        </w:rPr>
        <w:t xml:space="preserve"> uptake and release activities in the short carbon cycle, the study followed the first approach and considered neither removals nor emissions of GHGs of biogenic origin, assuming their difference to be zero. It is worth mentioning, however, that surveys and field sampling </w:t>
      </w:r>
      <w:r w:rsidR="00534AA2">
        <w:rPr>
          <w:rFonts w:ascii="Times New Roman" w:hAnsi="Times New Roman" w:cs="Times New Roman"/>
          <w:lang w:val="en-GB"/>
        </w:rPr>
        <w:t xml:space="preserve">were conducted in this study </w:t>
      </w:r>
      <w:r w:rsidRPr="00D333AE">
        <w:rPr>
          <w:rFonts w:ascii="Times New Roman" w:hAnsi="Times New Roman" w:cs="Times New Roman"/>
          <w:lang w:val="en-GB"/>
        </w:rPr>
        <w:t>to estimate with scientifically accepted approaches the stock (storage) of carbon currently present in the farm’s forests and agricultural soils. This activity made it possible to estimate the value of annual carbon uptake by the farm’s natural capital with high accuracy and representativeness;</w:t>
      </w:r>
    </w:p>
    <w:p w14:paraId="580FE2BA" w14:textId="53191D80" w:rsidR="000B16AC" w:rsidRPr="00AE3A16" w:rsidRDefault="000B16AC" w:rsidP="00D333AE">
      <w:pPr>
        <w:pStyle w:val="TextMonsanto"/>
        <w:numPr>
          <w:ilvl w:val="0"/>
          <w:numId w:val="1"/>
        </w:numPr>
        <w:spacing w:after="160" w:line="480" w:lineRule="auto"/>
        <w:ind w:left="360"/>
        <w:rPr>
          <w:rFonts w:ascii="Times New Roman" w:eastAsiaTheme="majorEastAsia" w:hAnsi="Times New Roman" w:cs="Times New Roman"/>
          <w:color w:val="2F5496" w:themeColor="accent1" w:themeShade="BF"/>
          <w:sz w:val="26"/>
          <w:szCs w:val="26"/>
          <w:lang w:val="en-GB"/>
        </w:rPr>
      </w:pPr>
      <w:r w:rsidRPr="00D333AE">
        <w:rPr>
          <w:rFonts w:ascii="Times New Roman" w:hAnsi="Times New Roman" w:cs="Times New Roman"/>
          <w:i/>
          <w:iCs/>
          <w:lang w:val="en-GB"/>
        </w:rPr>
        <w:t xml:space="preserve">the cut-off should be 1% with reference to the elements under the control of the Organization </w:t>
      </w:r>
      <w:r w:rsidRPr="00D333AE">
        <w:rPr>
          <w:rFonts w:ascii="Times New Roman" w:hAnsi="Times New Roman" w:cs="Times New Roman"/>
          <w:lang w:val="en-GB"/>
        </w:rPr>
        <w:sym w:font="Wingdings" w:char="F0E8"/>
      </w:r>
      <w:r w:rsidRPr="00D333AE">
        <w:rPr>
          <w:rFonts w:ascii="Times New Roman" w:hAnsi="Times New Roman" w:cs="Times New Roman"/>
          <w:lang w:val="en-GB"/>
        </w:rPr>
        <w:t xml:space="preserve"> in terms of LCI representativeness, the input flows attributable to the annual consumption of materials and energy (foreground data) were considered in their entirety. The only exception concern</w:t>
      </w:r>
      <w:r w:rsidR="00DD6B5F">
        <w:rPr>
          <w:rFonts w:ascii="Times New Roman" w:hAnsi="Times New Roman" w:cs="Times New Roman"/>
          <w:lang w:val="en-GB"/>
        </w:rPr>
        <w:t>ed</w:t>
      </w:r>
      <w:r w:rsidRPr="00D333AE">
        <w:rPr>
          <w:rFonts w:ascii="Times New Roman" w:hAnsi="Times New Roman" w:cs="Times New Roman"/>
          <w:lang w:val="en-GB"/>
        </w:rPr>
        <w:t xml:space="preserve"> the stock of infrastructure and machinery that have relatively long lifetimes (several years or decades), so-called “capital flows”. It is common practice in LCA to exclude inventory flows derived from these stocks, including those LCA guidelines and PCRs followed here, even if recent studies demonstrate that their </w:t>
      </w:r>
      <w:r w:rsidRPr="00D333AE">
        <w:rPr>
          <w:rFonts w:ascii="Times New Roman" w:hAnsi="Times New Roman" w:cs="Times New Roman"/>
          <w:lang w:val="en-GB"/>
        </w:rPr>
        <w:lastRenderedPageBreak/>
        <w:t>contribution to environmental impacts might not be negligible</w:t>
      </w:r>
      <w:r w:rsidRPr="00D333AE">
        <w:rPr>
          <w:rStyle w:val="FootnoteReference"/>
          <w:rFonts w:ascii="Times New Roman" w:hAnsi="Times New Roman" w:cs="Times New Roman"/>
          <w:lang w:val="en-GB"/>
        </w:rPr>
        <w:footnoteReference w:id="13"/>
      </w:r>
      <w:r w:rsidRPr="00D333AE">
        <w:rPr>
          <w:rFonts w:ascii="Times New Roman" w:hAnsi="Times New Roman" w:cs="Times New Roman"/>
          <w:lang w:val="en-GB"/>
        </w:rPr>
        <w:t xml:space="preserve">. In terms of completeness and significance of the emissions inventory, </w:t>
      </w:r>
      <w:r w:rsidR="00DD6B5F" w:rsidRPr="00D333AE">
        <w:rPr>
          <w:rFonts w:ascii="Times New Roman" w:hAnsi="Times New Roman" w:cs="Times New Roman"/>
          <w:lang w:val="en-GB"/>
        </w:rPr>
        <w:t>however</w:t>
      </w:r>
      <w:r w:rsidR="00DD6B5F">
        <w:rPr>
          <w:rFonts w:ascii="Times New Roman" w:hAnsi="Times New Roman" w:cs="Times New Roman"/>
          <w:lang w:val="en-GB"/>
        </w:rPr>
        <w:t>,</w:t>
      </w:r>
      <w:r w:rsidR="00DD6B5F" w:rsidRPr="00D333AE">
        <w:rPr>
          <w:rFonts w:ascii="Times New Roman" w:hAnsi="Times New Roman" w:cs="Times New Roman"/>
          <w:lang w:val="en-GB"/>
        </w:rPr>
        <w:t xml:space="preserve"> </w:t>
      </w:r>
      <w:r w:rsidRPr="00D333AE">
        <w:rPr>
          <w:rFonts w:ascii="Times New Roman" w:hAnsi="Times New Roman" w:cs="Times New Roman"/>
          <w:lang w:val="en-GB"/>
        </w:rPr>
        <w:t>all major GHGs that determine</w:t>
      </w:r>
      <w:r w:rsidR="00DD6B5F">
        <w:rPr>
          <w:rFonts w:ascii="Times New Roman" w:hAnsi="Times New Roman" w:cs="Times New Roman"/>
          <w:lang w:val="en-GB"/>
        </w:rPr>
        <w:t>d</w:t>
      </w:r>
      <w:r w:rsidRPr="00D333AE">
        <w:rPr>
          <w:rFonts w:ascii="Times New Roman" w:hAnsi="Times New Roman" w:cs="Times New Roman"/>
          <w:lang w:val="en-GB"/>
        </w:rPr>
        <w:t xml:space="preserve"> the Carbon Footprint with contribution greater than 1% (GHGs under the company’s control such as CO</w:t>
      </w:r>
      <w:r w:rsidRPr="00D333AE">
        <w:rPr>
          <w:rFonts w:ascii="Times New Roman" w:hAnsi="Times New Roman" w:cs="Times New Roman"/>
          <w:vertAlign w:val="subscript"/>
          <w:lang w:val="en-GB"/>
        </w:rPr>
        <w:t>2</w:t>
      </w:r>
      <w:r w:rsidRPr="00D333AE">
        <w:rPr>
          <w:rFonts w:ascii="Times New Roman" w:hAnsi="Times New Roman" w:cs="Times New Roman"/>
          <w:lang w:val="en-GB"/>
        </w:rPr>
        <w:t xml:space="preserve"> generated from the combustion of diesel fuel and liquefied petroleum gas, LPG, or methane and nitrous oxide released in the field as a result of the use of natural manure) were accounted for.</w:t>
      </w:r>
      <w:r w:rsidRPr="00AE3A16">
        <w:rPr>
          <w:rFonts w:ascii="Times New Roman" w:hAnsi="Times New Roman" w:cs="Times New Roman"/>
          <w:lang w:val="en-GB"/>
        </w:rPr>
        <w:br w:type="page"/>
      </w:r>
    </w:p>
    <w:p w14:paraId="7479DA73" w14:textId="47B11A36" w:rsidR="000B16AC" w:rsidRPr="008D6EFE" w:rsidRDefault="008D6EFE" w:rsidP="002377A8">
      <w:pPr>
        <w:pStyle w:val="Heading3Arillo"/>
        <w:rPr>
          <w:lang w:val="en-GB"/>
        </w:rPr>
      </w:pPr>
      <w:bookmarkStart w:id="3" w:name="_Toc176516327"/>
      <w:r w:rsidRPr="008D6EFE">
        <w:rPr>
          <w:rFonts w:cs="Times New Roman"/>
          <w:lang w:val="en-GB"/>
        </w:rPr>
        <w:lastRenderedPageBreak/>
        <w:t>S</w:t>
      </w:r>
      <w:r w:rsidR="00C2563C">
        <w:rPr>
          <w:rFonts w:cs="Times New Roman"/>
          <w:lang w:val="en-GB"/>
        </w:rPr>
        <w:t>3</w:t>
      </w:r>
      <w:r w:rsidRPr="008D6EFE">
        <w:rPr>
          <w:rFonts w:cs="Times New Roman"/>
          <w:lang w:val="en-GB"/>
        </w:rPr>
        <w:t>.</w:t>
      </w:r>
      <w:r>
        <w:rPr>
          <w:rFonts w:cs="Times New Roman"/>
          <w:lang w:val="en-GB"/>
        </w:rPr>
        <w:t>2</w:t>
      </w:r>
      <w:r w:rsidRPr="008D6EFE">
        <w:rPr>
          <w:rFonts w:cs="Times New Roman"/>
          <w:lang w:val="en-GB"/>
        </w:rPr>
        <w:t xml:space="preserve"> </w:t>
      </w:r>
      <w:r w:rsidR="000B16AC" w:rsidRPr="008D6EFE">
        <w:rPr>
          <w:lang w:val="en-GB"/>
        </w:rPr>
        <w:t>Calculation of the Water Footprint of AriTer’s wine</w:t>
      </w:r>
      <w:bookmarkEnd w:id="3"/>
    </w:p>
    <w:p w14:paraId="01BE68AA" w14:textId="77777777" w:rsidR="000B16AC" w:rsidRPr="008C3716" w:rsidRDefault="000B16AC" w:rsidP="000B16AC">
      <w:pPr>
        <w:pStyle w:val="TextMonsanto"/>
        <w:spacing w:line="480" w:lineRule="auto"/>
        <w:rPr>
          <w:rFonts w:ascii="Times New Roman" w:hAnsi="Times New Roman" w:cs="Times New Roman"/>
          <w:lang w:val="en-GB"/>
        </w:rPr>
      </w:pPr>
      <w:r w:rsidRPr="008C3716">
        <w:rPr>
          <w:rFonts w:ascii="Times New Roman" w:hAnsi="Times New Roman" w:cs="Times New Roman"/>
          <w:lang w:val="en-GB"/>
        </w:rPr>
        <w:t>The same life cycle inventory model developed for the Carbon Footprint analysis was used to calculate the Water Footprint, except that:</w:t>
      </w:r>
    </w:p>
    <w:p w14:paraId="2B48D7B7" w14:textId="0B1F6B2F" w:rsidR="000B16AC" w:rsidRPr="008C3716" w:rsidRDefault="000B16AC" w:rsidP="000B16AC">
      <w:pPr>
        <w:pStyle w:val="TextMonsanto"/>
        <w:numPr>
          <w:ilvl w:val="0"/>
          <w:numId w:val="2"/>
        </w:numPr>
        <w:spacing w:line="480" w:lineRule="auto"/>
        <w:rPr>
          <w:rFonts w:ascii="Times New Roman" w:hAnsi="Times New Roman" w:cs="Times New Roman"/>
          <w:lang w:val="en-GB"/>
        </w:rPr>
      </w:pPr>
      <w:r w:rsidRPr="008C3716">
        <w:rPr>
          <w:rFonts w:ascii="Times New Roman" w:hAnsi="Times New Roman" w:cs="Times New Roman"/>
          <w:lang w:val="en-GB"/>
        </w:rPr>
        <w:t>the reference standard was the ISO 14046:2014</w:t>
      </w:r>
      <w:r w:rsidRPr="008C3716">
        <w:rPr>
          <w:rFonts w:ascii="Times New Roman" w:hAnsi="Times New Roman" w:cs="Times New Roman"/>
          <w:vertAlign w:val="superscript"/>
          <w:lang w:val="en-GB"/>
        </w:rPr>
        <w:footnoteReference w:id="14"/>
      </w:r>
      <w:r w:rsidRPr="008C3716">
        <w:rPr>
          <w:rFonts w:ascii="Times New Roman" w:hAnsi="Times New Roman" w:cs="Times New Roman"/>
          <w:lang w:val="en-GB"/>
        </w:rPr>
        <w:t xml:space="preserve"> (and no longer the ISO 14064-1), also recommended by the </w:t>
      </w:r>
      <w:proofErr w:type="spellStart"/>
      <w:r w:rsidRPr="008C3716">
        <w:rPr>
          <w:rFonts w:ascii="Times New Roman" w:hAnsi="Times New Roman" w:cs="Times New Roman"/>
          <w:lang w:val="en-GB"/>
        </w:rPr>
        <w:t>Equalitas</w:t>
      </w:r>
      <w:proofErr w:type="spellEnd"/>
      <w:r w:rsidRPr="008C3716">
        <w:rPr>
          <w:rFonts w:ascii="Times New Roman" w:hAnsi="Times New Roman" w:cs="Times New Roman"/>
          <w:lang w:val="en-GB"/>
        </w:rPr>
        <w:t xml:space="preserve"> standard, which specifie</w:t>
      </w:r>
      <w:r w:rsidR="002377A8">
        <w:rPr>
          <w:rFonts w:ascii="Times New Roman" w:hAnsi="Times New Roman" w:cs="Times New Roman"/>
          <w:lang w:val="en-GB"/>
        </w:rPr>
        <w:t>d</w:t>
      </w:r>
      <w:r w:rsidRPr="008C3716">
        <w:rPr>
          <w:rFonts w:ascii="Times New Roman" w:hAnsi="Times New Roman" w:cs="Times New Roman"/>
          <w:lang w:val="en-GB"/>
        </w:rPr>
        <w:t xml:space="preserve"> principles, requirements and guidelines for assessing the WF of products, processes and organizations according to LCA principles;</w:t>
      </w:r>
    </w:p>
    <w:p w14:paraId="2488521B" w14:textId="77777777" w:rsidR="000B16AC" w:rsidRPr="008C3716" w:rsidRDefault="000B16AC" w:rsidP="000B16AC">
      <w:pPr>
        <w:pStyle w:val="TextMonsanto"/>
        <w:numPr>
          <w:ilvl w:val="0"/>
          <w:numId w:val="2"/>
        </w:numPr>
        <w:spacing w:line="480" w:lineRule="auto"/>
        <w:rPr>
          <w:rFonts w:ascii="Times New Roman" w:hAnsi="Times New Roman" w:cs="Times New Roman"/>
          <w:lang w:val="en-GB"/>
        </w:rPr>
      </w:pPr>
      <w:r w:rsidRPr="008C3716">
        <w:rPr>
          <w:rFonts w:ascii="Times New Roman" w:hAnsi="Times New Roman" w:cs="Times New Roman"/>
          <w:lang w:val="en-GB"/>
        </w:rPr>
        <w:t>specific additional estimates were made to determine, at the foreground level, consumption and emissions of different categories of water that do not necessarily affect the Carbon Footprint calculation model. The WF is in fact determined by the sum of three water components of direct (in the foreground) and indirect (in the background) consumption, i.e., blue, green, and grey water</w:t>
      </w:r>
      <w:r w:rsidRPr="008C3716">
        <w:rPr>
          <w:rFonts w:ascii="Times New Roman" w:hAnsi="Times New Roman" w:cs="Times New Roman"/>
          <w:vertAlign w:val="superscript"/>
          <w:lang w:val="en-GB"/>
        </w:rPr>
        <w:footnoteReference w:id="15"/>
      </w:r>
      <w:r w:rsidRPr="008C3716">
        <w:rPr>
          <w:rFonts w:ascii="Times New Roman" w:hAnsi="Times New Roman" w:cs="Times New Roman"/>
          <w:lang w:val="en-GB"/>
        </w:rPr>
        <w:t xml:space="preserve">, although neither the </w:t>
      </w:r>
      <w:proofErr w:type="spellStart"/>
      <w:r w:rsidRPr="008C3716">
        <w:rPr>
          <w:rFonts w:ascii="Times New Roman" w:hAnsi="Times New Roman" w:cs="Times New Roman"/>
          <w:lang w:val="en-GB"/>
        </w:rPr>
        <w:t>Equalitas</w:t>
      </w:r>
      <w:proofErr w:type="spellEnd"/>
      <w:r w:rsidRPr="008C3716">
        <w:rPr>
          <w:rFonts w:ascii="Times New Roman" w:hAnsi="Times New Roman" w:cs="Times New Roman"/>
          <w:lang w:val="en-GB"/>
        </w:rPr>
        <w:t xml:space="preserve"> guidelines nor the ISO 14046 standard expressly refer to this type of classification.</w:t>
      </w:r>
    </w:p>
    <w:p w14:paraId="707C5BB5" w14:textId="3EE03E25" w:rsidR="000B16AC" w:rsidRPr="008C3716" w:rsidRDefault="000B16AC" w:rsidP="000B16AC">
      <w:pPr>
        <w:pStyle w:val="TextMonsanto"/>
        <w:spacing w:line="480" w:lineRule="auto"/>
        <w:rPr>
          <w:rFonts w:ascii="Times New Roman" w:hAnsi="Times New Roman" w:cs="Times New Roman"/>
          <w:lang w:val="en-GB"/>
        </w:rPr>
      </w:pPr>
      <w:proofErr w:type="gramStart"/>
      <w:r w:rsidRPr="008C3716">
        <w:rPr>
          <w:rFonts w:ascii="Times New Roman" w:hAnsi="Times New Roman" w:cs="Times New Roman"/>
          <w:lang w:val="en-GB"/>
        </w:rPr>
        <w:t>A number of</w:t>
      </w:r>
      <w:proofErr w:type="gramEnd"/>
      <w:r w:rsidRPr="008C3716">
        <w:rPr>
          <w:rFonts w:ascii="Times New Roman" w:hAnsi="Times New Roman" w:cs="Times New Roman"/>
          <w:lang w:val="en-GB"/>
        </w:rPr>
        <w:t xml:space="preserve"> additional elements to the ISO 14046 also appl</w:t>
      </w:r>
      <w:r w:rsidR="002377A8">
        <w:rPr>
          <w:rFonts w:ascii="Times New Roman" w:hAnsi="Times New Roman" w:cs="Times New Roman"/>
          <w:lang w:val="en-GB"/>
        </w:rPr>
        <w:t>ied</w:t>
      </w:r>
      <w:r w:rsidRPr="008C3716">
        <w:rPr>
          <w:rFonts w:ascii="Times New Roman" w:hAnsi="Times New Roman" w:cs="Times New Roman"/>
          <w:lang w:val="en-GB"/>
        </w:rPr>
        <w:t xml:space="preserve"> for the calculation of the WF</w:t>
      </w:r>
      <w:r w:rsidR="002377A8">
        <w:rPr>
          <w:rFonts w:ascii="Times New Roman" w:hAnsi="Times New Roman" w:cs="Times New Roman"/>
          <w:lang w:val="en-GB"/>
        </w:rPr>
        <w:t xml:space="preserve"> in the </w:t>
      </w:r>
      <w:proofErr w:type="spellStart"/>
      <w:r w:rsidR="002377A8">
        <w:rPr>
          <w:rFonts w:ascii="Times New Roman" w:hAnsi="Times New Roman" w:cs="Times New Roman"/>
          <w:lang w:val="en-GB"/>
        </w:rPr>
        <w:t>Equalitas</w:t>
      </w:r>
      <w:proofErr w:type="spellEnd"/>
      <w:r w:rsidR="002377A8">
        <w:rPr>
          <w:rFonts w:ascii="Times New Roman" w:hAnsi="Times New Roman" w:cs="Times New Roman"/>
          <w:lang w:val="en-GB"/>
        </w:rPr>
        <w:t xml:space="preserve"> procedures released in 2021</w:t>
      </w:r>
      <w:r w:rsidRPr="008C3716">
        <w:rPr>
          <w:rFonts w:ascii="Times New Roman" w:hAnsi="Times New Roman" w:cs="Times New Roman"/>
          <w:lang w:val="en-GB"/>
        </w:rPr>
        <w:t>, with further requirements when compared to the elements described above for the calculation of the Carbon Footprint, namely that:</w:t>
      </w:r>
    </w:p>
    <w:p w14:paraId="713E8526" w14:textId="3F7226AD" w:rsidR="000B16AC" w:rsidRPr="008C3716" w:rsidRDefault="000B16AC" w:rsidP="000B16AC">
      <w:pPr>
        <w:pStyle w:val="TextMonsanto"/>
        <w:numPr>
          <w:ilvl w:val="0"/>
          <w:numId w:val="3"/>
        </w:numPr>
        <w:spacing w:line="480" w:lineRule="auto"/>
        <w:rPr>
          <w:rFonts w:ascii="Times New Roman" w:hAnsi="Times New Roman" w:cs="Times New Roman"/>
          <w:lang w:val="en-GB"/>
        </w:rPr>
      </w:pPr>
      <w:r w:rsidRPr="002377A8">
        <w:rPr>
          <w:rFonts w:ascii="Times New Roman" w:hAnsi="Times New Roman" w:cs="Times New Roman"/>
          <w:i/>
          <w:iCs/>
          <w:lang w:val="en-GB"/>
        </w:rPr>
        <w:t>data retrieved for the calculation of the WF should refer to a 12-month period, chosen from within the last 24 months</w:t>
      </w:r>
      <w:r w:rsidRPr="008C3716">
        <w:rPr>
          <w:rFonts w:ascii="Times New Roman" w:hAnsi="Times New Roman" w:cs="Times New Roman"/>
          <w:lang w:val="en-GB"/>
        </w:rPr>
        <w:t xml:space="preserve"> </w:t>
      </w:r>
      <w:r w:rsidRPr="008C3716">
        <w:rPr>
          <w:rFonts w:ascii="Times New Roman" w:hAnsi="Times New Roman" w:cs="Times New Roman"/>
          <w:lang w:val="en-GB"/>
        </w:rPr>
        <w:sym w:font="Wingdings" w:char="F0E8"/>
      </w:r>
      <w:r w:rsidRPr="008C3716">
        <w:rPr>
          <w:rFonts w:ascii="Times New Roman" w:hAnsi="Times New Roman" w:cs="Times New Roman"/>
          <w:lang w:val="en-GB"/>
        </w:rPr>
        <w:t xml:space="preserve"> since this is the same inventory developed for the Carbon Footprint calculation, data refer</w:t>
      </w:r>
      <w:r w:rsidR="002377A8">
        <w:rPr>
          <w:rFonts w:ascii="Times New Roman" w:hAnsi="Times New Roman" w:cs="Times New Roman"/>
          <w:lang w:val="en-GB"/>
        </w:rPr>
        <w:t>red</w:t>
      </w:r>
      <w:r w:rsidRPr="008C3716">
        <w:rPr>
          <w:rFonts w:ascii="Times New Roman" w:hAnsi="Times New Roman" w:cs="Times New Roman"/>
          <w:lang w:val="en-GB"/>
        </w:rPr>
        <w:t xml:space="preserve"> to the year 2022;</w:t>
      </w:r>
    </w:p>
    <w:p w14:paraId="02ED481A" w14:textId="3D735256" w:rsidR="000B16AC" w:rsidRPr="008C3716" w:rsidRDefault="000B16AC" w:rsidP="000B16AC">
      <w:pPr>
        <w:pStyle w:val="TextMonsanto"/>
        <w:numPr>
          <w:ilvl w:val="0"/>
          <w:numId w:val="3"/>
        </w:numPr>
        <w:spacing w:line="480" w:lineRule="auto"/>
        <w:rPr>
          <w:rFonts w:ascii="Times New Roman" w:hAnsi="Times New Roman" w:cs="Times New Roman"/>
          <w:lang w:val="en-GB"/>
        </w:rPr>
      </w:pPr>
      <w:r w:rsidRPr="00607D37">
        <w:rPr>
          <w:rFonts w:ascii="Times New Roman" w:hAnsi="Times New Roman" w:cs="Times New Roman"/>
          <w:i/>
          <w:iCs/>
          <w:lang w:val="en-GB"/>
        </w:rPr>
        <w:t xml:space="preserve">results </w:t>
      </w:r>
      <w:r w:rsidR="002377A8" w:rsidRPr="00607D37">
        <w:rPr>
          <w:rFonts w:ascii="Times New Roman" w:hAnsi="Times New Roman" w:cs="Times New Roman"/>
          <w:i/>
          <w:iCs/>
          <w:lang w:val="en-GB"/>
        </w:rPr>
        <w:t>should</w:t>
      </w:r>
      <w:r w:rsidRPr="00607D37">
        <w:rPr>
          <w:rFonts w:ascii="Times New Roman" w:hAnsi="Times New Roman" w:cs="Times New Roman"/>
          <w:i/>
          <w:iCs/>
          <w:lang w:val="en-GB"/>
        </w:rPr>
        <w:t xml:space="preserve"> be presented in the form of an indicator profile</w:t>
      </w:r>
      <w:r w:rsidRPr="008C3716">
        <w:rPr>
          <w:rFonts w:ascii="Times New Roman" w:hAnsi="Times New Roman" w:cs="Times New Roman"/>
          <w:lang w:val="en-GB"/>
        </w:rPr>
        <w:t xml:space="preserve"> </w:t>
      </w:r>
      <w:r w:rsidRPr="00607D37">
        <w:rPr>
          <w:rFonts w:ascii="Times New Roman" w:hAnsi="Times New Roman" w:cs="Times New Roman"/>
          <w:i/>
          <w:iCs/>
          <w:lang w:val="en-GB"/>
        </w:rPr>
        <w:t>(unless it is demonstrated that one or more impact categories on the water resource are not significant as required by the ISO 14046 standard) taking into consideration some specific impact categories extrapolated from the scientific literature</w:t>
      </w:r>
      <w:r w:rsidRPr="008C3716">
        <w:rPr>
          <w:rFonts w:ascii="Times New Roman" w:hAnsi="Times New Roman" w:cs="Times New Roman"/>
          <w:lang w:val="en-GB"/>
        </w:rPr>
        <w:t xml:space="preserve"> </w:t>
      </w:r>
      <w:r w:rsidRPr="008C3716">
        <w:rPr>
          <w:rFonts w:ascii="Times New Roman" w:hAnsi="Times New Roman" w:cs="Times New Roman"/>
          <w:lang w:val="en-GB"/>
        </w:rPr>
        <w:sym w:font="Wingdings" w:char="F0E8"/>
      </w:r>
      <w:r w:rsidRPr="008C3716">
        <w:rPr>
          <w:rFonts w:ascii="Times New Roman" w:hAnsi="Times New Roman" w:cs="Times New Roman"/>
          <w:lang w:val="en-GB"/>
        </w:rPr>
        <w:t xml:space="preserve"> as recommended in Annex II of the </w:t>
      </w:r>
      <w:proofErr w:type="spellStart"/>
      <w:r w:rsidRPr="008C3716">
        <w:rPr>
          <w:rFonts w:ascii="Times New Roman" w:hAnsi="Times New Roman" w:cs="Times New Roman"/>
          <w:lang w:val="en-GB"/>
        </w:rPr>
        <w:t>Equalitas</w:t>
      </w:r>
      <w:proofErr w:type="spellEnd"/>
      <w:r w:rsidRPr="008C3716">
        <w:rPr>
          <w:rFonts w:ascii="Times New Roman" w:hAnsi="Times New Roman" w:cs="Times New Roman"/>
          <w:lang w:val="en-GB"/>
        </w:rPr>
        <w:t xml:space="preserve"> procedures</w:t>
      </w:r>
      <w:r w:rsidR="00607D37">
        <w:rPr>
          <w:rFonts w:ascii="Times New Roman" w:hAnsi="Times New Roman" w:cs="Times New Roman"/>
          <w:lang w:val="en-GB"/>
        </w:rPr>
        <w:t xml:space="preserve"> released in 2021</w:t>
      </w:r>
      <w:r w:rsidR="00607D37">
        <w:rPr>
          <w:rStyle w:val="FootnoteReference"/>
          <w:rFonts w:ascii="Times New Roman" w:hAnsi="Times New Roman" w:cs="Times New Roman"/>
          <w:lang w:val="en-GB"/>
        </w:rPr>
        <w:footnoteReference w:id="16"/>
      </w:r>
      <w:r w:rsidRPr="008C3716">
        <w:rPr>
          <w:rFonts w:ascii="Times New Roman" w:hAnsi="Times New Roman" w:cs="Times New Roman"/>
          <w:lang w:val="en-GB"/>
        </w:rPr>
        <w:t xml:space="preserve">, the indicators </w:t>
      </w:r>
      <w:r w:rsidRPr="008C3716">
        <w:rPr>
          <w:rFonts w:ascii="Times New Roman" w:hAnsi="Times New Roman" w:cs="Times New Roman"/>
          <w:lang w:val="en-GB"/>
        </w:rPr>
        <w:lastRenderedPageBreak/>
        <w:t xml:space="preserve">shown in Table </w:t>
      </w:r>
      <w:r w:rsidR="00607D37">
        <w:rPr>
          <w:rFonts w:ascii="Times New Roman" w:hAnsi="Times New Roman" w:cs="Times New Roman"/>
          <w:lang w:val="en-GB"/>
        </w:rPr>
        <w:t>S</w:t>
      </w:r>
      <w:r w:rsidRPr="008C3716">
        <w:rPr>
          <w:rFonts w:ascii="Times New Roman" w:hAnsi="Times New Roman" w:cs="Times New Roman"/>
          <w:lang w:val="en-GB"/>
        </w:rPr>
        <w:t xml:space="preserve">2 were calculated for each reported phase or activity. In addition, the sum of direct (related to the foreground system) and indirect (related to the background system) water consumptions was estimated, </w:t>
      </w:r>
      <w:proofErr w:type="gramStart"/>
      <w:r w:rsidRPr="008C3716">
        <w:rPr>
          <w:rFonts w:ascii="Times New Roman" w:hAnsi="Times New Roman" w:cs="Times New Roman"/>
          <w:lang w:val="en-GB"/>
        </w:rPr>
        <w:t>so as to</w:t>
      </w:r>
      <w:proofErr w:type="gramEnd"/>
      <w:r w:rsidRPr="008C3716">
        <w:rPr>
          <w:rFonts w:ascii="Times New Roman" w:hAnsi="Times New Roman" w:cs="Times New Roman"/>
          <w:lang w:val="en-GB"/>
        </w:rPr>
        <w:t xml:space="preserve"> provide an overall WF figure even though not required by the guidelines (see indicators shown in Table </w:t>
      </w:r>
      <w:r w:rsidR="00607D37">
        <w:rPr>
          <w:rFonts w:ascii="Times New Roman" w:hAnsi="Times New Roman" w:cs="Times New Roman"/>
          <w:lang w:val="en-GB"/>
        </w:rPr>
        <w:t>S</w:t>
      </w:r>
      <w:r w:rsidRPr="008C3716">
        <w:rPr>
          <w:rFonts w:ascii="Times New Roman" w:hAnsi="Times New Roman" w:cs="Times New Roman"/>
          <w:lang w:val="en-GB"/>
        </w:rPr>
        <w:t xml:space="preserve">1). The only impact category for which an alternative indicator to that recommended by the </w:t>
      </w:r>
      <w:proofErr w:type="spellStart"/>
      <w:r w:rsidRPr="008C3716">
        <w:rPr>
          <w:rFonts w:ascii="Times New Roman" w:hAnsi="Times New Roman" w:cs="Times New Roman"/>
          <w:lang w:val="en-GB"/>
        </w:rPr>
        <w:t>Equalitas</w:t>
      </w:r>
      <w:proofErr w:type="spellEnd"/>
      <w:r w:rsidRPr="008C3716">
        <w:rPr>
          <w:rFonts w:ascii="Times New Roman" w:hAnsi="Times New Roman" w:cs="Times New Roman"/>
          <w:lang w:val="en-GB"/>
        </w:rPr>
        <w:t xml:space="preserve"> standard was applied concern</w:t>
      </w:r>
      <w:r w:rsidR="00607D37">
        <w:rPr>
          <w:rFonts w:ascii="Times New Roman" w:hAnsi="Times New Roman" w:cs="Times New Roman"/>
          <w:lang w:val="en-GB"/>
        </w:rPr>
        <w:t>ed</w:t>
      </w:r>
      <w:r w:rsidRPr="008C3716">
        <w:rPr>
          <w:rFonts w:ascii="Times New Roman" w:hAnsi="Times New Roman" w:cs="Times New Roman"/>
          <w:lang w:val="en-GB"/>
        </w:rPr>
        <w:t xml:space="preserve"> the Water Scarcity Related Footprint (WSF). The most recent LCA literature with broad consensus in the scientific community (both according to OEF and PEF, and for estimating the water scarcity footprint according to the ISO 14046) recommends the use of AWARE</w:t>
      </w:r>
      <w:r w:rsidRPr="008C3716">
        <w:rPr>
          <w:rStyle w:val="FootnoteReference"/>
          <w:rFonts w:ascii="Times New Roman" w:hAnsi="Times New Roman" w:cs="Times New Roman"/>
          <w:lang w:val="en-GB"/>
        </w:rPr>
        <w:footnoteReference w:id="17"/>
      </w:r>
      <w:r w:rsidRPr="008C3716">
        <w:rPr>
          <w:rFonts w:ascii="Times New Roman" w:hAnsi="Times New Roman" w:cs="Times New Roman"/>
          <w:lang w:val="en-GB"/>
        </w:rPr>
        <w:t>; while indices based on the ratio of water withdrawal to water availability, such as the indicator developed by Pfister et al. in 2009</w:t>
      </w:r>
      <w:r w:rsidRPr="008C3716">
        <w:rPr>
          <w:rStyle w:val="FootnoteReference"/>
          <w:rFonts w:ascii="Times New Roman" w:hAnsi="Times New Roman" w:cs="Times New Roman"/>
          <w:lang w:val="en-GB"/>
        </w:rPr>
        <w:footnoteReference w:id="18"/>
      </w:r>
      <w:r w:rsidRPr="008C3716">
        <w:rPr>
          <w:rFonts w:ascii="Times New Roman" w:hAnsi="Times New Roman" w:cs="Times New Roman"/>
          <w:lang w:val="en-GB"/>
        </w:rPr>
        <w:t>, are no longer recommended.</w:t>
      </w:r>
    </w:p>
    <w:p w14:paraId="63F3B30F" w14:textId="77777777" w:rsidR="000B16AC" w:rsidRPr="008C3716" w:rsidRDefault="000B16AC" w:rsidP="000B16AC">
      <w:pPr>
        <w:pStyle w:val="TextMonsanto"/>
        <w:spacing w:line="480" w:lineRule="auto"/>
        <w:rPr>
          <w:rFonts w:ascii="Times New Roman" w:hAnsi="Times New Roman" w:cs="Times New Roman"/>
          <w:lang w:val="en-GB"/>
        </w:rPr>
      </w:pPr>
    </w:p>
    <w:p w14:paraId="17292756" w14:textId="7D6ECD96" w:rsidR="000B16AC" w:rsidRPr="00607D37" w:rsidRDefault="000B16AC" w:rsidP="00607D37">
      <w:pPr>
        <w:pStyle w:val="TextMonsanto"/>
        <w:spacing w:line="480" w:lineRule="auto"/>
        <w:jc w:val="center"/>
        <w:rPr>
          <w:rFonts w:ascii="Times New Roman" w:hAnsi="Times New Roman" w:cs="Times New Roman"/>
          <w:sz w:val="20"/>
          <w:szCs w:val="20"/>
          <w:lang w:val="en-GB"/>
        </w:rPr>
      </w:pPr>
      <w:r w:rsidRPr="00607D37">
        <w:rPr>
          <w:rFonts w:ascii="Times New Roman" w:hAnsi="Times New Roman" w:cs="Times New Roman"/>
          <w:b/>
          <w:bCs/>
          <w:sz w:val="20"/>
          <w:szCs w:val="20"/>
          <w:lang w:val="en-GB"/>
        </w:rPr>
        <w:t xml:space="preserve">Table </w:t>
      </w:r>
      <w:r w:rsidR="008D6EFE" w:rsidRPr="00607D37">
        <w:rPr>
          <w:rFonts w:ascii="Times New Roman" w:hAnsi="Times New Roman" w:cs="Times New Roman"/>
          <w:b/>
          <w:bCs/>
          <w:sz w:val="20"/>
          <w:szCs w:val="20"/>
          <w:lang w:val="en-GB"/>
        </w:rPr>
        <w:t>S2</w:t>
      </w:r>
      <w:r w:rsidRPr="00607D37">
        <w:rPr>
          <w:rFonts w:ascii="Times New Roman" w:hAnsi="Times New Roman" w:cs="Times New Roman"/>
          <w:b/>
          <w:bCs/>
          <w:sz w:val="20"/>
          <w:szCs w:val="20"/>
          <w:lang w:val="en-GB"/>
        </w:rPr>
        <w:t xml:space="preserve"> </w:t>
      </w:r>
      <w:r w:rsidRPr="00607D37">
        <w:rPr>
          <w:rFonts w:ascii="Times New Roman" w:hAnsi="Times New Roman" w:cs="Times New Roman"/>
          <w:sz w:val="20"/>
          <w:szCs w:val="20"/>
          <w:lang w:val="en-GB"/>
        </w:rPr>
        <w:t>Impact category indicators used to describe the Water Footprint at each baseline life cycle stage or activity, as recommended in Table 2.1 of Annex II (</w:t>
      </w:r>
      <w:proofErr w:type="spellStart"/>
      <w:r w:rsidRPr="00607D37">
        <w:rPr>
          <w:rFonts w:ascii="Times New Roman" w:hAnsi="Times New Roman" w:cs="Times New Roman"/>
          <w:sz w:val="20"/>
          <w:szCs w:val="20"/>
          <w:lang w:val="en-GB"/>
        </w:rPr>
        <w:t>Equalitas</w:t>
      </w:r>
      <w:proofErr w:type="spellEnd"/>
      <w:r w:rsidRPr="00607D37">
        <w:rPr>
          <w:rFonts w:ascii="Times New Roman" w:hAnsi="Times New Roman" w:cs="Times New Roman"/>
          <w:sz w:val="20"/>
          <w:szCs w:val="20"/>
          <w:lang w:val="en-GB"/>
        </w:rPr>
        <w:t xml:space="preserve"> Guidelines). Note that the characterization factors used in the IMPACT2002+</w:t>
      </w:r>
      <w:r w:rsidRPr="00607D37">
        <w:rPr>
          <w:rStyle w:val="FootnoteReference"/>
          <w:rFonts w:ascii="Times New Roman" w:hAnsi="Times New Roman" w:cs="Times New Roman"/>
          <w:sz w:val="20"/>
          <w:szCs w:val="20"/>
          <w:lang w:val="en-GB"/>
        </w:rPr>
        <w:footnoteReference w:id="19"/>
      </w:r>
      <w:r w:rsidRPr="00607D37">
        <w:rPr>
          <w:rFonts w:ascii="Times New Roman" w:hAnsi="Times New Roman" w:cs="Times New Roman"/>
          <w:sz w:val="20"/>
          <w:szCs w:val="20"/>
          <w:lang w:val="en-GB"/>
        </w:rPr>
        <w:t xml:space="preserve"> method for aquatic </w:t>
      </w:r>
      <w:proofErr w:type="spellStart"/>
      <w:r w:rsidRPr="00607D37">
        <w:rPr>
          <w:rFonts w:ascii="Times New Roman" w:hAnsi="Times New Roman" w:cs="Times New Roman"/>
          <w:sz w:val="20"/>
          <w:szCs w:val="20"/>
          <w:lang w:val="en-GB"/>
        </w:rPr>
        <w:t>acification</w:t>
      </w:r>
      <w:proofErr w:type="spellEnd"/>
      <w:r w:rsidRPr="00607D37">
        <w:rPr>
          <w:rFonts w:ascii="Times New Roman" w:hAnsi="Times New Roman" w:cs="Times New Roman"/>
          <w:sz w:val="20"/>
          <w:szCs w:val="20"/>
          <w:lang w:val="en-GB"/>
        </w:rPr>
        <w:t xml:space="preserve"> and eutrophication are taken respectively from the CML-IA baseline and the EF methods mentioned earlier.</w:t>
      </w:r>
    </w:p>
    <w:tbl>
      <w:tblPr>
        <w:tblStyle w:val="TableGrid"/>
        <w:tblW w:w="0" w:type="auto"/>
        <w:jc w:val="center"/>
        <w:tblLook w:val="04A0" w:firstRow="1" w:lastRow="0" w:firstColumn="1" w:lastColumn="0" w:noHBand="0" w:noVBand="1"/>
      </w:tblPr>
      <w:tblGrid>
        <w:gridCol w:w="2409"/>
        <w:gridCol w:w="2410"/>
        <w:gridCol w:w="1276"/>
        <w:gridCol w:w="2551"/>
      </w:tblGrid>
      <w:tr w:rsidR="000B16AC" w:rsidRPr="00607D37" w14:paraId="46E2E8F2" w14:textId="77777777" w:rsidTr="00607D37">
        <w:trPr>
          <w:trHeight w:val="753"/>
          <w:jc w:val="center"/>
        </w:trPr>
        <w:tc>
          <w:tcPr>
            <w:tcW w:w="2409" w:type="dxa"/>
            <w:shd w:val="clear" w:color="auto" w:fill="C5E0B3" w:themeFill="accent6" w:themeFillTint="66"/>
            <w:vAlign w:val="center"/>
          </w:tcPr>
          <w:p w14:paraId="20D6D367" w14:textId="77777777" w:rsidR="000B16AC" w:rsidRPr="00607D37" w:rsidRDefault="000B16AC" w:rsidP="00607D37">
            <w:pPr>
              <w:pStyle w:val="TextMonsanto"/>
              <w:spacing w:line="240" w:lineRule="auto"/>
              <w:jc w:val="left"/>
              <w:rPr>
                <w:rFonts w:ascii="Times New Roman" w:hAnsi="Times New Roman" w:cs="Times New Roman"/>
                <w:b/>
                <w:bCs/>
                <w:sz w:val="20"/>
                <w:szCs w:val="20"/>
                <w:lang w:val="en-GB"/>
              </w:rPr>
            </w:pPr>
            <w:r w:rsidRPr="00607D37">
              <w:rPr>
                <w:rFonts w:ascii="Times New Roman" w:hAnsi="Times New Roman" w:cs="Times New Roman"/>
                <w:b/>
                <w:bCs/>
                <w:sz w:val="20"/>
                <w:szCs w:val="20"/>
                <w:lang w:val="en-GB"/>
              </w:rPr>
              <w:t>Indicator for calculating the Water Footprint</w:t>
            </w:r>
          </w:p>
        </w:tc>
        <w:tc>
          <w:tcPr>
            <w:tcW w:w="2410" w:type="dxa"/>
            <w:shd w:val="clear" w:color="auto" w:fill="C5E0B3" w:themeFill="accent6" w:themeFillTint="66"/>
            <w:vAlign w:val="center"/>
          </w:tcPr>
          <w:p w14:paraId="6C78E2FE" w14:textId="77777777" w:rsidR="000B16AC" w:rsidRPr="00607D37" w:rsidRDefault="000B16AC" w:rsidP="00607D37">
            <w:pPr>
              <w:pStyle w:val="TextMonsanto"/>
              <w:spacing w:line="240" w:lineRule="auto"/>
              <w:jc w:val="left"/>
              <w:rPr>
                <w:rFonts w:ascii="Times New Roman" w:hAnsi="Times New Roman" w:cs="Times New Roman"/>
                <w:b/>
                <w:bCs/>
                <w:sz w:val="20"/>
                <w:szCs w:val="20"/>
                <w:lang w:val="en-GB"/>
              </w:rPr>
            </w:pPr>
            <w:r w:rsidRPr="00607D37">
              <w:rPr>
                <w:rFonts w:ascii="Times New Roman" w:hAnsi="Times New Roman" w:cs="Times New Roman"/>
                <w:b/>
                <w:bCs/>
                <w:sz w:val="20"/>
                <w:szCs w:val="20"/>
                <w:lang w:val="en-GB"/>
              </w:rPr>
              <w:t>Reference LCIA methodology</w:t>
            </w:r>
          </w:p>
        </w:tc>
        <w:tc>
          <w:tcPr>
            <w:tcW w:w="1276" w:type="dxa"/>
            <w:shd w:val="clear" w:color="auto" w:fill="C5E0B3" w:themeFill="accent6" w:themeFillTint="66"/>
            <w:vAlign w:val="center"/>
          </w:tcPr>
          <w:p w14:paraId="74A91C89" w14:textId="77777777" w:rsidR="000B16AC" w:rsidRPr="00607D37" w:rsidRDefault="000B16AC" w:rsidP="00607D37">
            <w:pPr>
              <w:pStyle w:val="TextMonsanto"/>
              <w:spacing w:line="240" w:lineRule="auto"/>
              <w:rPr>
                <w:rFonts w:ascii="Times New Roman" w:hAnsi="Times New Roman" w:cs="Times New Roman"/>
                <w:b/>
                <w:bCs/>
                <w:sz w:val="20"/>
                <w:szCs w:val="20"/>
                <w:lang w:val="en-GB"/>
              </w:rPr>
            </w:pPr>
            <w:r w:rsidRPr="00607D37">
              <w:rPr>
                <w:rFonts w:ascii="Times New Roman" w:hAnsi="Times New Roman" w:cs="Times New Roman"/>
                <w:b/>
                <w:bCs/>
                <w:sz w:val="20"/>
                <w:szCs w:val="20"/>
                <w:lang w:val="en-GB"/>
              </w:rPr>
              <w:t>Unit</w:t>
            </w:r>
          </w:p>
        </w:tc>
        <w:tc>
          <w:tcPr>
            <w:tcW w:w="2551" w:type="dxa"/>
            <w:shd w:val="clear" w:color="auto" w:fill="C5E0B3" w:themeFill="accent6" w:themeFillTint="66"/>
            <w:vAlign w:val="center"/>
          </w:tcPr>
          <w:p w14:paraId="16B8B420" w14:textId="77777777" w:rsidR="000B16AC" w:rsidRPr="00607D37" w:rsidRDefault="000B16AC" w:rsidP="00607D37">
            <w:pPr>
              <w:pStyle w:val="TextMonsanto"/>
              <w:spacing w:line="240" w:lineRule="auto"/>
              <w:jc w:val="left"/>
              <w:rPr>
                <w:rFonts w:ascii="Times New Roman" w:hAnsi="Times New Roman" w:cs="Times New Roman"/>
                <w:b/>
                <w:bCs/>
                <w:sz w:val="20"/>
                <w:szCs w:val="20"/>
                <w:lang w:val="en-GB"/>
              </w:rPr>
            </w:pPr>
            <w:r w:rsidRPr="00607D37">
              <w:rPr>
                <w:rFonts w:ascii="Times New Roman" w:hAnsi="Times New Roman" w:cs="Times New Roman"/>
                <w:b/>
                <w:bCs/>
                <w:sz w:val="20"/>
                <w:szCs w:val="20"/>
                <w:lang w:val="en-GB"/>
              </w:rPr>
              <w:t>Reference phase or activity</w:t>
            </w:r>
          </w:p>
        </w:tc>
      </w:tr>
      <w:tr w:rsidR="000B16AC" w:rsidRPr="00607D37" w14:paraId="2554E1D6" w14:textId="77777777" w:rsidTr="00607D37">
        <w:trPr>
          <w:trHeight w:val="693"/>
          <w:jc w:val="center"/>
        </w:trPr>
        <w:tc>
          <w:tcPr>
            <w:tcW w:w="2409" w:type="dxa"/>
            <w:vAlign w:val="center"/>
          </w:tcPr>
          <w:p w14:paraId="0A0F6409" w14:textId="77777777" w:rsidR="000B16AC" w:rsidRPr="00607D37" w:rsidRDefault="000B16AC" w:rsidP="00607D37">
            <w:pPr>
              <w:pStyle w:val="TextMonsanto"/>
              <w:spacing w:line="240" w:lineRule="auto"/>
              <w:jc w:val="left"/>
              <w:rPr>
                <w:rFonts w:ascii="Times New Roman" w:hAnsi="Times New Roman" w:cs="Times New Roman"/>
                <w:sz w:val="20"/>
                <w:szCs w:val="20"/>
                <w:lang w:val="en-GB"/>
              </w:rPr>
            </w:pPr>
            <w:r w:rsidRPr="00607D37">
              <w:rPr>
                <w:rFonts w:ascii="Times New Roman" w:hAnsi="Times New Roman" w:cs="Times New Roman"/>
                <w:sz w:val="20"/>
                <w:szCs w:val="20"/>
                <w:lang w:val="en-GB"/>
              </w:rPr>
              <w:t>Water scarcity footprint</w:t>
            </w:r>
          </w:p>
        </w:tc>
        <w:tc>
          <w:tcPr>
            <w:tcW w:w="2410" w:type="dxa"/>
            <w:vAlign w:val="center"/>
          </w:tcPr>
          <w:p w14:paraId="0B7D51C3" w14:textId="77777777" w:rsidR="000B16AC" w:rsidRPr="00607D37" w:rsidRDefault="000B16AC" w:rsidP="00607D37">
            <w:pPr>
              <w:pStyle w:val="TextMonsanto"/>
              <w:spacing w:line="240" w:lineRule="auto"/>
              <w:jc w:val="left"/>
              <w:rPr>
                <w:rFonts w:ascii="Times New Roman" w:hAnsi="Times New Roman" w:cs="Times New Roman"/>
                <w:sz w:val="20"/>
                <w:szCs w:val="20"/>
                <w:lang w:val="fr-FR"/>
              </w:rPr>
            </w:pPr>
            <w:r w:rsidRPr="00607D37">
              <w:rPr>
                <w:rFonts w:ascii="Times New Roman" w:hAnsi="Times New Roman" w:cs="Times New Roman"/>
                <w:sz w:val="20"/>
                <w:szCs w:val="20"/>
                <w:lang w:val="fr-FR"/>
              </w:rPr>
              <w:t>Pfister et al. (2009)</w:t>
            </w:r>
          </w:p>
          <w:p w14:paraId="61B66AEC" w14:textId="29C463D6" w:rsidR="000B16AC" w:rsidRPr="00607D37" w:rsidRDefault="000B16AC" w:rsidP="00607D37">
            <w:pPr>
              <w:pStyle w:val="TextMonsanto"/>
              <w:spacing w:line="240" w:lineRule="auto"/>
              <w:jc w:val="left"/>
              <w:rPr>
                <w:rFonts w:ascii="Times New Roman" w:hAnsi="Times New Roman" w:cs="Times New Roman"/>
                <w:sz w:val="20"/>
                <w:szCs w:val="20"/>
                <w:lang w:val="en-GB"/>
              </w:rPr>
            </w:pPr>
            <w:r w:rsidRPr="00607D37">
              <w:rPr>
                <w:rFonts w:ascii="Times New Roman" w:hAnsi="Times New Roman" w:cs="Times New Roman"/>
                <w:sz w:val="20"/>
                <w:szCs w:val="20"/>
                <w:lang w:val="en-GB"/>
              </w:rPr>
              <w:sym w:font="Wingdings" w:char="F0E8"/>
            </w:r>
            <w:r w:rsidRPr="00607D37">
              <w:rPr>
                <w:rFonts w:ascii="Times New Roman" w:hAnsi="Times New Roman" w:cs="Times New Roman"/>
                <w:sz w:val="20"/>
                <w:szCs w:val="20"/>
                <w:lang w:val="fr-FR"/>
              </w:rPr>
              <w:t xml:space="preserve"> </w:t>
            </w:r>
            <w:proofErr w:type="spellStart"/>
            <w:r w:rsidRPr="00607D37">
              <w:rPr>
                <w:rFonts w:ascii="Times New Roman" w:hAnsi="Times New Roman" w:cs="Times New Roman"/>
                <w:sz w:val="20"/>
                <w:szCs w:val="20"/>
                <w:lang w:val="fr-FR"/>
              </w:rPr>
              <w:t>Boulay</w:t>
            </w:r>
            <w:proofErr w:type="spellEnd"/>
            <w:r w:rsidRPr="00607D37">
              <w:rPr>
                <w:rFonts w:ascii="Times New Roman" w:hAnsi="Times New Roman" w:cs="Times New Roman"/>
                <w:sz w:val="20"/>
                <w:szCs w:val="20"/>
                <w:lang w:val="fr-FR"/>
              </w:rPr>
              <w:t xml:space="preserve"> et al. </w:t>
            </w:r>
            <w:r w:rsidRPr="00607D37">
              <w:rPr>
                <w:rFonts w:ascii="Times New Roman" w:hAnsi="Times New Roman" w:cs="Times New Roman"/>
                <w:sz w:val="20"/>
                <w:szCs w:val="20"/>
                <w:lang w:val="en-GB"/>
              </w:rPr>
              <w:t>(2018)</w:t>
            </w:r>
          </w:p>
        </w:tc>
        <w:tc>
          <w:tcPr>
            <w:tcW w:w="1276" w:type="dxa"/>
            <w:vAlign w:val="center"/>
          </w:tcPr>
          <w:p w14:paraId="2E30CBB5" w14:textId="77777777" w:rsidR="000B16AC" w:rsidRPr="00607D37" w:rsidRDefault="000B16AC" w:rsidP="00607D37">
            <w:pPr>
              <w:pStyle w:val="TextMonsanto"/>
              <w:spacing w:line="240" w:lineRule="auto"/>
              <w:rPr>
                <w:rFonts w:ascii="Times New Roman" w:hAnsi="Times New Roman" w:cs="Times New Roman"/>
                <w:sz w:val="20"/>
                <w:szCs w:val="20"/>
                <w:lang w:val="en-GB"/>
              </w:rPr>
            </w:pPr>
            <w:r w:rsidRPr="00607D37">
              <w:rPr>
                <w:rFonts w:ascii="Times New Roman" w:hAnsi="Times New Roman" w:cs="Times New Roman"/>
                <w:sz w:val="20"/>
                <w:szCs w:val="20"/>
                <w:lang w:val="en-GB"/>
              </w:rPr>
              <w:t>m</w:t>
            </w:r>
            <w:r w:rsidRPr="00607D37">
              <w:rPr>
                <w:rFonts w:ascii="Times New Roman" w:hAnsi="Times New Roman" w:cs="Times New Roman"/>
                <w:sz w:val="20"/>
                <w:szCs w:val="20"/>
                <w:vertAlign w:val="superscript"/>
                <w:lang w:val="en-GB"/>
              </w:rPr>
              <w:t>3</w:t>
            </w:r>
            <w:r w:rsidRPr="00607D37">
              <w:rPr>
                <w:rFonts w:ascii="Times New Roman" w:hAnsi="Times New Roman" w:cs="Times New Roman"/>
                <w:sz w:val="20"/>
                <w:szCs w:val="20"/>
                <w:lang w:val="en-GB"/>
              </w:rPr>
              <w:t xml:space="preserve"> eq.</w:t>
            </w:r>
          </w:p>
        </w:tc>
        <w:tc>
          <w:tcPr>
            <w:tcW w:w="2551" w:type="dxa"/>
            <w:vAlign w:val="center"/>
          </w:tcPr>
          <w:p w14:paraId="2103AEC8" w14:textId="77777777" w:rsidR="000B16AC" w:rsidRPr="00607D37" w:rsidRDefault="000B16AC" w:rsidP="00607D37">
            <w:pPr>
              <w:pStyle w:val="TextMonsanto"/>
              <w:spacing w:line="240" w:lineRule="auto"/>
              <w:jc w:val="left"/>
              <w:rPr>
                <w:rFonts w:ascii="Times New Roman" w:hAnsi="Times New Roman" w:cs="Times New Roman"/>
                <w:sz w:val="20"/>
                <w:szCs w:val="20"/>
                <w:lang w:val="en-GB"/>
              </w:rPr>
            </w:pPr>
            <w:r w:rsidRPr="00607D37">
              <w:rPr>
                <w:rFonts w:ascii="Times New Roman" w:hAnsi="Times New Roman" w:cs="Times New Roman"/>
                <w:sz w:val="20"/>
                <w:szCs w:val="20"/>
                <w:lang w:val="en-GB"/>
              </w:rPr>
              <w:t>Agricultural phase</w:t>
            </w:r>
          </w:p>
        </w:tc>
      </w:tr>
      <w:tr w:rsidR="000B16AC" w:rsidRPr="00607D37" w14:paraId="702FBCF2" w14:textId="77777777" w:rsidTr="00607D37">
        <w:trPr>
          <w:trHeight w:val="703"/>
          <w:jc w:val="center"/>
        </w:trPr>
        <w:tc>
          <w:tcPr>
            <w:tcW w:w="2409" w:type="dxa"/>
            <w:vAlign w:val="center"/>
          </w:tcPr>
          <w:p w14:paraId="4468848A" w14:textId="77777777" w:rsidR="000B16AC" w:rsidRPr="00607D37" w:rsidRDefault="000B16AC" w:rsidP="00607D37">
            <w:pPr>
              <w:pStyle w:val="TextMonsanto"/>
              <w:spacing w:line="240" w:lineRule="auto"/>
              <w:jc w:val="left"/>
              <w:rPr>
                <w:rFonts w:ascii="Times New Roman" w:hAnsi="Times New Roman" w:cs="Times New Roman"/>
                <w:sz w:val="20"/>
                <w:szCs w:val="20"/>
                <w:lang w:val="en-GB"/>
              </w:rPr>
            </w:pPr>
            <w:r w:rsidRPr="00607D37">
              <w:rPr>
                <w:rFonts w:ascii="Times New Roman" w:hAnsi="Times New Roman" w:cs="Times New Roman"/>
                <w:sz w:val="20"/>
                <w:szCs w:val="20"/>
                <w:lang w:val="en-GB"/>
              </w:rPr>
              <w:t xml:space="preserve">Aquatic </w:t>
            </w:r>
            <w:proofErr w:type="spellStart"/>
            <w:r w:rsidRPr="00607D37">
              <w:rPr>
                <w:rFonts w:ascii="Times New Roman" w:hAnsi="Times New Roman" w:cs="Times New Roman"/>
                <w:sz w:val="20"/>
                <w:szCs w:val="20"/>
                <w:lang w:val="en-GB"/>
              </w:rPr>
              <w:t>acification</w:t>
            </w:r>
            <w:proofErr w:type="spellEnd"/>
          </w:p>
        </w:tc>
        <w:tc>
          <w:tcPr>
            <w:tcW w:w="2410" w:type="dxa"/>
            <w:vAlign w:val="center"/>
          </w:tcPr>
          <w:p w14:paraId="78B18C01" w14:textId="77777777" w:rsidR="000B16AC" w:rsidRPr="00607D37" w:rsidRDefault="000B16AC" w:rsidP="00607D37">
            <w:pPr>
              <w:pStyle w:val="TextMonsanto"/>
              <w:spacing w:line="240" w:lineRule="auto"/>
              <w:jc w:val="left"/>
              <w:rPr>
                <w:rFonts w:ascii="Times New Roman" w:hAnsi="Times New Roman" w:cs="Times New Roman"/>
                <w:sz w:val="20"/>
                <w:szCs w:val="20"/>
                <w:lang w:val="en-GB"/>
              </w:rPr>
            </w:pPr>
            <w:r w:rsidRPr="00607D37">
              <w:rPr>
                <w:rFonts w:ascii="Times New Roman" w:hAnsi="Times New Roman" w:cs="Times New Roman"/>
                <w:sz w:val="20"/>
                <w:szCs w:val="20"/>
                <w:lang w:val="en-GB"/>
              </w:rPr>
              <w:t>IMPACT2002+</w:t>
            </w:r>
          </w:p>
          <w:p w14:paraId="4E54F574" w14:textId="77777777" w:rsidR="000B16AC" w:rsidRPr="00607D37" w:rsidRDefault="000B16AC" w:rsidP="00607D37">
            <w:pPr>
              <w:pStyle w:val="TextMonsanto"/>
              <w:spacing w:line="240" w:lineRule="auto"/>
              <w:jc w:val="left"/>
              <w:rPr>
                <w:rFonts w:ascii="Times New Roman" w:hAnsi="Times New Roman" w:cs="Times New Roman"/>
                <w:sz w:val="20"/>
                <w:szCs w:val="20"/>
                <w:lang w:val="en-GB"/>
              </w:rPr>
            </w:pPr>
            <w:r w:rsidRPr="00607D37">
              <w:rPr>
                <w:rFonts w:ascii="Times New Roman" w:hAnsi="Times New Roman" w:cs="Times New Roman"/>
                <w:sz w:val="20"/>
                <w:szCs w:val="20"/>
                <w:lang w:val="en-GB"/>
              </w:rPr>
              <w:sym w:font="Wingdings" w:char="F0E8"/>
            </w:r>
            <w:r w:rsidRPr="00607D37">
              <w:rPr>
                <w:rFonts w:ascii="Times New Roman" w:hAnsi="Times New Roman" w:cs="Times New Roman"/>
                <w:sz w:val="20"/>
                <w:szCs w:val="20"/>
                <w:lang w:val="en-GB"/>
              </w:rPr>
              <w:t xml:space="preserve"> CML-IA baseline</w:t>
            </w:r>
          </w:p>
        </w:tc>
        <w:tc>
          <w:tcPr>
            <w:tcW w:w="1276" w:type="dxa"/>
            <w:vAlign w:val="center"/>
          </w:tcPr>
          <w:p w14:paraId="2C593CFB" w14:textId="77777777" w:rsidR="000B16AC" w:rsidRPr="00607D37" w:rsidRDefault="000B16AC" w:rsidP="00607D37">
            <w:pPr>
              <w:pStyle w:val="TextMonsanto"/>
              <w:spacing w:line="240" w:lineRule="auto"/>
              <w:rPr>
                <w:rFonts w:ascii="Times New Roman" w:hAnsi="Times New Roman" w:cs="Times New Roman"/>
                <w:sz w:val="20"/>
                <w:szCs w:val="20"/>
                <w:lang w:val="en-GB"/>
              </w:rPr>
            </w:pPr>
            <w:r w:rsidRPr="00607D37">
              <w:rPr>
                <w:rFonts w:ascii="Times New Roman" w:hAnsi="Times New Roman" w:cs="Times New Roman"/>
                <w:sz w:val="20"/>
                <w:szCs w:val="20"/>
                <w:lang w:val="en-GB"/>
              </w:rPr>
              <w:t>kg SO</w:t>
            </w:r>
            <w:r w:rsidRPr="00607D37">
              <w:rPr>
                <w:rFonts w:ascii="Times New Roman" w:hAnsi="Times New Roman" w:cs="Times New Roman"/>
                <w:sz w:val="20"/>
                <w:szCs w:val="20"/>
                <w:vertAlign w:val="subscript"/>
                <w:lang w:val="en-GB"/>
              </w:rPr>
              <w:t>2</w:t>
            </w:r>
            <w:r w:rsidRPr="00607D37">
              <w:rPr>
                <w:rFonts w:ascii="Times New Roman" w:hAnsi="Times New Roman" w:cs="Times New Roman"/>
                <w:sz w:val="20"/>
                <w:szCs w:val="20"/>
                <w:lang w:val="en-GB"/>
              </w:rPr>
              <w:t xml:space="preserve"> eq.</w:t>
            </w:r>
          </w:p>
        </w:tc>
        <w:tc>
          <w:tcPr>
            <w:tcW w:w="2551" w:type="dxa"/>
            <w:vAlign w:val="center"/>
          </w:tcPr>
          <w:p w14:paraId="76853ADA" w14:textId="77777777" w:rsidR="000B16AC" w:rsidRPr="00607D37" w:rsidRDefault="000B16AC" w:rsidP="00607D37">
            <w:pPr>
              <w:pStyle w:val="TextMonsanto"/>
              <w:spacing w:line="240" w:lineRule="auto"/>
              <w:jc w:val="left"/>
              <w:rPr>
                <w:rFonts w:ascii="Times New Roman" w:hAnsi="Times New Roman" w:cs="Times New Roman"/>
                <w:sz w:val="20"/>
                <w:szCs w:val="20"/>
                <w:lang w:val="en-GB"/>
              </w:rPr>
            </w:pPr>
            <w:r w:rsidRPr="00607D37">
              <w:rPr>
                <w:rFonts w:ascii="Times New Roman" w:hAnsi="Times New Roman" w:cs="Times New Roman"/>
                <w:sz w:val="20"/>
                <w:szCs w:val="20"/>
                <w:lang w:val="en-GB"/>
              </w:rPr>
              <w:t>Packaging, fossil fuel consumption</w:t>
            </w:r>
          </w:p>
        </w:tc>
      </w:tr>
      <w:tr w:rsidR="000B16AC" w:rsidRPr="00607D37" w14:paraId="083450C3" w14:textId="77777777" w:rsidTr="00607D37">
        <w:trPr>
          <w:trHeight w:val="416"/>
          <w:jc w:val="center"/>
        </w:trPr>
        <w:tc>
          <w:tcPr>
            <w:tcW w:w="2409" w:type="dxa"/>
            <w:vAlign w:val="center"/>
          </w:tcPr>
          <w:p w14:paraId="72708493" w14:textId="77777777" w:rsidR="000B16AC" w:rsidRPr="00607D37" w:rsidRDefault="000B16AC" w:rsidP="00607D37">
            <w:pPr>
              <w:pStyle w:val="TextMonsanto"/>
              <w:spacing w:line="240" w:lineRule="auto"/>
              <w:jc w:val="left"/>
              <w:rPr>
                <w:rFonts w:ascii="Times New Roman" w:hAnsi="Times New Roman" w:cs="Times New Roman"/>
                <w:sz w:val="20"/>
                <w:szCs w:val="20"/>
                <w:lang w:val="en-GB"/>
              </w:rPr>
            </w:pPr>
            <w:r w:rsidRPr="00607D37">
              <w:rPr>
                <w:rFonts w:ascii="Times New Roman" w:hAnsi="Times New Roman" w:cs="Times New Roman"/>
                <w:sz w:val="20"/>
                <w:szCs w:val="20"/>
                <w:lang w:val="en-GB"/>
              </w:rPr>
              <w:t>Aquatic ecotoxicity</w:t>
            </w:r>
          </w:p>
        </w:tc>
        <w:tc>
          <w:tcPr>
            <w:tcW w:w="2410" w:type="dxa"/>
            <w:vAlign w:val="center"/>
          </w:tcPr>
          <w:p w14:paraId="619AF48F" w14:textId="77777777" w:rsidR="000B16AC" w:rsidRPr="00607D37" w:rsidRDefault="000B16AC" w:rsidP="00607D37">
            <w:pPr>
              <w:pStyle w:val="TextMonsanto"/>
              <w:spacing w:line="240" w:lineRule="auto"/>
              <w:jc w:val="left"/>
              <w:rPr>
                <w:rFonts w:ascii="Times New Roman" w:hAnsi="Times New Roman" w:cs="Times New Roman"/>
                <w:sz w:val="20"/>
                <w:szCs w:val="20"/>
                <w:lang w:val="en-GB"/>
              </w:rPr>
            </w:pPr>
            <w:proofErr w:type="spellStart"/>
            <w:r w:rsidRPr="00607D37">
              <w:rPr>
                <w:rFonts w:ascii="Times New Roman" w:hAnsi="Times New Roman" w:cs="Times New Roman"/>
                <w:sz w:val="20"/>
                <w:szCs w:val="20"/>
                <w:lang w:val="en-GB"/>
              </w:rPr>
              <w:t>USEtox</w:t>
            </w:r>
            <w:proofErr w:type="spellEnd"/>
            <w:r w:rsidRPr="00607D37">
              <w:rPr>
                <w:rFonts w:ascii="Times New Roman" w:hAnsi="Times New Roman" w:cs="Times New Roman"/>
                <w:sz w:val="20"/>
                <w:szCs w:val="20"/>
                <w:vertAlign w:val="superscript"/>
                <w:lang w:val="en-GB"/>
              </w:rPr>
              <w:t>®</w:t>
            </w:r>
            <w:r w:rsidRPr="00607D37">
              <w:rPr>
                <w:rFonts w:ascii="Times New Roman" w:hAnsi="Times New Roman" w:cs="Times New Roman"/>
                <w:sz w:val="20"/>
                <w:szCs w:val="20"/>
                <w:lang w:val="en-GB"/>
              </w:rPr>
              <w:t xml:space="preserve"> 2.0</w:t>
            </w:r>
            <w:r w:rsidRPr="00607D37">
              <w:rPr>
                <w:rStyle w:val="FootnoteReference"/>
                <w:rFonts w:ascii="Times New Roman" w:hAnsi="Times New Roman" w:cs="Times New Roman"/>
                <w:sz w:val="20"/>
                <w:szCs w:val="20"/>
                <w:lang w:val="en-GB"/>
              </w:rPr>
              <w:footnoteReference w:id="20"/>
            </w:r>
          </w:p>
        </w:tc>
        <w:tc>
          <w:tcPr>
            <w:tcW w:w="1276" w:type="dxa"/>
            <w:vAlign w:val="center"/>
          </w:tcPr>
          <w:p w14:paraId="10A50737" w14:textId="77777777" w:rsidR="000B16AC" w:rsidRPr="00607D37" w:rsidRDefault="000B16AC" w:rsidP="00607D37">
            <w:pPr>
              <w:pStyle w:val="TextMonsanto"/>
              <w:spacing w:line="240" w:lineRule="auto"/>
              <w:rPr>
                <w:rFonts w:ascii="Times New Roman" w:hAnsi="Times New Roman" w:cs="Times New Roman"/>
                <w:sz w:val="20"/>
                <w:szCs w:val="20"/>
                <w:lang w:val="en-GB"/>
              </w:rPr>
            </w:pPr>
            <w:proofErr w:type="spellStart"/>
            <w:r w:rsidRPr="00607D37">
              <w:rPr>
                <w:rFonts w:ascii="Times New Roman" w:hAnsi="Times New Roman" w:cs="Times New Roman"/>
                <w:sz w:val="20"/>
                <w:szCs w:val="20"/>
                <w:lang w:val="en-GB"/>
              </w:rPr>
              <w:t>CTUe</w:t>
            </w:r>
            <w:proofErr w:type="spellEnd"/>
          </w:p>
        </w:tc>
        <w:tc>
          <w:tcPr>
            <w:tcW w:w="2551" w:type="dxa"/>
            <w:vMerge w:val="restart"/>
            <w:vAlign w:val="center"/>
          </w:tcPr>
          <w:p w14:paraId="261286B9" w14:textId="77777777" w:rsidR="000B16AC" w:rsidRPr="00607D37" w:rsidRDefault="000B16AC" w:rsidP="00607D37">
            <w:pPr>
              <w:pStyle w:val="TextMonsanto"/>
              <w:spacing w:line="240" w:lineRule="auto"/>
              <w:jc w:val="left"/>
              <w:rPr>
                <w:rFonts w:ascii="Times New Roman" w:hAnsi="Times New Roman" w:cs="Times New Roman"/>
                <w:sz w:val="20"/>
                <w:szCs w:val="20"/>
                <w:lang w:val="en-GB"/>
              </w:rPr>
            </w:pPr>
            <w:r w:rsidRPr="00607D37">
              <w:rPr>
                <w:rFonts w:ascii="Times New Roman" w:hAnsi="Times New Roman" w:cs="Times New Roman"/>
                <w:sz w:val="20"/>
                <w:szCs w:val="20"/>
                <w:lang w:val="en-GB"/>
              </w:rPr>
              <w:t>Fertilizers</w:t>
            </w:r>
          </w:p>
          <w:p w14:paraId="2FC73476" w14:textId="77777777" w:rsidR="000B16AC" w:rsidRPr="00607D37" w:rsidRDefault="000B16AC" w:rsidP="00607D37">
            <w:pPr>
              <w:pStyle w:val="TextMonsanto"/>
              <w:spacing w:line="240" w:lineRule="auto"/>
              <w:jc w:val="left"/>
              <w:rPr>
                <w:rFonts w:ascii="Times New Roman" w:hAnsi="Times New Roman" w:cs="Times New Roman"/>
                <w:sz w:val="20"/>
                <w:szCs w:val="20"/>
                <w:lang w:val="en-GB"/>
              </w:rPr>
            </w:pPr>
            <w:r w:rsidRPr="00607D37">
              <w:rPr>
                <w:rFonts w:ascii="Times New Roman" w:hAnsi="Times New Roman" w:cs="Times New Roman"/>
                <w:sz w:val="20"/>
                <w:szCs w:val="20"/>
                <w:lang w:val="en-GB"/>
              </w:rPr>
              <w:t>(chemical and natural)</w:t>
            </w:r>
          </w:p>
        </w:tc>
      </w:tr>
      <w:tr w:rsidR="000B16AC" w:rsidRPr="008C3716" w14:paraId="50C2E857" w14:textId="77777777" w:rsidTr="00607D37">
        <w:trPr>
          <w:trHeight w:val="421"/>
          <w:jc w:val="center"/>
        </w:trPr>
        <w:tc>
          <w:tcPr>
            <w:tcW w:w="2409" w:type="dxa"/>
            <w:vAlign w:val="center"/>
          </w:tcPr>
          <w:p w14:paraId="5A0AFDAA" w14:textId="77777777" w:rsidR="000B16AC" w:rsidRPr="008C3716" w:rsidRDefault="000B16AC" w:rsidP="00607D37">
            <w:pPr>
              <w:pStyle w:val="TextMonsanto"/>
              <w:spacing w:line="240" w:lineRule="auto"/>
              <w:jc w:val="left"/>
              <w:rPr>
                <w:rFonts w:ascii="Times New Roman" w:hAnsi="Times New Roman" w:cs="Times New Roman"/>
                <w:sz w:val="20"/>
                <w:szCs w:val="20"/>
                <w:lang w:val="en-GB"/>
              </w:rPr>
            </w:pPr>
            <w:r w:rsidRPr="008C3716">
              <w:rPr>
                <w:rFonts w:ascii="Times New Roman" w:hAnsi="Times New Roman" w:cs="Times New Roman"/>
                <w:sz w:val="20"/>
                <w:szCs w:val="20"/>
                <w:lang w:val="en-GB"/>
              </w:rPr>
              <w:t>Human toxicity</w:t>
            </w:r>
          </w:p>
        </w:tc>
        <w:tc>
          <w:tcPr>
            <w:tcW w:w="2410" w:type="dxa"/>
            <w:vAlign w:val="center"/>
          </w:tcPr>
          <w:p w14:paraId="72B23EC4" w14:textId="77777777" w:rsidR="000B16AC" w:rsidRPr="008C3716" w:rsidRDefault="000B16AC" w:rsidP="00607D37">
            <w:pPr>
              <w:pStyle w:val="TextMonsanto"/>
              <w:spacing w:line="240" w:lineRule="auto"/>
              <w:jc w:val="left"/>
              <w:rPr>
                <w:rFonts w:ascii="Times New Roman" w:hAnsi="Times New Roman" w:cs="Times New Roman"/>
                <w:sz w:val="20"/>
                <w:szCs w:val="20"/>
                <w:lang w:val="en-GB"/>
              </w:rPr>
            </w:pPr>
            <w:proofErr w:type="spellStart"/>
            <w:r w:rsidRPr="008C3716">
              <w:rPr>
                <w:rFonts w:ascii="Times New Roman" w:hAnsi="Times New Roman" w:cs="Times New Roman"/>
                <w:sz w:val="20"/>
                <w:szCs w:val="20"/>
                <w:lang w:val="en-GB"/>
              </w:rPr>
              <w:t>USEtox</w:t>
            </w:r>
            <w:proofErr w:type="spellEnd"/>
            <w:r w:rsidRPr="008C3716">
              <w:rPr>
                <w:rFonts w:ascii="Times New Roman" w:hAnsi="Times New Roman" w:cs="Times New Roman"/>
                <w:sz w:val="20"/>
                <w:szCs w:val="20"/>
                <w:vertAlign w:val="superscript"/>
                <w:lang w:val="en-GB"/>
              </w:rPr>
              <w:t>®</w:t>
            </w:r>
            <w:r w:rsidRPr="008C3716">
              <w:rPr>
                <w:rFonts w:ascii="Times New Roman" w:hAnsi="Times New Roman" w:cs="Times New Roman"/>
                <w:sz w:val="20"/>
                <w:szCs w:val="20"/>
                <w:lang w:val="en-GB"/>
              </w:rPr>
              <w:t xml:space="preserve"> 2.0</w:t>
            </w:r>
          </w:p>
        </w:tc>
        <w:tc>
          <w:tcPr>
            <w:tcW w:w="1276" w:type="dxa"/>
            <w:vAlign w:val="center"/>
          </w:tcPr>
          <w:p w14:paraId="3B1EE781" w14:textId="77777777" w:rsidR="000B16AC" w:rsidRPr="008C3716" w:rsidRDefault="000B16AC" w:rsidP="00607D37">
            <w:pPr>
              <w:pStyle w:val="TextMonsanto"/>
              <w:spacing w:line="240" w:lineRule="auto"/>
              <w:rPr>
                <w:rFonts w:ascii="Times New Roman" w:hAnsi="Times New Roman" w:cs="Times New Roman"/>
                <w:sz w:val="20"/>
                <w:szCs w:val="20"/>
                <w:lang w:val="en-GB"/>
              </w:rPr>
            </w:pPr>
            <w:proofErr w:type="spellStart"/>
            <w:r w:rsidRPr="008C3716">
              <w:rPr>
                <w:rFonts w:ascii="Times New Roman" w:hAnsi="Times New Roman" w:cs="Times New Roman"/>
                <w:sz w:val="20"/>
                <w:szCs w:val="20"/>
                <w:lang w:val="en-GB"/>
              </w:rPr>
              <w:t>CTUh</w:t>
            </w:r>
            <w:proofErr w:type="spellEnd"/>
          </w:p>
        </w:tc>
        <w:tc>
          <w:tcPr>
            <w:tcW w:w="2551" w:type="dxa"/>
            <w:vMerge/>
            <w:vAlign w:val="center"/>
          </w:tcPr>
          <w:p w14:paraId="2BA414E9" w14:textId="77777777" w:rsidR="000B16AC" w:rsidRPr="008C3716" w:rsidRDefault="000B16AC" w:rsidP="00607D37">
            <w:pPr>
              <w:pStyle w:val="TextMonsanto"/>
              <w:spacing w:line="240" w:lineRule="auto"/>
              <w:jc w:val="left"/>
              <w:rPr>
                <w:rFonts w:ascii="Times New Roman" w:hAnsi="Times New Roman" w:cs="Times New Roman"/>
                <w:sz w:val="20"/>
                <w:szCs w:val="20"/>
                <w:lang w:val="en-GB"/>
              </w:rPr>
            </w:pPr>
          </w:p>
        </w:tc>
      </w:tr>
      <w:tr w:rsidR="000B16AC" w:rsidRPr="008C3716" w14:paraId="7C699A17" w14:textId="77777777" w:rsidTr="00A334E5">
        <w:trPr>
          <w:jc w:val="center"/>
        </w:trPr>
        <w:tc>
          <w:tcPr>
            <w:tcW w:w="2409" w:type="dxa"/>
            <w:vAlign w:val="center"/>
          </w:tcPr>
          <w:p w14:paraId="60582633" w14:textId="77777777" w:rsidR="000B16AC" w:rsidRPr="008C3716" w:rsidRDefault="000B16AC" w:rsidP="00607D37">
            <w:pPr>
              <w:pStyle w:val="TextMonsanto"/>
              <w:spacing w:line="240" w:lineRule="auto"/>
              <w:jc w:val="left"/>
              <w:rPr>
                <w:rFonts w:ascii="Times New Roman" w:hAnsi="Times New Roman" w:cs="Times New Roman"/>
                <w:sz w:val="20"/>
                <w:szCs w:val="20"/>
                <w:lang w:val="en-GB"/>
              </w:rPr>
            </w:pPr>
            <w:r w:rsidRPr="008C3716">
              <w:rPr>
                <w:rFonts w:ascii="Times New Roman" w:hAnsi="Times New Roman" w:cs="Times New Roman"/>
                <w:sz w:val="20"/>
                <w:szCs w:val="20"/>
                <w:lang w:val="en-GB"/>
              </w:rPr>
              <w:t>Aquatic eutrophication</w:t>
            </w:r>
          </w:p>
        </w:tc>
        <w:tc>
          <w:tcPr>
            <w:tcW w:w="2410" w:type="dxa"/>
            <w:vAlign w:val="center"/>
          </w:tcPr>
          <w:p w14:paraId="30BE4F24" w14:textId="77777777" w:rsidR="000B16AC" w:rsidRPr="008C3716" w:rsidRDefault="000B16AC" w:rsidP="00607D37">
            <w:pPr>
              <w:pStyle w:val="TextMonsanto"/>
              <w:spacing w:line="240" w:lineRule="auto"/>
              <w:jc w:val="left"/>
              <w:rPr>
                <w:rFonts w:ascii="Times New Roman" w:hAnsi="Times New Roman" w:cs="Times New Roman"/>
                <w:sz w:val="20"/>
                <w:szCs w:val="20"/>
                <w:lang w:val="en-GB"/>
              </w:rPr>
            </w:pPr>
            <w:r w:rsidRPr="008C3716">
              <w:rPr>
                <w:rFonts w:ascii="Times New Roman" w:hAnsi="Times New Roman" w:cs="Times New Roman"/>
                <w:sz w:val="20"/>
                <w:szCs w:val="20"/>
                <w:lang w:val="en-GB"/>
              </w:rPr>
              <w:t>IMPACT2002+</w:t>
            </w:r>
          </w:p>
          <w:p w14:paraId="0FEEDF0A" w14:textId="77777777" w:rsidR="000B16AC" w:rsidRPr="008C3716" w:rsidRDefault="000B16AC" w:rsidP="00607D37">
            <w:pPr>
              <w:pStyle w:val="TextMonsanto"/>
              <w:spacing w:line="240" w:lineRule="auto"/>
              <w:jc w:val="left"/>
              <w:rPr>
                <w:rFonts w:ascii="Times New Roman" w:hAnsi="Times New Roman" w:cs="Times New Roman"/>
                <w:sz w:val="20"/>
                <w:szCs w:val="20"/>
                <w:lang w:val="en-GB"/>
              </w:rPr>
            </w:pPr>
            <w:r w:rsidRPr="008C3716">
              <w:rPr>
                <w:rFonts w:ascii="Times New Roman" w:hAnsi="Times New Roman" w:cs="Times New Roman"/>
                <w:sz w:val="20"/>
                <w:szCs w:val="20"/>
                <w:lang w:val="en-GB"/>
              </w:rPr>
              <w:sym w:font="Wingdings" w:char="F0E8"/>
            </w:r>
            <w:r w:rsidRPr="008C3716">
              <w:rPr>
                <w:rFonts w:ascii="Times New Roman" w:hAnsi="Times New Roman" w:cs="Times New Roman"/>
                <w:sz w:val="20"/>
                <w:szCs w:val="20"/>
                <w:lang w:val="en-GB"/>
              </w:rPr>
              <w:t xml:space="preserve"> EF v3.1 method</w:t>
            </w:r>
          </w:p>
        </w:tc>
        <w:tc>
          <w:tcPr>
            <w:tcW w:w="1276" w:type="dxa"/>
            <w:vAlign w:val="center"/>
          </w:tcPr>
          <w:p w14:paraId="59EF36A2" w14:textId="77777777" w:rsidR="000B16AC" w:rsidRPr="008C3716" w:rsidRDefault="000B16AC" w:rsidP="00607D37">
            <w:pPr>
              <w:pStyle w:val="TextMonsanto"/>
              <w:spacing w:line="240" w:lineRule="auto"/>
              <w:rPr>
                <w:rFonts w:ascii="Times New Roman" w:hAnsi="Times New Roman" w:cs="Times New Roman"/>
                <w:sz w:val="20"/>
                <w:szCs w:val="20"/>
                <w:lang w:val="en-GB"/>
              </w:rPr>
            </w:pPr>
            <w:r w:rsidRPr="008C3716">
              <w:rPr>
                <w:rFonts w:ascii="Times New Roman" w:hAnsi="Times New Roman" w:cs="Times New Roman"/>
                <w:sz w:val="20"/>
                <w:szCs w:val="20"/>
                <w:lang w:val="en-GB"/>
              </w:rPr>
              <w:t>kg P eq.</w:t>
            </w:r>
          </w:p>
        </w:tc>
        <w:tc>
          <w:tcPr>
            <w:tcW w:w="2551" w:type="dxa"/>
            <w:vMerge/>
            <w:vAlign w:val="center"/>
          </w:tcPr>
          <w:p w14:paraId="490FC0F0" w14:textId="77777777" w:rsidR="000B16AC" w:rsidRPr="008C3716" w:rsidRDefault="000B16AC" w:rsidP="00607D37">
            <w:pPr>
              <w:pStyle w:val="TextMonsanto"/>
              <w:spacing w:line="240" w:lineRule="auto"/>
              <w:jc w:val="left"/>
              <w:rPr>
                <w:rFonts w:ascii="Times New Roman" w:hAnsi="Times New Roman" w:cs="Times New Roman"/>
                <w:sz w:val="20"/>
                <w:szCs w:val="20"/>
                <w:lang w:val="en-GB"/>
              </w:rPr>
            </w:pPr>
          </w:p>
        </w:tc>
      </w:tr>
    </w:tbl>
    <w:p w14:paraId="7A495B90" w14:textId="77777777" w:rsidR="000B16AC" w:rsidRPr="008C3716" w:rsidRDefault="000B16AC" w:rsidP="000B16AC">
      <w:pPr>
        <w:pStyle w:val="TextMonsanto"/>
        <w:spacing w:line="480" w:lineRule="auto"/>
        <w:rPr>
          <w:rFonts w:ascii="Times New Roman" w:hAnsi="Times New Roman" w:cs="Times New Roman"/>
          <w:lang w:val="en-GB"/>
        </w:rPr>
      </w:pPr>
    </w:p>
    <w:p w14:paraId="6B4AA336" w14:textId="1C87791F" w:rsidR="000B16AC" w:rsidRPr="008C3716" w:rsidRDefault="000B16AC" w:rsidP="000B16AC">
      <w:pPr>
        <w:pStyle w:val="TextMonsanto"/>
        <w:numPr>
          <w:ilvl w:val="0"/>
          <w:numId w:val="3"/>
        </w:numPr>
        <w:spacing w:line="480" w:lineRule="auto"/>
        <w:rPr>
          <w:rFonts w:ascii="Times New Roman" w:hAnsi="Times New Roman" w:cs="Times New Roman"/>
          <w:lang w:val="en-GB"/>
        </w:rPr>
      </w:pPr>
      <w:r w:rsidRPr="00607D37">
        <w:rPr>
          <w:rFonts w:ascii="Times New Roman" w:hAnsi="Times New Roman" w:cs="Times New Roman"/>
          <w:i/>
          <w:iCs/>
          <w:lang w:val="en-GB"/>
        </w:rPr>
        <w:t xml:space="preserve">Among the different process units, at least the flows (elementary, of matter and/or energy) in input and output to the processes (including for outsourced activities) shown in Table 2.2 of Annex II of the </w:t>
      </w:r>
      <w:proofErr w:type="spellStart"/>
      <w:r w:rsidRPr="00607D37">
        <w:rPr>
          <w:rFonts w:ascii="Times New Roman" w:hAnsi="Times New Roman" w:cs="Times New Roman"/>
          <w:i/>
          <w:iCs/>
          <w:lang w:val="en-GB"/>
        </w:rPr>
        <w:lastRenderedPageBreak/>
        <w:t>Equalitas</w:t>
      </w:r>
      <w:proofErr w:type="spellEnd"/>
      <w:r w:rsidRPr="00607D37">
        <w:rPr>
          <w:rFonts w:ascii="Times New Roman" w:hAnsi="Times New Roman" w:cs="Times New Roman"/>
          <w:i/>
          <w:iCs/>
          <w:lang w:val="en-GB"/>
        </w:rPr>
        <w:t xml:space="preserve"> procedures (reported below) shall be considered</w:t>
      </w:r>
      <w:r w:rsidRPr="008C3716">
        <w:rPr>
          <w:rFonts w:ascii="Times New Roman" w:hAnsi="Times New Roman" w:cs="Times New Roman"/>
          <w:lang w:val="en-GB"/>
        </w:rPr>
        <w:t xml:space="preserve"> </w:t>
      </w:r>
      <w:r w:rsidRPr="008C3716">
        <w:rPr>
          <w:rFonts w:ascii="Times New Roman" w:hAnsi="Times New Roman" w:cs="Times New Roman"/>
          <w:lang w:val="en-GB"/>
        </w:rPr>
        <w:sym w:font="Wingdings" w:char="F0E8"/>
      </w:r>
      <w:r w:rsidRPr="008C3716">
        <w:rPr>
          <w:rFonts w:ascii="Times New Roman" w:hAnsi="Times New Roman" w:cs="Times New Roman"/>
          <w:lang w:val="en-GB"/>
        </w:rPr>
        <w:t xml:space="preserve"> all the relevant flows of the LCI were captured (with cut-off of 1%) and the </w:t>
      </w:r>
      <w:proofErr w:type="spellStart"/>
      <w:r w:rsidRPr="008C3716">
        <w:rPr>
          <w:rFonts w:ascii="Times New Roman" w:hAnsi="Times New Roman" w:cs="Times New Roman"/>
          <w:lang w:val="en-GB"/>
        </w:rPr>
        <w:t>Equalitas</w:t>
      </w:r>
      <w:proofErr w:type="spellEnd"/>
      <w:r w:rsidRPr="008C3716">
        <w:rPr>
          <w:rFonts w:ascii="Times New Roman" w:hAnsi="Times New Roman" w:cs="Times New Roman"/>
          <w:lang w:val="en-GB"/>
        </w:rPr>
        <w:t xml:space="preserve"> standard’s implementation regulation was strictly followed where possible, thus referring the data to the plots involved, the grapes processed from these plots, and the wine obtained from them and subsequently bottled. Only the data about evapotranspiration processes were not considered. This can be part of a follow-up research activity.</w:t>
      </w:r>
    </w:p>
    <w:p w14:paraId="29645138" w14:textId="77777777" w:rsidR="000B16AC" w:rsidRPr="008C3716" w:rsidRDefault="000B16AC" w:rsidP="000B16AC">
      <w:pPr>
        <w:pStyle w:val="TextMonsanto"/>
        <w:spacing w:line="480" w:lineRule="auto"/>
        <w:rPr>
          <w:rFonts w:ascii="Times New Roman" w:hAnsi="Times New Roman" w:cs="Times New Roman"/>
          <w:lang w:val="en-GB"/>
        </w:rPr>
      </w:pPr>
    </w:p>
    <w:p w14:paraId="5EDF69EA" w14:textId="6242F3B3" w:rsidR="000B16AC" w:rsidRPr="008C3716" w:rsidRDefault="000B16AC" w:rsidP="00607D37">
      <w:pPr>
        <w:pStyle w:val="TextMonsanto"/>
        <w:spacing w:line="480" w:lineRule="auto"/>
        <w:jc w:val="center"/>
        <w:rPr>
          <w:rFonts w:ascii="Times New Roman" w:hAnsi="Times New Roman" w:cs="Times New Roman"/>
          <w:lang w:val="en-GB"/>
        </w:rPr>
      </w:pPr>
      <w:r w:rsidRPr="008C3716">
        <w:rPr>
          <w:rFonts w:ascii="Times New Roman" w:hAnsi="Times New Roman" w:cs="Times New Roman"/>
          <w:noProof/>
          <w:lang w:val="en-GB"/>
        </w:rPr>
        <mc:AlternateContent>
          <mc:Choice Requires="wps">
            <w:drawing>
              <wp:anchor distT="0" distB="0" distL="114300" distR="114300" simplePos="0" relativeHeight="251659264" behindDoc="0" locked="0" layoutInCell="1" allowOverlap="1" wp14:anchorId="35470393" wp14:editId="0C7F842F">
                <wp:simplePos x="0" y="0"/>
                <wp:positionH relativeFrom="column">
                  <wp:posOffset>-2540</wp:posOffset>
                </wp:positionH>
                <wp:positionV relativeFrom="paragraph">
                  <wp:posOffset>311151</wp:posOffset>
                </wp:positionV>
                <wp:extent cx="6120000" cy="5961380"/>
                <wp:effectExtent l="0" t="0" r="14605" b="20320"/>
                <wp:wrapNone/>
                <wp:docPr id="353520486" name="Rectangle 5"/>
                <wp:cNvGraphicFramePr/>
                <a:graphic xmlns:a="http://schemas.openxmlformats.org/drawingml/2006/main">
                  <a:graphicData uri="http://schemas.microsoft.com/office/word/2010/wordprocessingShape">
                    <wps:wsp>
                      <wps:cNvSpPr/>
                      <wps:spPr>
                        <a:xfrm>
                          <a:off x="0" y="0"/>
                          <a:ext cx="6120000" cy="596138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862DD6" id="Rectangle 5" o:spid="_x0000_s1026" style="position:absolute;margin-left:-.2pt;margin-top:24.5pt;width:481.9pt;height:469.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" filled="f" strokecolor="#09101d [484]" strokeweight="1.5pt"/>
            </w:pict>
          </mc:Fallback>
        </mc:AlternateContent>
      </w:r>
      <w:r w:rsidRPr="008C3716">
        <w:rPr>
          <w:rFonts w:ascii="Times New Roman" w:hAnsi="Times New Roman" w:cs="Times New Roman"/>
          <w:lang w:val="en-GB"/>
        </w:rPr>
        <w:t>(</w:t>
      </w:r>
      <w:r w:rsidRPr="008C3716">
        <w:rPr>
          <w:rFonts w:ascii="Times New Roman" w:hAnsi="Times New Roman" w:cs="Times New Roman"/>
          <w:i/>
          <w:iCs/>
          <w:lang w:val="en-GB"/>
        </w:rPr>
        <w:t>source of the image:</w:t>
      </w:r>
      <w:r w:rsidRPr="008C3716">
        <w:rPr>
          <w:rFonts w:ascii="Times New Roman" w:hAnsi="Times New Roman" w:cs="Times New Roman"/>
          <w:lang w:val="en-GB"/>
        </w:rPr>
        <w:t xml:space="preserve"> Annex II, </w:t>
      </w:r>
      <w:proofErr w:type="spellStart"/>
      <w:r w:rsidRPr="008C3716">
        <w:rPr>
          <w:rFonts w:ascii="Times New Roman" w:hAnsi="Times New Roman" w:cs="Times New Roman"/>
          <w:lang w:val="en-GB"/>
        </w:rPr>
        <w:t>Equalitas</w:t>
      </w:r>
      <w:proofErr w:type="spellEnd"/>
      <w:r w:rsidRPr="008C3716">
        <w:rPr>
          <w:rFonts w:ascii="Times New Roman" w:hAnsi="Times New Roman" w:cs="Times New Roman"/>
          <w:lang w:val="en-GB"/>
        </w:rPr>
        <w:t xml:space="preserve"> guidelines</w:t>
      </w:r>
      <w:r w:rsidR="00607D37">
        <w:rPr>
          <w:rFonts w:ascii="Times New Roman" w:hAnsi="Times New Roman" w:cs="Times New Roman"/>
          <w:lang w:val="en-GB"/>
        </w:rPr>
        <w:t xml:space="preserve"> released in 2021</w:t>
      </w:r>
      <w:r w:rsidRPr="008C3716">
        <w:rPr>
          <w:rFonts w:ascii="Times New Roman" w:hAnsi="Times New Roman" w:cs="Times New Roman"/>
          <w:lang w:val="en-GB"/>
        </w:rPr>
        <w:t>)</w:t>
      </w:r>
    </w:p>
    <w:p w14:paraId="3BEF2D72" w14:textId="77777777" w:rsidR="000B16AC" w:rsidRPr="008C3716" w:rsidRDefault="000B16AC" w:rsidP="00607D37">
      <w:pPr>
        <w:pStyle w:val="TextMonsanto"/>
        <w:spacing w:line="240" w:lineRule="auto"/>
        <w:jc w:val="center"/>
        <w:rPr>
          <w:rFonts w:ascii="Times New Roman" w:hAnsi="Times New Roman" w:cs="Times New Roman"/>
          <w:lang w:val="en-GB"/>
        </w:rPr>
      </w:pPr>
      <w:r w:rsidRPr="008C3716">
        <w:rPr>
          <w:rFonts w:ascii="Times New Roman" w:hAnsi="Times New Roman" w:cs="Times New Roman"/>
          <w:noProof/>
          <w:lang w:val="en-GB"/>
        </w:rPr>
        <w:drawing>
          <wp:inline distT="0" distB="0" distL="0" distR="0" wp14:anchorId="2217C018" wp14:editId="49A9FB7E">
            <wp:extent cx="6120000" cy="3420000"/>
            <wp:effectExtent l="0" t="0" r="0" b="9525"/>
            <wp:docPr id="15" name="immagini3" descr="Table&#10;&#10;Description automatically generated"/>
            <wp:cNvGraphicFramePr/>
            <a:graphic xmlns:a="http://schemas.openxmlformats.org/drawingml/2006/main">
              <a:graphicData uri="http://schemas.openxmlformats.org/drawingml/2006/picture">
                <pic:pic xmlns:pic="http://schemas.openxmlformats.org/drawingml/2006/picture">
                  <pic:nvPicPr>
                    <pic:cNvPr id="15" name="immagini3" descr="Table&#10;&#10;Description automatically generated"/>
                    <pic:cNvPicPr/>
                  </pic:nvPicPr>
                  <pic:blipFill rotWithShape="1">
                    <a:blip r:embed="rId13" cstate="print">
                      <a:lum/>
                      <a:alphaModFix/>
                      <a:extLst>
                        <a:ext uri="{28A0092B-C50C-407E-A947-70E740481C1C}">
                          <a14:useLocalDpi xmlns:a14="http://schemas.microsoft.com/office/drawing/2010/main" val="0"/>
                        </a:ext>
                      </a:extLst>
                    </a:blip>
                    <a:srcRect l="311"/>
                    <a:stretch/>
                  </pic:blipFill>
                  <pic:spPr bwMode="auto">
                    <a:xfrm>
                      <a:off x="0" y="0"/>
                      <a:ext cx="6120000" cy="3420000"/>
                    </a:xfrm>
                    <a:prstGeom prst="rect">
                      <a:avLst/>
                    </a:prstGeom>
                    <a:ln>
                      <a:noFill/>
                    </a:ln>
                    <a:extLst>
                      <a:ext uri="{53640926-AAD7-44D8-BBD7-CCE9431645EC}">
                        <a14:shadowObscured xmlns:a14="http://schemas.microsoft.com/office/drawing/2010/main"/>
                      </a:ext>
                    </a:extLst>
                  </pic:spPr>
                </pic:pic>
              </a:graphicData>
            </a:graphic>
          </wp:inline>
        </w:drawing>
      </w:r>
    </w:p>
    <w:p w14:paraId="61AF366B" w14:textId="77777777" w:rsidR="000B16AC" w:rsidRPr="008C3716" w:rsidRDefault="000B16AC" w:rsidP="00607D37">
      <w:pPr>
        <w:pStyle w:val="TextMonsanto"/>
        <w:spacing w:line="240" w:lineRule="auto"/>
        <w:jc w:val="center"/>
        <w:rPr>
          <w:rFonts w:ascii="Times New Roman" w:hAnsi="Times New Roman" w:cs="Times New Roman"/>
          <w:lang w:val="en-GB"/>
        </w:rPr>
      </w:pPr>
      <w:r w:rsidRPr="008C3716">
        <w:rPr>
          <w:rFonts w:ascii="Times New Roman" w:hAnsi="Times New Roman" w:cs="Times New Roman"/>
          <w:noProof/>
          <w:lang w:val="en-GB"/>
        </w:rPr>
        <w:drawing>
          <wp:inline distT="0" distB="0" distL="0" distR="0" wp14:anchorId="6DAFC08A" wp14:editId="229F05B0">
            <wp:extent cx="6120000" cy="2520000"/>
            <wp:effectExtent l="0" t="0" r="0" b="0"/>
            <wp:docPr id="16" name="immagini4" descr="Graphical user interface, text, application, email&#10;&#10;Description automatically generated"/>
            <wp:cNvGraphicFramePr/>
            <a:graphic xmlns:a="http://schemas.openxmlformats.org/drawingml/2006/main">
              <a:graphicData uri="http://schemas.openxmlformats.org/drawingml/2006/picture">
                <pic:pic xmlns:pic="http://schemas.openxmlformats.org/drawingml/2006/picture">
                  <pic:nvPicPr>
                    <pic:cNvPr id="16" name="immagini4" descr="Graphical user interface, text, application, email&#10;&#10;Description automatically generated"/>
                    <pic:cNvPicPr/>
                  </pic:nvPicPr>
                  <pic:blipFill rotWithShape="1">
                    <a:blip r:embed="rId14" cstate="print">
                      <a:lum/>
                      <a:alphaModFix/>
                      <a:extLst>
                        <a:ext uri="{28A0092B-C50C-407E-A947-70E740481C1C}">
                          <a14:useLocalDpi xmlns:a14="http://schemas.microsoft.com/office/drawing/2010/main" val="0"/>
                        </a:ext>
                      </a:extLst>
                    </a:blip>
                    <a:srcRect t="5649"/>
                    <a:stretch/>
                  </pic:blipFill>
                  <pic:spPr bwMode="auto">
                    <a:xfrm>
                      <a:off x="0" y="0"/>
                      <a:ext cx="6120000" cy="2520000"/>
                    </a:xfrm>
                    <a:prstGeom prst="rect">
                      <a:avLst/>
                    </a:prstGeom>
                    <a:ln>
                      <a:noFill/>
                    </a:ln>
                    <a:extLst>
                      <a:ext uri="{53640926-AAD7-44D8-BBD7-CCE9431645EC}">
                        <a14:shadowObscured xmlns:a14="http://schemas.microsoft.com/office/drawing/2010/main"/>
                      </a:ext>
                    </a:extLst>
                  </pic:spPr>
                </pic:pic>
              </a:graphicData>
            </a:graphic>
          </wp:inline>
        </w:drawing>
      </w:r>
    </w:p>
    <w:p w14:paraId="2A463CD3" w14:textId="77777777" w:rsidR="00607D37" w:rsidRDefault="00607D37" w:rsidP="00607D37">
      <w:pPr>
        <w:pStyle w:val="TextMonsanto"/>
        <w:spacing w:line="480" w:lineRule="auto"/>
        <w:jc w:val="center"/>
        <w:rPr>
          <w:rFonts w:ascii="Times New Roman" w:hAnsi="Times New Roman" w:cs="Times New Roman"/>
          <w:lang w:val="en-GB"/>
        </w:rPr>
        <w:sectPr w:rsidR="00607D37" w:rsidSect="00A02F82">
          <w:pgSz w:w="11906" w:h="16838" w:code="9"/>
          <w:pgMar w:top="1134" w:right="1134" w:bottom="1134" w:left="1134" w:header="709" w:footer="709" w:gutter="0"/>
          <w:lnNumType w:countBy="1" w:restart="continuous"/>
          <w:cols w:space="708"/>
          <w:docGrid w:linePitch="360"/>
        </w:sectPr>
      </w:pPr>
    </w:p>
    <w:p w14:paraId="18D4D2EF" w14:textId="1139543D" w:rsidR="000B16AC" w:rsidRPr="008D6EFE" w:rsidRDefault="008D6EFE" w:rsidP="00607D37">
      <w:pPr>
        <w:pStyle w:val="Heading3Arillo"/>
        <w:rPr>
          <w:lang w:val="en-GB"/>
        </w:rPr>
      </w:pPr>
      <w:bookmarkStart w:id="4" w:name="_Toc176516328"/>
      <w:r w:rsidRPr="008D6EFE">
        <w:rPr>
          <w:lang w:val="en-GB"/>
        </w:rPr>
        <w:lastRenderedPageBreak/>
        <w:t>S</w:t>
      </w:r>
      <w:r w:rsidR="00C2563C">
        <w:rPr>
          <w:lang w:val="en-GB"/>
        </w:rPr>
        <w:t>3</w:t>
      </w:r>
      <w:r>
        <w:rPr>
          <w:lang w:val="en-GB"/>
        </w:rPr>
        <w:t xml:space="preserve">.3 </w:t>
      </w:r>
      <w:r w:rsidR="000B16AC" w:rsidRPr="008D6EFE">
        <w:rPr>
          <w:lang w:val="en-GB"/>
        </w:rPr>
        <w:t xml:space="preserve">Adjustment of the functional and reporting units to the </w:t>
      </w:r>
      <w:proofErr w:type="spellStart"/>
      <w:r w:rsidR="000B16AC" w:rsidRPr="008D6EFE">
        <w:rPr>
          <w:lang w:val="en-GB"/>
        </w:rPr>
        <w:t>Equalitas</w:t>
      </w:r>
      <w:proofErr w:type="spellEnd"/>
      <w:r w:rsidR="000B16AC" w:rsidRPr="008D6EFE">
        <w:rPr>
          <w:lang w:val="en-GB"/>
        </w:rPr>
        <w:t xml:space="preserve"> procedures</w:t>
      </w:r>
      <w:bookmarkEnd w:id="4"/>
    </w:p>
    <w:p w14:paraId="37ACDC9D" w14:textId="0C4CE15A" w:rsidR="000B16AC" w:rsidRPr="008C3716" w:rsidRDefault="000B16AC" w:rsidP="000B16AC">
      <w:pPr>
        <w:pStyle w:val="TextMonsanto"/>
        <w:spacing w:line="480" w:lineRule="auto"/>
        <w:rPr>
          <w:rFonts w:ascii="Times New Roman" w:hAnsi="Times New Roman" w:cs="Times New Roman"/>
          <w:lang w:val="en-GB"/>
        </w:rPr>
      </w:pPr>
      <w:r w:rsidRPr="008C3716">
        <w:rPr>
          <w:rFonts w:ascii="Times New Roman" w:hAnsi="Times New Roman" w:cs="Times New Roman"/>
          <w:lang w:val="en-GB"/>
        </w:rPr>
        <w:t xml:space="preserve">In accordance with the regulation of the </w:t>
      </w:r>
      <w:proofErr w:type="spellStart"/>
      <w:r w:rsidRPr="008C3716">
        <w:rPr>
          <w:rFonts w:ascii="Times New Roman" w:hAnsi="Times New Roman" w:cs="Times New Roman"/>
          <w:lang w:val="en-GB"/>
        </w:rPr>
        <w:t>Equalitas</w:t>
      </w:r>
      <w:proofErr w:type="spellEnd"/>
      <w:r w:rsidRPr="008C3716">
        <w:rPr>
          <w:rFonts w:ascii="Times New Roman" w:hAnsi="Times New Roman" w:cs="Times New Roman"/>
          <w:lang w:val="en-GB"/>
        </w:rPr>
        <w:t xml:space="preserve"> standard, the Carbon Footprint and Water Footprint values were referred to the three functional units (or reference flows) as shown in Table </w:t>
      </w:r>
      <w:r w:rsidR="00607D37">
        <w:rPr>
          <w:rFonts w:ascii="Times New Roman" w:hAnsi="Times New Roman" w:cs="Times New Roman"/>
          <w:lang w:val="en-GB"/>
        </w:rPr>
        <w:t>S</w:t>
      </w:r>
      <w:r w:rsidRPr="008C3716">
        <w:rPr>
          <w:rFonts w:ascii="Times New Roman" w:hAnsi="Times New Roman" w:cs="Times New Roman"/>
          <w:lang w:val="en-GB"/>
        </w:rPr>
        <w:t xml:space="preserve">3 (taken from Annex II of the </w:t>
      </w:r>
      <w:proofErr w:type="spellStart"/>
      <w:r w:rsidRPr="008C3716">
        <w:rPr>
          <w:rFonts w:ascii="Times New Roman" w:hAnsi="Times New Roman" w:cs="Times New Roman"/>
          <w:lang w:val="en-GB"/>
        </w:rPr>
        <w:t>Equalitas</w:t>
      </w:r>
      <w:proofErr w:type="spellEnd"/>
      <w:r w:rsidRPr="008C3716">
        <w:rPr>
          <w:rFonts w:ascii="Times New Roman" w:hAnsi="Times New Roman" w:cs="Times New Roman"/>
          <w:lang w:val="en-GB"/>
        </w:rPr>
        <w:t xml:space="preserve"> standard application regulation</w:t>
      </w:r>
      <w:r w:rsidR="00607D37">
        <w:rPr>
          <w:rFonts w:ascii="Times New Roman" w:hAnsi="Times New Roman" w:cs="Times New Roman"/>
          <w:lang w:val="en-GB"/>
        </w:rPr>
        <w:t xml:space="preserve"> released in 2021</w:t>
      </w:r>
      <w:r w:rsidRPr="008C3716">
        <w:rPr>
          <w:rFonts w:ascii="Times New Roman" w:hAnsi="Times New Roman" w:cs="Times New Roman"/>
          <w:lang w:val="en-GB"/>
        </w:rPr>
        <w:t xml:space="preserve">). This allowed a preliminary comparison with LCA literature data and suggested how to position the environmental profile of </w:t>
      </w:r>
      <w:proofErr w:type="spellStart"/>
      <w:r w:rsidRPr="008C3716">
        <w:rPr>
          <w:rFonts w:ascii="Times New Roman" w:hAnsi="Times New Roman" w:cs="Times New Roman"/>
          <w:lang w:val="en-GB"/>
        </w:rPr>
        <w:t>Arillo</w:t>
      </w:r>
      <w:proofErr w:type="spellEnd"/>
      <w:r w:rsidRPr="008C3716">
        <w:rPr>
          <w:rFonts w:ascii="Times New Roman" w:hAnsi="Times New Roman" w:cs="Times New Roman"/>
          <w:lang w:val="en-GB"/>
        </w:rPr>
        <w:t xml:space="preserve"> in </w:t>
      </w:r>
      <w:proofErr w:type="spellStart"/>
      <w:r w:rsidRPr="008C3716">
        <w:rPr>
          <w:rFonts w:ascii="Times New Roman" w:hAnsi="Times New Roman" w:cs="Times New Roman"/>
          <w:lang w:val="en-GB"/>
        </w:rPr>
        <w:t>Terrabianca’s</w:t>
      </w:r>
      <w:proofErr w:type="spellEnd"/>
      <w:r w:rsidRPr="008C3716">
        <w:rPr>
          <w:rFonts w:ascii="Times New Roman" w:hAnsi="Times New Roman" w:cs="Times New Roman"/>
          <w:lang w:val="en-GB"/>
        </w:rPr>
        <w:t xml:space="preserve"> wines in the context of wine Footprint values in Italy.</w:t>
      </w:r>
    </w:p>
    <w:p w14:paraId="53CD6172" w14:textId="77777777" w:rsidR="000B16AC" w:rsidRDefault="000B16AC" w:rsidP="000B16AC">
      <w:pPr>
        <w:pStyle w:val="TextMonsanto"/>
        <w:spacing w:line="480" w:lineRule="auto"/>
        <w:rPr>
          <w:rFonts w:ascii="Times New Roman" w:hAnsi="Times New Roman" w:cs="Times New Roman"/>
          <w:lang w:val="en-GB"/>
        </w:rPr>
      </w:pPr>
      <w:r w:rsidRPr="008C3716">
        <w:rPr>
          <w:rFonts w:ascii="Times New Roman" w:hAnsi="Times New Roman" w:cs="Times New Roman"/>
          <w:lang w:val="en-GB"/>
        </w:rPr>
        <w:t xml:space="preserve">Since multiple agricultural activities are conducted by </w:t>
      </w:r>
      <w:proofErr w:type="spellStart"/>
      <w:r w:rsidRPr="008C3716">
        <w:rPr>
          <w:rFonts w:ascii="Times New Roman" w:hAnsi="Times New Roman" w:cs="Times New Roman"/>
          <w:lang w:val="en-GB"/>
        </w:rPr>
        <w:t>AriTer</w:t>
      </w:r>
      <w:proofErr w:type="spellEnd"/>
      <w:r w:rsidRPr="008C3716">
        <w:rPr>
          <w:rFonts w:ascii="Times New Roman" w:hAnsi="Times New Roman" w:cs="Times New Roman"/>
          <w:lang w:val="en-GB"/>
        </w:rPr>
        <w:t>, especially in Site C, the final AriTer’s Footprint values were calculated by applying at the inventory stage a set of causal allocation factors (ranging between 70% to 100% regarding the main products, that is grape and wine) to each input flow.</w:t>
      </w:r>
    </w:p>
    <w:p w14:paraId="409251A1" w14:textId="77777777" w:rsidR="00AB5E01" w:rsidRPr="008C3716" w:rsidRDefault="00AB5E01" w:rsidP="000B16AC">
      <w:pPr>
        <w:pStyle w:val="TextMonsanto"/>
        <w:spacing w:line="480" w:lineRule="auto"/>
        <w:rPr>
          <w:rFonts w:ascii="Times New Roman" w:hAnsi="Times New Roman" w:cs="Times New Roman"/>
          <w:lang w:val="en-GB"/>
        </w:rPr>
      </w:pPr>
    </w:p>
    <w:p w14:paraId="358A660A" w14:textId="5D3920FF" w:rsidR="000B16AC" w:rsidRPr="00607D37" w:rsidRDefault="000B16AC" w:rsidP="00607D37">
      <w:pPr>
        <w:pStyle w:val="TextMonsanto"/>
        <w:spacing w:line="480" w:lineRule="auto"/>
        <w:jc w:val="center"/>
        <w:rPr>
          <w:rFonts w:ascii="Times New Roman" w:hAnsi="Times New Roman" w:cs="Times New Roman"/>
          <w:sz w:val="20"/>
          <w:szCs w:val="20"/>
          <w:lang w:val="en-GB"/>
        </w:rPr>
      </w:pPr>
      <w:r w:rsidRPr="00607D37">
        <w:rPr>
          <w:rFonts w:ascii="Times New Roman" w:hAnsi="Times New Roman" w:cs="Times New Roman"/>
          <w:b/>
          <w:bCs/>
          <w:sz w:val="20"/>
          <w:szCs w:val="20"/>
          <w:lang w:val="en-GB"/>
        </w:rPr>
        <w:t xml:space="preserve">Table </w:t>
      </w:r>
      <w:r w:rsidR="00AB5E01">
        <w:rPr>
          <w:rFonts w:ascii="Times New Roman" w:hAnsi="Times New Roman" w:cs="Times New Roman"/>
          <w:b/>
          <w:bCs/>
          <w:sz w:val="20"/>
          <w:szCs w:val="20"/>
          <w:lang w:val="en-GB"/>
        </w:rPr>
        <w:t>S</w:t>
      </w:r>
      <w:r w:rsidRPr="00607D37">
        <w:rPr>
          <w:rFonts w:ascii="Times New Roman" w:hAnsi="Times New Roman" w:cs="Times New Roman"/>
          <w:b/>
          <w:bCs/>
          <w:sz w:val="20"/>
          <w:szCs w:val="20"/>
          <w:lang w:val="en-GB"/>
        </w:rPr>
        <w:t xml:space="preserve">3 </w:t>
      </w:r>
      <w:proofErr w:type="spellStart"/>
      <w:r w:rsidRPr="00607D37">
        <w:rPr>
          <w:rFonts w:ascii="Times New Roman" w:hAnsi="Times New Roman" w:cs="Times New Roman"/>
          <w:sz w:val="20"/>
          <w:szCs w:val="20"/>
          <w:lang w:val="en-GB"/>
        </w:rPr>
        <w:t>AriTer</w:t>
      </w:r>
      <w:proofErr w:type="spellEnd"/>
      <w:r w:rsidRPr="00607D37">
        <w:rPr>
          <w:rFonts w:ascii="Times New Roman" w:hAnsi="Times New Roman" w:cs="Times New Roman"/>
          <w:sz w:val="20"/>
          <w:szCs w:val="20"/>
          <w:lang w:val="en-GB"/>
        </w:rPr>
        <w:t xml:space="preserve"> Carbon and Water Footprint data reporting following the </w:t>
      </w:r>
      <w:proofErr w:type="spellStart"/>
      <w:r w:rsidRPr="00607D37">
        <w:rPr>
          <w:rFonts w:ascii="Times New Roman" w:hAnsi="Times New Roman" w:cs="Times New Roman"/>
          <w:sz w:val="20"/>
          <w:szCs w:val="20"/>
          <w:lang w:val="en-GB"/>
        </w:rPr>
        <w:t>Equalitas</w:t>
      </w:r>
      <w:proofErr w:type="spellEnd"/>
      <w:r w:rsidRPr="00607D37">
        <w:rPr>
          <w:rFonts w:ascii="Times New Roman" w:hAnsi="Times New Roman" w:cs="Times New Roman"/>
          <w:sz w:val="20"/>
          <w:szCs w:val="20"/>
          <w:lang w:val="en-GB"/>
        </w:rPr>
        <w:t xml:space="preserve"> procedures.</w:t>
      </w:r>
    </w:p>
    <w:tbl>
      <w:tblPr>
        <w:tblW w:w="4858" w:type="pct"/>
        <w:jc w:val="center"/>
        <w:tblCellMar>
          <w:left w:w="10" w:type="dxa"/>
          <w:right w:w="10" w:type="dxa"/>
        </w:tblCellMar>
        <w:tblLook w:val="0000" w:firstRow="0" w:lastRow="0" w:firstColumn="0" w:lastColumn="0" w:noHBand="0" w:noVBand="0"/>
      </w:tblPr>
      <w:tblGrid>
        <w:gridCol w:w="1565"/>
        <w:gridCol w:w="4112"/>
        <w:gridCol w:w="3681"/>
      </w:tblGrid>
      <w:tr w:rsidR="000B16AC" w:rsidRPr="00607D37" w14:paraId="78DDEE3B" w14:textId="77777777" w:rsidTr="00A334E5">
        <w:trPr>
          <w:jc w:val="center"/>
        </w:trPr>
        <w:tc>
          <w:tcPr>
            <w:tcW w:w="836" w:type="pct"/>
            <w:tcBorders>
              <w:top w:val="single" w:sz="2" w:space="0" w:color="000000"/>
              <w:left w:val="single" w:sz="2" w:space="0" w:color="000000"/>
              <w:bottom w:val="single" w:sz="2" w:space="0" w:color="000000"/>
            </w:tcBorders>
            <w:shd w:val="clear" w:color="auto" w:fill="C5E0B3" w:themeFill="accent6" w:themeFillTint="66"/>
            <w:tcMar>
              <w:top w:w="55" w:type="dxa"/>
              <w:left w:w="55" w:type="dxa"/>
              <w:bottom w:w="55" w:type="dxa"/>
              <w:right w:w="55" w:type="dxa"/>
            </w:tcMar>
            <w:vAlign w:val="center"/>
          </w:tcPr>
          <w:p w14:paraId="1979696C" w14:textId="77777777" w:rsidR="000B16AC" w:rsidRPr="00607D37" w:rsidRDefault="000B16AC" w:rsidP="00607D37">
            <w:pPr>
              <w:pStyle w:val="TextMonsanto"/>
              <w:spacing w:line="240" w:lineRule="auto"/>
              <w:jc w:val="center"/>
              <w:rPr>
                <w:rFonts w:ascii="Times New Roman" w:hAnsi="Times New Roman" w:cs="Times New Roman"/>
                <w:b/>
                <w:bCs/>
                <w:sz w:val="20"/>
                <w:szCs w:val="20"/>
                <w:lang w:val="en-GB"/>
              </w:rPr>
            </w:pPr>
            <w:r w:rsidRPr="00607D37">
              <w:rPr>
                <w:rFonts w:ascii="Times New Roman" w:hAnsi="Times New Roman" w:cs="Times New Roman"/>
                <w:b/>
                <w:bCs/>
                <w:sz w:val="20"/>
                <w:szCs w:val="20"/>
                <w:lang w:val="en-GB"/>
              </w:rPr>
              <w:t>Area</w:t>
            </w:r>
          </w:p>
        </w:tc>
        <w:tc>
          <w:tcPr>
            <w:tcW w:w="2197" w:type="pct"/>
            <w:tcBorders>
              <w:top w:val="single" w:sz="2" w:space="0" w:color="000000"/>
              <w:left w:val="single" w:sz="2" w:space="0" w:color="000000"/>
              <w:bottom w:val="single" w:sz="2" w:space="0" w:color="000000"/>
            </w:tcBorders>
            <w:shd w:val="clear" w:color="auto" w:fill="C5E0B3" w:themeFill="accent6" w:themeFillTint="66"/>
          </w:tcPr>
          <w:p w14:paraId="61CE1B44" w14:textId="77777777" w:rsidR="000B16AC" w:rsidRPr="00607D37" w:rsidRDefault="000B16AC" w:rsidP="00607D37">
            <w:pPr>
              <w:pStyle w:val="TextMonsanto"/>
              <w:spacing w:line="240" w:lineRule="auto"/>
              <w:jc w:val="center"/>
              <w:rPr>
                <w:rFonts w:ascii="Times New Roman" w:hAnsi="Times New Roman" w:cs="Times New Roman"/>
                <w:b/>
                <w:bCs/>
                <w:sz w:val="20"/>
                <w:szCs w:val="20"/>
                <w:lang w:val="en-GB"/>
              </w:rPr>
            </w:pPr>
            <w:r w:rsidRPr="00607D37">
              <w:rPr>
                <w:rFonts w:ascii="Times New Roman" w:hAnsi="Times New Roman" w:cs="Times New Roman"/>
                <w:b/>
                <w:bCs/>
                <w:sz w:val="20"/>
                <w:szCs w:val="20"/>
                <w:lang w:val="en-GB"/>
              </w:rPr>
              <w:t>Reference flow</w:t>
            </w:r>
          </w:p>
        </w:tc>
        <w:tc>
          <w:tcPr>
            <w:tcW w:w="1967" w:type="pct"/>
            <w:tcBorders>
              <w:top w:val="single" w:sz="2" w:space="0" w:color="000000"/>
              <w:left w:val="single" w:sz="2" w:space="0" w:color="000000"/>
              <w:bottom w:val="single" w:sz="2" w:space="0" w:color="000000"/>
              <w:right w:val="single" w:sz="2" w:space="0" w:color="000000"/>
            </w:tcBorders>
            <w:shd w:val="clear" w:color="auto" w:fill="C5E0B3" w:themeFill="accent6" w:themeFillTint="66"/>
            <w:tcMar>
              <w:top w:w="55" w:type="dxa"/>
              <w:left w:w="55" w:type="dxa"/>
              <w:bottom w:w="55" w:type="dxa"/>
              <w:right w:w="55" w:type="dxa"/>
            </w:tcMar>
            <w:vAlign w:val="center"/>
          </w:tcPr>
          <w:p w14:paraId="3AF8E109" w14:textId="77777777" w:rsidR="000B16AC" w:rsidRPr="00607D37" w:rsidRDefault="000B16AC" w:rsidP="00607D37">
            <w:pPr>
              <w:pStyle w:val="TextMonsanto"/>
              <w:spacing w:line="240" w:lineRule="auto"/>
              <w:jc w:val="center"/>
              <w:rPr>
                <w:rFonts w:ascii="Times New Roman" w:hAnsi="Times New Roman" w:cs="Times New Roman"/>
                <w:b/>
                <w:bCs/>
                <w:sz w:val="20"/>
                <w:szCs w:val="20"/>
                <w:lang w:val="en-GB"/>
              </w:rPr>
            </w:pPr>
            <w:r w:rsidRPr="00607D37">
              <w:rPr>
                <w:rFonts w:ascii="Times New Roman" w:hAnsi="Times New Roman" w:cs="Times New Roman"/>
                <w:b/>
                <w:bCs/>
                <w:sz w:val="20"/>
                <w:szCs w:val="20"/>
                <w:lang w:val="en-GB"/>
              </w:rPr>
              <w:t>Product index</w:t>
            </w:r>
          </w:p>
        </w:tc>
      </w:tr>
      <w:tr w:rsidR="000B16AC" w:rsidRPr="00607D37" w14:paraId="1334DB19" w14:textId="77777777" w:rsidTr="00A334E5">
        <w:trPr>
          <w:jc w:val="center"/>
        </w:trPr>
        <w:tc>
          <w:tcPr>
            <w:tcW w:w="836" w:type="pct"/>
            <w:tcBorders>
              <w:left w:val="single" w:sz="2" w:space="0" w:color="000000"/>
              <w:bottom w:val="single" w:sz="2" w:space="0" w:color="000000"/>
            </w:tcBorders>
            <w:tcMar>
              <w:top w:w="55" w:type="dxa"/>
              <w:left w:w="55" w:type="dxa"/>
              <w:bottom w:w="55" w:type="dxa"/>
              <w:right w:w="55" w:type="dxa"/>
            </w:tcMar>
            <w:vAlign w:val="center"/>
          </w:tcPr>
          <w:p w14:paraId="75095713" w14:textId="77777777" w:rsidR="000B16AC" w:rsidRPr="00607D37" w:rsidRDefault="000B16AC" w:rsidP="00607D37">
            <w:pPr>
              <w:pStyle w:val="TextMonsanto"/>
              <w:spacing w:line="240" w:lineRule="auto"/>
              <w:jc w:val="center"/>
              <w:rPr>
                <w:rFonts w:ascii="Times New Roman" w:hAnsi="Times New Roman" w:cs="Times New Roman"/>
                <w:sz w:val="20"/>
                <w:szCs w:val="20"/>
                <w:lang w:val="en-GB"/>
              </w:rPr>
            </w:pPr>
            <w:r w:rsidRPr="00607D37">
              <w:rPr>
                <w:rFonts w:ascii="Times New Roman" w:hAnsi="Times New Roman" w:cs="Times New Roman"/>
                <w:sz w:val="20"/>
                <w:szCs w:val="20"/>
                <w:lang w:val="en-GB"/>
              </w:rPr>
              <w:t>Farm</w:t>
            </w:r>
          </w:p>
        </w:tc>
        <w:tc>
          <w:tcPr>
            <w:tcW w:w="2197" w:type="pct"/>
            <w:tcBorders>
              <w:left w:val="single" w:sz="2" w:space="0" w:color="000000"/>
              <w:bottom w:val="single" w:sz="2" w:space="0" w:color="000000"/>
            </w:tcBorders>
          </w:tcPr>
          <w:p w14:paraId="025E67AC" w14:textId="77777777" w:rsidR="000B16AC" w:rsidRPr="00607D37" w:rsidRDefault="000B16AC" w:rsidP="00607D37">
            <w:pPr>
              <w:pStyle w:val="TextMonsanto"/>
              <w:spacing w:line="240" w:lineRule="auto"/>
              <w:jc w:val="center"/>
              <w:rPr>
                <w:rFonts w:ascii="Times New Roman" w:hAnsi="Times New Roman" w:cs="Times New Roman"/>
                <w:sz w:val="20"/>
                <w:szCs w:val="20"/>
                <w:lang w:val="en-GB"/>
              </w:rPr>
            </w:pPr>
            <w:r w:rsidRPr="00607D37">
              <w:rPr>
                <w:rFonts w:ascii="Times New Roman" w:hAnsi="Times New Roman" w:cs="Times New Roman"/>
                <w:sz w:val="20"/>
                <w:szCs w:val="20"/>
                <w:lang w:val="en-GB"/>
              </w:rPr>
              <w:t>Total quintals (q) of harvested grapes, made suitable for processing (and partly for sale)</w:t>
            </w:r>
          </w:p>
        </w:tc>
        <w:tc>
          <w:tcPr>
            <w:tcW w:w="1967" w:type="pct"/>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7ABBD705" w14:textId="77777777" w:rsidR="000B16AC" w:rsidRPr="00607D37" w:rsidRDefault="000B16AC" w:rsidP="00607D37">
            <w:pPr>
              <w:pStyle w:val="TextMonsanto"/>
              <w:spacing w:line="240" w:lineRule="auto"/>
              <w:jc w:val="center"/>
              <w:rPr>
                <w:rFonts w:ascii="Times New Roman" w:hAnsi="Times New Roman" w:cs="Times New Roman"/>
                <w:sz w:val="20"/>
                <w:szCs w:val="20"/>
                <w:lang w:val="en-GB"/>
              </w:rPr>
            </w:pPr>
            <w:r w:rsidRPr="00607D37">
              <w:rPr>
                <w:rFonts w:ascii="Times New Roman" w:hAnsi="Times New Roman" w:cs="Times New Roman"/>
                <w:sz w:val="20"/>
                <w:szCs w:val="20"/>
                <w:lang w:val="en-GB"/>
              </w:rPr>
              <w:t>1 q of grapes harvested and made suitable for processing in the year under review</w:t>
            </w:r>
          </w:p>
        </w:tc>
      </w:tr>
      <w:tr w:rsidR="000B16AC" w:rsidRPr="00607D37" w14:paraId="6C313657" w14:textId="77777777" w:rsidTr="00A334E5">
        <w:trPr>
          <w:jc w:val="center"/>
        </w:trPr>
        <w:tc>
          <w:tcPr>
            <w:tcW w:w="836" w:type="pct"/>
            <w:tcBorders>
              <w:left w:val="single" w:sz="2" w:space="0" w:color="000000"/>
              <w:bottom w:val="single" w:sz="2" w:space="0" w:color="000000"/>
            </w:tcBorders>
            <w:tcMar>
              <w:top w:w="55" w:type="dxa"/>
              <w:left w:w="55" w:type="dxa"/>
              <w:bottom w:w="55" w:type="dxa"/>
              <w:right w:w="55" w:type="dxa"/>
            </w:tcMar>
            <w:vAlign w:val="center"/>
          </w:tcPr>
          <w:p w14:paraId="6DC6176F" w14:textId="77777777" w:rsidR="000B16AC" w:rsidRPr="00607D37" w:rsidRDefault="000B16AC" w:rsidP="00607D37">
            <w:pPr>
              <w:pStyle w:val="TextMonsanto"/>
              <w:spacing w:line="240" w:lineRule="auto"/>
              <w:jc w:val="center"/>
              <w:rPr>
                <w:rFonts w:ascii="Times New Roman" w:hAnsi="Times New Roman" w:cs="Times New Roman"/>
                <w:sz w:val="20"/>
                <w:szCs w:val="20"/>
                <w:lang w:val="en-GB"/>
              </w:rPr>
            </w:pPr>
            <w:r w:rsidRPr="00607D37">
              <w:rPr>
                <w:rFonts w:ascii="Times New Roman" w:hAnsi="Times New Roman" w:cs="Times New Roman"/>
                <w:sz w:val="20"/>
                <w:szCs w:val="20"/>
                <w:lang w:val="en-GB"/>
              </w:rPr>
              <w:t>Winery</w:t>
            </w:r>
          </w:p>
        </w:tc>
        <w:tc>
          <w:tcPr>
            <w:tcW w:w="2197" w:type="pct"/>
            <w:tcBorders>
              <w:left w:val="single" w:sz="2" w:space="0" w:color="000000"/>
              <w:bottom w:val="single" w:sz="2" w:space="0" w:color="000000"/>
            </w:tcBorders>
          </w:tcPr>
          <w:p w14:paraId="637DF6DB" w14:textId="77777777" w:rsidR="000B16AC" w:rsidRPr="00607D37" w:rsidRDefault="000B16AC" w:rsidP="00607D37">
            <w:pPr>
              <w:pStyle w:val="TextMonsanto"/>
              <w:spacing w:line="240" w:lineRule="auto"/>
              <w:jc w:val="center"/>
              <w:rPr>
                <w:rFonts w:ascii="Times New Roman" w:hAnsi="Times New Roman" w:cs="Times New Roman"/>
                <w:sz w:val="20"/>
                <w:szCs w:val="20"/>
                <w:lang w:val="en-GB"/>
              </w:rPr>
            </w:pPr>
            <w:r w:rsidRPr="00607D37">
              <w:rPr>
                <w:rFonts w:ascii="Times New Roman" w:hAnsi="Times New Roman" w:cs="Times New Roman"/>
                <w:sz w:val="20"/>
                <w:szCs w:val="20"/>
                <w:lang w:val="en-GB"/>
              </w:rPr>
              <w:t>Total litres of produced bulk wine/must, made suitable for sale/bottling</w:t>
            </w:r>
          </w:p>
        </w:tc>
        <w:tc>
          <w:tcPr>
            <w:tcW w:w="1967" w:type="pct"/>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7274215F" w14:textId="77777777" w:rsidR="000B16AC" w:rsidRPr="00607D37" w:rsidRDefault="000B16AC" w:rsidP="00607D37">
            <w:pPr>
              <w:pStyle w:val="TextMonsanto"/>
              <w:spacing w:line="240" w:lineRule="auto"/>
              <w:jc w:val="center"/>
              <w:rPr>
                <w:rFonts w:ascii="Times New Roman" w:hAnsi="Times New Roman" w:cs="Times New Roman"/>
                <w:sz w:val="20"/>
                <w:szCs w:val="20"/>
                <w:lang w:val="en-GB"/>
              </w:rPr>
            </w:pPr>
            <w:r w:rsidRPr="00607D37">
              <w:rPr>
                <w:rFonts w:ascii="Times New Roman" w:hAnsi="Times New Roman" w:cs="Times New Roman"/>
                <w:sz w:val="20"/>
                <w:szCs w:val="20"/>
                <w:lang w:val="en-GB"/>
              </w:rPr>
              <w:t>1 L of bulk wine/must processed and suitable for sale/bottling</w:t>
            </w:r>
          </w:p>
        </w:tc>
      </w:tr>
      <w:tr w:rsidR="000B16AC" w:rsidRPr="00607D37" w14:paraId="47B63CCB" w14:textId="77777777" w:rsidTr="00A334E5">
        <w:trPr>
          <w:jc w:val="center"/>
        </w:trPr>
        <w:tc>
          <w:tcPr>
            <w:tcW w:w="836" w:type="pct"/>
            <w:tcBorders>
              <w:left w:val="single" w:sz="2" w:space="0" w:color="000000"/>
              <w:bottom w:val="single" w:sz="2" w:space="0" w:color="000000"/>
            </w:tcBorders>
            <w:tcMar>
              <w:top w:w="55" w:type="dxa"/>
              <w:left w:w="55" w:type="dxa"/>
              <w:bottom w:w="55" w:type="dxa"/>
              <w:right w:w="55" w:type="dxa"/>
            </w:tcMar>
            <w:vAlign w:val="center"/>
          </w:tcPr>
          <w:p w14:paraId="36FE991F" w14:textId="77777777" w:rsidR="000B16AC" w:rsidRPr="00607D37" w:rsidRDefault="000B16AC" w:rsidP="00607D37">
            <w:pPr>
              <w:pStyle w:val="TextMonsanto"/>
              <w:spacing w:line="240" w:lineRule="auto"/>
              <w:jc w:val="center"/>
              <w:rPr>
                <w:rFonts w:ascii="Times New Roman" w:hAnsi="Times New Roman" w:cs="Times New Roman"/>
                <w:sz w:val="20"/>
                <w:szCs w:val="20"/>
                <w:lang w:val="en-GB"/>
              </w:rPr>
            </w:pPr>
            <w:r w:rsidRPr="00607D37">
              <w:rPr>
                <w:rFonts w:ascii="Times New Roman" w:hAnsi="Times New Roman" w:cs="Times New Roman"/>
                <w:sz w:val="20"/>
                <w:szCs w:val="20"/>
                <w:lang w:val="en-GB"/>
              </w:rPr>
              <w:t>Bottling / Conditioning</w:t>
            </w:r>
          </w:p>
        </w:tc>
        <w:tc>
          <w:tcPr>
            <w:tcW w:w="2197" w:type="pct"/>
            <w:tcBorders>
              <w:left w:val="single" w:sz="2" w:space="0" w:color="000000"/>
              <w:bottom w:val="single" w:sz="2" w:space="0" w:color="000000"/>
            </w:tcBorders>
          </w:tcPr>
          <w:p w14:paraId="60451B4B" w14:textId="77777777" w:rsidR="000B16AC" w:rsidRPr="00607D37" w:rsidRDefault="000B16AC" w:rsidP="00607D37">
            <w:pPr>
              <w:pStyle w:val="TextMonsanto"/>
              <w:spacing w:line="240" w:lineRule="auto"/>
              <w:jc w:val="center"/>
              <w:rPr>
                <w:rFonts w:ascii="Times New Roman" w:hAnsi="Times New Roman" w:cs="Times New Roman"/>
                <w:sz w:val="20"/>
                <w:szCs w:val="20"/>
                <w:lang w:val="en-GB"/>
              </w:rPr>
            </w:pPr>
            <w:r w:rsidRPr="00607D37">
              <w:rPr>
                <w:rFonts w:ascii="Times New Roman" w:hAnsi="Times New Roman" w:cs="Times New Roman"/>
                <w:sz w:val="20"/>
                <w:szCs w:val="20"/>
                <w:lang w:val="en-GB"/>
              </w:rPr>
              <w:t>Total litres of wine bottled and ready for sale</w:t>
            </w:r>
          </w:p>
        </w:tc>
        <w:tc>
          <w:tcPr>
            <w:tcW w:w="1967" w:type="pct"/>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634EEB3" w14:textId="77777777" w:rsidR="000B16AC" w:rsidRPr="00607D37" w:rsidRDefault="000B16AC" w:rsidP="00607D37">
            <w:pPr>
              <w:pStyle w:val="TextMonsanto"/>
              <w:spacing w:line="240" w:lineRule="auto"/>
              <w:jc w:val="center"/>
              <w:rPr>
                <w:rFonts w:ascii="Times New Roman" w:hAnsi="Times New Roman" w:cs="Times New Roman"/>
                <w:sz w:val="20"/>
                <w:szCs w:val="20"/>
                <w:lang w:val="en-GB"/>
              </w:rPr>
            </w:pPr>
            <w:r w:rsidRPr="00607D37">
              <w:rPr>
                <w:rFonts w:ascii="Times New Roman" w:hAnsi="Times New Roman" w:cs="Times New Roman"/>
                <w:sz w:val="20"/>
                <w:szCs w:val="20"/>
                <w:lang w:val="en-GB"/>
              </w:rPr>
              <w:t>0.75 l of wine bottled and made ready for sale</w:t>
            </w:r>
          </w:p>
        </w:tc>
      </w:tr>
    </w:tbl>
    <w:p w14:paraId="2908C430" w14:textId="3A72D53C" w:rsidR="000B16AC" w:rsidRPr="00607D37" w:rsidRDefault="00607D37" w:rsidP="00607D37">
      <w:pPr>
        <w:pStyle w:val="Heading3Arillo"/>
        <w:rPr>
          <w:lang w:val="en-GB"/>
        </w:rPr>
      </w:pPr>
      <w:bookmarkStart w:id="5" w:name="_Toc176516333"/>
      <w:r w:rsidRPr="00607D37">
        <w:rPr>
          <w:lang w:val="en-GB"/>
        </w:rPr>
        <w:t>S</w:t>
      </w:r>
      <w:r w:rsidR="00C2563C">
        <w:rPr>
          <w:lang w:val="en-GB"/>
        </w:rPr>
        <w:t>3</w:t>
      </w:r>
      <w:r w:rsidRPr="00607D37">
        <w:rPr>
          <w:lang w:val="en-GB"/>
        </w:rPr>
        <w:t>.</w:t>
      </w:r>
      <w:r>
        <w:rPr>
          <w:lang w:val="en-GB"/>
        </w:rPr>
        <w:t>4</w:t>
      </w:r>
      <w:r w:rsidR="000B16AC" w:rsidRPr="00607D37">
        <w:rPr>
          <w:lang w:val="en-GB"/>
        </w:rPr>
        <w:t xml:space="preserve"> </w:t>
      </w:r>
      <w:proofErr w:type="spellStart"/>
      <w:r w:rsidR="000B16AC" w:rsidRPr="00607D37">
        <w:rPr>
          <w:lang w:val="en-GB"/>
        </w:rPr>
        <w:t>Equalitas</w:t>
      </w:r>
      <w:proofErr w:type="spellEnd"/>
      <w:r w:rsidR="000B16AC" w:rsidRPr="00607D37">
        <w:rPr>
          <w:lang w:val="en-GB"/>
        </w:rPr>
        <w:t xml:space="preserve"> indicators: Carbon and Water Footprint of the wine supply-chain</w:t>
      </w:r>
      <w:bookmarkEnd w:id="5"/>
    </w:p>
    <w:p w14:paraId="53F4025E" w14:textId="0DA88420" w:rsidR="000B16AC" w:rsidRPr="008C3716" w:rsidRDefault="000B16AC" w:rsidP="000B16AC">
      <w:pPr>
        <w:pStyle w:val="TextMonsanto"/>
        <w:spacing w:line="480" w:lineRule="auto"/>
        <w:rPr>
          <w:rFonts w:ascii="Times New Roman" w:hAnsi="Times New Roman" w:cs="Times New Roman"/>
          <w:lang w:val="en-GB"/>
        </w:rPr>
      </w:pPr>
      <w:r w:rsidRPr="008C3716">
        <w:rPr>
          <w:rFonts w:ascii="Times New Roman" w:hAnsi="Times New Roman" w:cs="Times New Roman"/>
          <w:lang w:val="en-GB"/>
        </w:rPr>
        <w:t xml:space="preserve">The environmental footprint indicators recommended by the </w:t>
      </w:r>
      <w:proofErr w:type="spellStart"/>
      <w:r w:rsidRPr="008C3716">
        <w:rPr>
          <w:rFonts w:ascii="Times New Roman" w:hAnsi="Times New Roman" w:cs="Times New Roman"/>
          <w:lang w:val="en-GB"/>
        </w:rPr>
        <w:t>Equalitas</w:t>
      </w:r>
      <w:proofErr w:type="spellEnd"/>
      <w:r w:rsidRPr="008C3716">
        <w:rPr>
          <w:rFonts w:ascii="Times New Roman" w:hAnsi="Times New Roman" w:cs="Times New Roman"/>
          <w:lang w:val="en-GB"/>
        </w:rPr>
        <w:t xml:space="preserve"> procedures, namely global warming potential for carbon footprint characterization, and five different Water Footprint indicators, namely water resource scarcity, acidification potential, eutrophication potential of water, toxicity for humans and for aquatic ecosystems, were estimated and compared with some literature results (Table </w:t>
      </w:r>
      <w:r w:rsidR="00AB5E01">
        <w:rPr>
          <w:rFonts w:ascii="Times New Roman" w:hAnsi="Times New Roman" w:cs="Times New Roman"/>
          <w:lang w:val="en-GB"/>
        </w:rPr>
        <w:t>S4</w:t>
      </w:r>
      <w:r w:rsidRPr="008C3716">
        <w:rPr>
          <w:rFonts w:ascii="Times New Roman" w:hAnsi="Times New Roman" w:cs="Times New Roman"/>
          <w:lang w:val="en-GB"/>
        </w:rPr>
        <w:t xml:space="preserve">). For this purpose, comparable data were collected from the sustainability report of some Italian wineries that have recently obtained the </w:t>
      </w:r>
      <w:proofErr w:type="spellStart"/>
      <w:r w:rsidRPr="008C3716">
        <w:rPr>
          <w:rFonts w:ascii="Times New Roman" w:hAnsi="Times New Roman" w:cs="Times New Roman"/>
          <w:lang w:val="en-GB"/>
        </w:rPr>
        <w:t>Equalitas</w:t>
      </w:r>
      <w:proofErr w:type="spellEnd"/>
      <w:r w:rsidRPr="008C3716">
        <w:rPr>
          <w:rFonts w:ascii="Times New Roman" w:hAnsi="Times New Roman" w:cs="Times New Roman"/>
          <w:lang w:val="en-GB"/>
        </w:rPr>
        <w:t xml:space="preserve"> standard.</w:t>
      </w:r>
    </w:p>
    <w:p w14:paraId="78A461D8" w14:textId="77777777" w:rsidR="00AB5E01" w:rsidRDefault="00AB5E01" w:rsidP="00AB5E01">
      <w:pPr>
        <w:pStyle w:val="TextMonsanto"/>
        <w:spacing w:line="480" w:lineRule="auto"/>
        <w:jc w:val="center"/>
        <w:rPr>
          <w:rFonts w:ascii="Times New Roman" w:hAnsi="Times New Roman" w:cs="Times New Roman"/>
          <w:b/>
          <w:bCs/>
          <w:sz w:val="20"/>
          <w:szCs w:val="20"/>
          <w:lang w:val="en-GB"/>
        </w:rPr>
        <w:sectPr w:rsidR="00AB5E01" w:rsidSect="00A02F82">
          <w:pgSz w:w="11906" w:h="16838" w:code="9"/>
          <w:pgMar w:top="1134" w:right="1134" w:bottom="1134" w:left="1134" w:header="709" w:footer="709" w:gutter="0"/>
          <w:lnNumType w:countBy="1" w:restart="continuous"/>
          <w:cols w:space="708"/>
          <w:docGrid w:linePitch="360"/>
        </w:sectPr>
      </w:pPr>
    </w:p>
    <w:p w14:paraId="530BA20B" w14:textId="3F600AD0" w:rsidR="000B16AC" w:rsidRPr="00AB5E01" w:rsidRDefault="000B16AC" w:rsidP="00AB5E01">
      <w:pPr>
        <w:pStyle w:val="TextMonsanto"/>
        <w:spacing w:line="480" w:lineRule="auto"/>
        <w:jc w:val="center"/>
        <w:rPr>
          <w:rFonts w:ascii="Times New Roman" w:hAnsi="Times New Roman" w:cs="Times New Roman"/>
          <w:sz w:val="20"/>
          <w:szCs w:val="20"/>
          <w:lang w:val="en-GB"/>
        </w:rPr>
      </w:pPr>
      <w:r w:rsidRPr="00AB5E01">
        <w:rPr>
          <w:rFonts w:ascii="Times New Roman" w:hAnsi="Times New Roman" w:cs="Times New Roman"/>
          <w:b/>
          <w:bCs/>
          <w:sz w:val="20"/>
          <w:szCs w:val="20"/>
          <w:lang w:val="en-GB"/>
        </w:rPr>
        <w:lastRenderedPageBreak/>
        <w:t xml:space="preserve">Table </w:t>
      </w:r>
      <w:r w:rsidR="00AB5E01" w:rsidRPr="00AB5E01">
        <w:rPr>
          <w:rFonts w:ascii="Times New Roman" w:hAnsi="Times New Roman" w:cs="Times New Roman"/>
          <w:b/>
          <w:bCs/>
          <w:sz w:val="20"/>
          <w:szCs w:val="20"/>
          <w:lang w:val="en-GB"/>
        </w:rPr>
        <w:t>S4</w:t>
      </w:r>
      <w:r w:rsidRPr="00AB5E01">
        <w:rPr>
          <w:rFonts w:ascii="Times New Roman" w:hAnsi="Times New Roman" w:cs="Times New Roman"/>
          <w:b/>
          <w:bCs/>
          <w:sz w:val="20"/>
          <w:szCs w:val="20"/>
          <w:lang w:val="en-GB"/>
        </w:rPr>
        <w:t xml:space="preserve"> </w:t>
      </w:r>
      <w:r w:rsidRPr="00AB5E01">
        <w:rPr>
          <w:rFonts w:ascii="Times New Roman" w:hAnsi="Times New Roman" w:cs="Times New Roman"/>
          <w:sz w:val="20"/>
          <w:szCs w:val="20"/>
          <w:lang w:val="en-GB"/>
        </w:rPr>
        <w:t xml:space="preserve">Calculation of carbon and water footprint indicators recommended by the </w:t>
      </w:r>
      <w:proofErr w:type="spellStart"/>
      <w:r w:rsidRPr="00AB5E01">
        <w:rPr>
          <w:rFonts w:ascii="Times New Roman" w:hAnsi="Times New Roman" w:cs="Times New Roman"/>
          <w:sz w:val="20"/>
          <w:szCs w:val="20"/>
          <w:lang w:val="en-GB"/>
        </w:rPr>
        <w:t>Equalitas</w:t>
      </w:r>
      <w:proofErr w:type="spellEnd"/>
      <w:r w:rsidRPr="00AB5E01">
        <w:rPr>
          <w:rFonts w:ascii="Times New Roman" w:hAnsi="Times New Roman" w:cs="Times New Roman"/>
          <w:sz w:val="20"/>
          <w:szCs w:val="20"/>
          <w:lang w:val="en-GB"/>
        </w:rPr>
        <w:t xml:space="preserve"> standard, and comparison with literature data retrieved from a few publicly available sustainability reports of other </w:t>
      </w:r>
      <w:proofErr w:type="spellStart"/>
      <w:r w:rsidRPr="00AB5E01">
        <w:rPr>
          <w:rFonts w:ascii="Times New Roman" w:hAnsi="Times New Roman" w:cs="Times New Roman"/>
          <w:sz w:val="20"/>
          <w:szCs w:val="20"/>
          <w:lang w:val="en-GB"/>
        </w:rPr>
        <w:t>Equalitas</w:t>
      </w:r>
      <w:proofErr w:type="spellEnd"/>
      <w:r w:rsidRPr="00AB5E01">
        <w:rPr>
          <w:rFonts w:ascii="Times New Roman" w:hAnsi="Times New Roman" w:cs="Times New Roman"/>
          <w:sz w:val="20"/>
          <w:szCs w:val="20"/>
          <w:lang w:val="en-GB"/>
        </w:rPr>
        <w:t xml:space="preserve"> certified companies.</w:t>
      </w:r>
    </w:p>
    <w:p w14:paraId="00546E4B" w14:textId="069CEEF8" w:rsidR="000B16AC" w:rsidRPr="008C3716" w:rsidRDefault="00F710C3" w:rsidP="00F710C3">
      <w:pPr>
        <w:pStyle w:val="TextMonsanto"/>
        <w:spacing w:line="480" w:lineRule="auto"/>
        <w:jc w:val="center"/>
        <w:rPr>
          <w:rFonts w:ascii="Times New Roman" w:hAnsi="Times New Roman" w:cs="Times New Roman"/>
          <w:lang w:val="en-GB"/>
        </w:rPr>
      </w:pPr>
      <w:r w:rsidRPr="00F710C3">
        <w:rPr>
          <w:noProof/>
        </w:rPr>
        <w:drawing>
          <wp:inline distT="0" distB="0" distL="0" distR="0" wp14:anchorId="3621099C" wp14:editId="08111D38">
            <wp:extent cx="6120130" cy="4352290"/>
            <wp:effectExtent l="0" t="0" r="0" b="0"/>
            <wp:docPr id="14098949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20130" cy="4352290"/>
                    </a:xfrm>
                    <a:prstGeom prst="rect">
                      <a:avLst/>
                    </a:prstGeom>
                    <a:noFill/>
                    <a:ln>
                      <a:noFill/>
                    </a:ln>
                  </pic:spPr>
                </pic:pic>
              </a:graphicData>
            </a:graphic>
          </wp:inline>
        </w:drawing>
      </w:r>
    </w:p>
    <w:tbl>
      <w:tblPr>
        <w:tblW w:w="5000" w:type="pct"/>
        <w:tblLook w:val="04A0" w:firstRow="1" w:lastRow="0" w:firstColumn="1" w:lastColumn="0" w:noHBand="0" w:noVBand="1"/>
      </w:tblPr>
      <w:tblGrid>
        <w:gridCol w:w="9638"/>
      </w:tblGrid>
      <w:tr w:rsidR="000B16AC" w:rsidRPr="00AF6295" w14:paraId="2C23000D" w14:textId="77777777" w:rsidTr="00A334E5">
        <w:trPr>
          <w:trHeight w:val="20"/>
        </w:trPr>
        <w:tc>
          <w:tcPr>
            <w:tcW w:w="5000" w:type="pct"/>
            <w:tcBorders>
              <w:top w:val="nil"/>
              <w:left w:val="nil"/>
              <w:bottom w:val="nil"/>
              <w:right w:val="nil"/>
            </w:tcBorders>
            <w:shd w:val="clear" w:color="000000" w:fill="FFFFFF"/>
            <w:hideMark/>
          </w:tcPr>
          <w:p w14:paraId="4217F51C" w14:textId="5C38EDBF" w:rsidR="000B16AC" w:rsidRPr="00AF6295" w:rsidRDefault="000B16AC" w:rsidP="00F710C3">
            <w:pPr>
              <w:spacing w:line="240" w:lineRule="auto"/>
              <w:jc w:val="left"/>
              <w:rPr>
                <w:rFonts w:ascii="Times New Roman" w:eastAsia="Times New Roman" w:hAnsi="Times New Roman" w:cs="Times New Roman"/>
                <w:color w:val="000000"/>
                <w:sz w:val="18"/>
                <w:szCs w:val="18"/>
                <w:lang w:eastAsia="en-GB"/>
              </w:rPr>
            </w:pPr>
            <w:r w:rsidRPr="00AF6295">
              <w:rPr>
                <w:rFonts w:ascii="Times New Roman" w:eastAsia="Times New Roman" w:hAnsi="Times New Roman" w:cs="Times New Roman"/>
                <w:color w:val="000000"/>
                <w:sz w:val="18"/>
                <w:szCs w:val="18"/>
                <w:vertAlign w:val="superscript"/>
                <w:lang w:eastAsia="en-GB"/>
              </w:rPr>
              <w:t xml:space="preserve">1 </w:t>
            </w:r>
            <w:hyperlink r:id="rId16" w:history="1">
              <w:r w:rsidR="00AC2282" w:rsidRPr="00AF6295">
                <w:rPr>
                  <w:rStyle w:val="Hyperlink"/>
                  <w:rFonts w:ascii="Times New Roman" w:eastAsia="Times New Roman" w:hAnsi="Times New Roman" w:cs="Times New Roman"/>
                  <w:sz w:val="18"/>
                  <w:szCs w:val="18"/>
                  <w:lang w:eastAsia="en-GB"/>
                </w:rPr>
                <w:t>https://www.zonin1821.com/app/uploads/2021/10/Bilancio-di-Sostenibilità-Rocca-Montemassi-2020-2021.04.15-Post-Audit.pdf</w:t>
              </w:r>
            </w:hyperlink>
            <w:r w:rsidR="00570601" w:rsidRPr="00570601">
              <w:rPr>
                <w:rFonts w:ascii="Times New Roman" w:hAnsi="Times New Roman" w:cs="Times New Roman"/>
                <w:sz w:val="18"/>
                <w:szCs w:val="18"/>
              </w:rPr>
              <w:t>; last access on August 2025</w:t>
            </w:r>
            <w:r w:rsidRPr="00AF6295">
              <w:rPr>
                <w:rFonts w:ascii="Times New Roman" w:eastAsia="Times New Roman" w:hAnsi="Times New Roman" w:cs="Times New Roman"/>
                <w:color w:val="000000"/>
                <w:sz w:val="18"/>
                <w:szCs w:val="18"/>
                <w:lang w:eastAsia="en-GB"/>
              </w:rPr>
              <w:br/>
            </w:r>
            <w:r w:rsidRPr="00AF6295">
              <w:rPr>
                <w:rFonts w:ascii="Times New Roman" w:eastAsia="Times New Roman" w:hAnsi="Times New Roman" w:cs="Times New Roman"/>
                <w:color w:val="000000"/>
                <w:sz w:val="18"/>
                <w:szCs w:val="18"/>
                <w:vertAlign w:val="superscript"/>
                <w:lang w:eastAsia="en-GB"/>
              </w:rPr>
              <w:t xml:space="preserve">2 </w:t>
            </w:r>
            <w:hyperlink r:id="rId17" w:history="1">
              <w:r w:rsidRPr="00AF6295">
                <w:rPr>
                  <w:rStyle w:val="Hyperlink"/>
                  <w:rFonts w:ascii="Times New Roman" w:eastAsia="Times New Roman" w:hAnsi="Times New Roman" w:cs="Times New Roman"/>
                  <w:sz w:val="18"/>
                  <w:szCs w:val="18"/>
                  <w:lang w:eastAsia="en-GB"/>
                </w:rPr>
                <w:t>https://www.produttoridimanduria.it/wp-</w:t>
              </w:r>
              <w:r w:rsidR="00570601" w:rsidRPr="00570601">
                <w:rPr>
                  <w:rFonts w:ascii="Times New Roman" w:hAnsi="Times New Roman" w:cs="Times New Roman"/>
                  <w:sz w:val="18"/>
                  <w:szCs w:val="18"/>
                </w:rPr>
                <w:t>; last access on August 2025</w:t>
              </w:r>
              <w:r w:rsidRPr="00AF6295">
                <w:rPr>
                  <w:rStyle w:val="Hyperlink"/>
                  <w:rFonts w:ascii="Times New Roman" w:eastAsia="Times New Roman" w:hAnsi="Times New Roman" w:cs="Times New Roman"/>
                  <w:sz w:val="18"/>
                  <w:szCs w:val="18"/>
                  <w:lang w:eastAsia="en-GB"/>
                </w:rPr>
                <w:t>content/uploads/2021/03/Bilancio%20di%20Sostenibilita%CC%80%20PdM%202020_web.pdf</w:t>
              </w:r>
            </w:hyperlink>
            <w:r w:rsidR="00570601" w:rsidRPr="00570601">
              <w:rPr>
                <w:rFonts w:ascii="Times New Roman" w:hAnsi="Times New Roman" w:cs="Times New Roman"/>
                <w:sz w:val="18"/>
                <w:szCs w:val="18"/>
              </w:rPr>
              <w:t>; last access on August 2025</w:t>
            </w:r>
            <w:r w:rsidRPr="00AF6295">
              <w:rPr>
                <w:rFonts w:ascii="Times New Roman" w:eastAsia="Times New Roman" w:hAnsi="Times New Roman" w:cs="Times New Roman"/>
                <w:color w:val="000000"/>
                <w:sz w:val="18"/>
                <w:szCs w:val="18"/>
                <w:lang w:eastAsia="en-GB"/>
              </w:rPr>
              <w:br/>
            </w:r>
            <w:r w:rsidRPr="00AF6295">
              <w:rPr>
                <w:rFonts w:ascii="Times New Roman" w:eastAsia="Times New Roman" w:hAnsi="Times New Roman" w:cs="Times New Roman"/>
                <w:color w:val="000000"/>
                <w:sz w:val="18"/>
                <w:szCs w:val="18"/>
                <w:vertAlign w:val="superscript"/>
                <w:lang w:eastAsia="en-GB"/>
              </w:rPr>
              <w:t xml:space="preserve">3 </w:t>
            </w:r>
            <w:hyperlink r:id="rId18" w:history="1">
              <w:r w:rsidRPr="00AF6295">
                <w:rPr>
                  <w:rStyle w:val="Hyperlink"/>
                  <w:rFonts w:ascii="Times New Roman" w:eastAsia="Times New Roman" w:hAnsi="Times New Roman" w:cs="Times New Roman"/>
                  <w:sz w:val="18"/>
                  <w:szCs w:val="18"/>
                  <w:lang w:eastAsia="en-GB"/>
                </w:rPr>
                <w:t>https://www.zonin1821.com/app/uploads/2021/10/Bilancio-di-Sostenibilita%CC%80-Castello-di-Abola-2020-2021.04.15-Post-Audit.pdf</w:t>
              </w:r>
            </w:hyperlink>
            <w:r w:rsidR="00570601" w:rsidRPr="00570601">
              <w:rPr>
                <w:rFonts w:ascii="Times New Roman" w:hAnsi="Times New Roman" w:cs="Times New Roman"/>
                <w:sz w:val="18"/>
                <w:szCs w:val="18"/>
              </w:rPr>
              <w:t>; last access on August 2025</w:t>
            </w:r>
            <w:r w:rsidRPr="00AF6295">
              <w:rPr>
                <w:rFonts w:ascii="Times New Roman" w:eastAsia="Times New Roman" w:hAnsi="Times New Roman" w:cs="Times New Roman"/>
                <w:color w:val="000000"/>
                <w:sz w:val="18"/>
                <w:szCs w:val="18"/>
                <w:lang w:eastAsia="en-GB"/>
              </w:rPr>
              <w:br/>
            </w:r>
            <w:r w:rsidRPr="00AF6295">
              <w:rPr>
                <w:rFonts w:ascii="Times New Roman" w:eastAsia="Times New Roman" w:hAnsi="Times New Roman" w:cs="Times New Roman"/>
                <w:color w:val="000000"/>
                <w:sz w:val="18"/>
                <w:szCs w:val="18"/>
                <w:vertAlign w:val="superscript"/>
                <w:lang w:eastAsia="en-GB"/>
              </w:rPr>
              <w:t xml:space="preserve">4 </w:t>
            </w:r>
            <w:hyperlink r:id="rId19" w:history="1">
              <w:r w:rsidRPr="00AF6295">
                <w:rPr>
                  <w:rStyle w:val="Hyperlink"/>
                  <w:rFonts w:ascii="Times New Roman" w:eastAsia="Times New Roman" w:hAnsi="Times New Roman" w:cs="Times New Roman"/>
                  <w:sz w:val="18"/>
                  <w:szCs w:val="18"/>
                  <w:lang w:eastAsia="en-GB"/>
                </w:rPr>
                <w:t>https://www.riccicurbastro.it/wp-content/uploads/2021/07/bilancio_sostenibilita_2020-ITA.pdf</w:t>
              </w:r>
            </w:hyperlink>
            <w:r w:rsidR="00AF6295" w:rsidRPr="00AF6295">
              <w:rPr>
                <w:rFonts w:ascii="Times New Roman" w:hAnsi="Times New Roman" w:cs="Times New Roman"/>
                <w:sz w:val="18"/>
                <w:szCs w:val="18"/>
              </w:rPr>
              <w:t xml:space="preserve"> (</w:t>
            </w:r>
            <w:r w:rsidR="00570601">
              <w:rPr>
                <w:rFonts w:ascii="Times New Roman" w:hAnsi="Times New Roman" w:cs="Times New Roman"/>
                <w:sz w:val="18"/>
                <w:szCs w:val="18"/>
              </w:rPr>
              <w:t xml:space="preserve">link to web source possibly corrupted; document </w:t>
            </w:r>
            <w:r w:rsidR="00AF6295" w:rsidRPr="00AF6295">
              <w:rPr>
                <w:rFonts w:ascii="Times New Roman" w:hAnsi="Times New Roman" w:cs="Times New Roman"/>
                <w:sz w:val="18"/>
                <w:szCs w:val="18"/>
              </w:rPr>
              <w:t>available up</w:t>
            </w:r>
            <w:r w:rsidR="00AF6295">
              <w:rPr>
                <w:rFonts w:ascii="Times New Roman" w:hAnsi="Times New Roman" w:cs="Times New Roman"/>
                <w:sz w:val="18"/>
                <w:szCs w:val="18"/>
              </w:rPr>
              <w:t>on request)</w:t>
            </w:r>
            <w:r w:rsidRPr="00AF6295">
              <w:rPr>
                <w:rFonts w:ascii="Times New Roman" w:eastAsia="Times New Roman" w:hAnsi="Times New Roman" w:cs="Times New Roman"/>
                <w:color w:val="000000"/>
                <w:sz w:val="18"/>
                <w:szCs w:val="18"/>
                <w:lang w:eastAsia="en-GB"/>
              </w:rPr>
              <w:br/>
            </w:r>
            <w:r w:rsidRPr="00AF6295">
              <w:rPr>
                <w:rFonts w:ascii="Times New Roman" w:eastAsia="Times New Roman" w:hAnsi="Times New Roman" w:cs="Times New Roman"/>
                <w:color w:val="000000"/>
                <w:sz w:val="18"/>
                <w:szCs w:val="18"/>
                <w:vertAlign w:val="superscript"/>
                <w:lang w:eastAsia="en-GB"/>
              </w:rPr>
              <w:t xml:space="preserve">5 </w:t>
            </w:r>
            <w:hyperlink r:id="rId20" w:history="1">
              <w:r w:rsidRPr="00AF6295">
                <w:rPr>
                  <w:rStyle w:val="Hyperlink"/>
                  <w:rFonts w:ascii="Times New Roman" w:eastAsia="Times New Roman" w:hAnsi="Times New Roman" w:cs="Times New Roman"/>
                  <w:sz w:val="18"/>
                  <w:szCs w:val="18"/>
                  <w:lang w:eastAsia="en-GB"/>
                </w:rPr>
                <w:t>https://www.maremmaterradivini.com/wp-content/uploads/2018/09/Bilancio-Podere-San-Cristoforo-2018.02.15.pdf</w:t>
              </w:r>
            </w:hyperlink>
            <w:r w:rsidR="00AF6295">
              <w:rPr>
                <w:rFonts w:ascii="Times New Roman" w:hAnsi="Times New Roman" w:cs="Times New Roman"/>
                <w:sz w:val="18"/>
                <w:szCs w:val="18"/>
              </w:rPr>
              <w:t xml:space="preserve"> </w:t>
            </w:r>
            <w:r w:rsidR="00AF6295" w:rsidRPr="00AF6295">
              <w:rPr>
                <w:rFonts w:ascii="Times New Roman" w:hAnsi="Times New Roman" w:cs="Times New Roman"/>
                <w:sz w:val="18"/>
                <w:szCs w:val="18"/>
              </w:rPr>
              <w:t>(</w:t>
            </w:r>
            <w:r w:rsidR="00570601">
              <w:rPr>
                <w:rFonts w:ascii="Times New Roman" w:hAnsi="Times New Roman" w:cs="Times New Roman"/>
                <w:sz w:val="18"/>
                <w:szCs w:val="18"/>
              </w:rPr>
              <w:t xml:space="preserve">link to web source possibly corrupted; document </w:t>
            </w:r>
            <w:r w:rsidR="00570601" w:rsidRPr="00AF6295">
              <w:rPr>
                <w:rFonts w:ascii="Times New Roman" w:hAnsi="Times New Roman" w:cs="Times New Roman"/>
                <w:sz w:val="18"/>
                <w:szCs w:val="18"/>
              </w:rPr>
              <w:t>available up</w:t>
            </w:r>
            <w:r w:rsidR="00570601">
              <w:rPr>
                <w:rFonts w:ascii="Times New Roman" w:hAnsi="Times New Roman" w:cs="Times New Roman"/>
                <w:sz w:val="18"/>
                <w:szCs w:val="18"/>
              </w:rPr>
              <w:t>on request</w:t>
            </w:r>
            <w:r w:rsidR="00AF6295">
              <w:rPr>
                <w:rFonts w:ascii="Times New Roman" w:hAnsi="Times New Roman" w:cs="Times New Roman"/>
                <w:sz w:val="18"/>
                <w:szCs w:val="18"/>
              </w:rPr>
              <w:t>)</w:t>
            </w:r>
          </w:p>
        </w:tc>
      </w:tr>
      <w:tr w:rsidR="000B16AC" w:rsidRPr="008C3716" w14:paraId="1EC45351" w14:textId="77777777" w:rsidTr="00A334E5">
        <w:trPr>
          <w:trHeight w:val="20"/>
        </w:trPr>
        <w:tc>
          <w:tcPr>
            <w:tcW w:w="5000" w:type="pct"/>
            <w:tcBorders>
              <w:top w:val="nil"/>
              <w:left w:val="nil"/>
              <w:bottom w:val="nil"/>
              <w:right w:val="nil"/>
            </w:tcBorders>
            <w:shd w:val="clear" w:color="000000" w:fill="FFFFFF"/>
            <w:hideMark/>
          </w:tcPr>
          <w:p w14:paraId="55C5C285" w14:textId="77777777" w:rsidR="000B16AC" w:rsidRPr="00F710C3" w:rsidRDefault="000B16AC" w:rsidP="00F710C3">
            <w:pPr>
              <w:spacing w:line="240" w:lineRule="auto"/>
              <w:rPr>
                <w:rFonts w:ascii="Times New Roman" w:hAnsi="Times New Roman" w:cs="Times New Roman"/>
                <w:sz w:val="18"/>
                <w:szCs w:val="18"/>
                <w:lang w:eastAsia="en-GB"/>
              </w:rPr>
            </w:pPr>
            <w:r w:rsidRPr="00F710C3">
              <w:rPr>
                <w:rFonts w:ascii="Times New Roman" w:hAnsi="Times New Roman" w:cs="Times New Roman"/>
                <w:sz w:val="18"/>
                <w:szCs w:val="18"/>
                <w:lang w:eastAsia="en-GB"/>
              </w:rPr>
              <w:t>* The Sustainability Report for this company indicates carbon footprint data by stage in % only. Additional information on the average carbon footprint per bottle of wine was found on the company's website. The carbon footprint was estimated in absolute value by combining the two types of information.</w:t>
            </w:r>
          </w:p>
        </w:tc>
      </w:tr>
      <w:tr w:rsidR="000B16AC" w:rsidRPr="008C3716" w14:paraId="2B98BF3E" w14:textId="77777777" w:rsidTr="00A334E5">
        <w:trPr>
          <w:trHeight w:val="20"/>
        </w:trPr>
        <w:tc>
          <w:tcPr>
            <w:tcW w:w="5000" w:type="pct"/>
            <w:tcBorders>
              <w:top w:val="nil"/>
              <w:left w:val="nil"/>
              <w:bottom w:val="nil"/>
              <w:right w:val="nil"/>
            </w:tcBorders>
            <w:shd w:val="clear" w:color="000000" w:fill="FFFFFF"/>
            <w:hideMark/>
          </w:tcPr>
          <w:p w14:paraId="6CBD0C96" w14:textId="77777777" w:rsidR="000B16AC" w:rsidRPr="00F710C3" w:rsidRDefault="000B16AC" w:rsidP="00F710C3">
            <w:pPr>
              <w:spacing w:line="240" w:lineRule="auto"/>
              <w:rPr>
                <w:rFonts w:ascii="Times New Roman" w:hAnsi="Times New Roman" w:cs="Times New Roman"/>
                <w:sz w:val="18"/>
                <w:szCs w:val="18"/>
                <w:lang w:eastAsia="en-GB"/>
              </w:rPr>
            </w:pPr>
            <w:r w:rsidRPr="00F710C3">
              <w:rPr>
                <w:rFonts w:ascii="Times New Roman" w:hAnsi="Times New Roman" w:cs="Times New Roman"/>
                <w:sz w:val="18"/>
                <w:szCs w:val="18"/>
                <w:vertAlign w:val="superscript"/>
                <w:lang w:eastAsia="en-GB"/>
              </w:rPr>
              <w:t>Ω</w:t>
            </w:r>
            <w:r w:rsidRPr="00F710C3">
              <w:rPr>
                <w:rFonts w:ascii="Times New Roman" w:hAnsi="Times New Roman" w:cs="Times New Roman"/>
                <w:sz w:val="18"/>
                <w:szCs w:val="18"/>
                <w:lang w:eastAsia="en-GB"/>
              </w:rPr>
              <w:t xml:space="preserve"> Values for the Water Footprint indicators apparently available for the field phase only. The scores obtained for the other two phases were estimated from the % values available in the budget report.</w:t>
            </w:r>
          </w:p>
        </w:tc>
      </w:tr>
      <w:tr w:rsidR="000B16AC" w:rsidRPr="008C3716" w14:paraId="3C12D099" w14:textId="77777777" w:rsidTr="00A334E5">
        <w:trPr>
          <w:trHeight w:val="20"/>
        </w:trPr>
        <w:tc>
          <w:tcPr>
            <w:tcW w:w="5000" w:type="pct"/>
            <w:tcBorders>
              <w:top w:val="nil"/>
              <w:left w:val="nil"/>
              <w:bottom w:val="nil"/>
              <w:right w:val="nil"/>
            </w:tcBorders>
            <w:shd w:val="clear" w:color="000000" w:fill="FFFFFF"/>
            <w:hideMark/>
          </w:tcPr>
          <w:p w14:paraId="1DED84F8" w14:textId="1239C8FF" w:rsidR="000B16AC" w:rsidRPr="00F710C3" w:rsidRDefault="000B16AC" w:rsidP="00F710C3">
            <w:pPr>
              <w:spacing w:line="240" w:lineRule="auto"/>
              <w:rPr>
                <w:rFonts w:ascii="Times New Roman" w:hAnsi="Times New Roman" w:cs="Times New Roman"/>
                <w:sz w:val="18"/>
                <w:szCs w:val="18"/>
                <w:lang w:eastAsia="en-GB"/>
              </w:rPr>
            </w:pPr>
            <w:r w:rsidRPr="00F710C3">
              <w:rPr>
                <w:rFonts w:ascii="Times New Roman" w:hAnsi="Times New Roman" w:cs="Times New Roman"/>
                <w:sz w:val="18"/>
                <w:szCs w:val="18"/>
                <w:vertAlign w:val="superscript"/>
                <w:lang w:eastAsia="en-GB"/>
              </w:rPr>
              <w:t xml:space="preserve">λ </w:t>
            </w:r>
            <w:proofErr w:type="gramStart"/>
            <w:r w:rsidRPr="00F710C3">
              <w:rPr>
                <w:rFonts w:ascii="Times New Roman" w:hAnsi="Times New Roman" w:cs="Times New Roman"/>
                <w:sz w:val="18"/>
                <w:szCs w:val="18"/>
                <w:lang w:eastAsia="en-GB"/>
              </w:rPr>
              <w:t>The</w:t>
            </w:r>
            <w:proofErr w:type="gramEnd"/>
            <w:r w:rsidRPr="00F710C3">
              <w:rPr>
                <w:rFonts w:ascii="Times New Roman" w:hAnsi="Times New Roman" w:cs="Times New Roman"/>
                <w:sz w:val="18"/>
                <w:szCs w:val="18"/>
                <w:lang w:eastAsia="en-GB"/>
              </w:rPr>
              <w:t xml:space="preserve"> carbon footprint per bottle of wine from </w:t>
            </w:r>
            <w:proofErr w:type="spellStart"/>
            <w:r w:rsidRPr="00F710C3">
              <w:rPr>
                <w:rFonts w:ascii="Times New Roman" w:hAnsi="Times New Roman" w:cs="Times New Roman"/>
                <w:sz w:val="18"/>
                <w:szCs w:val="18"/>
                <w:lang w:eastAsia="en-GB"/>
              </w:rPr>
              <w:t>Arillo</w:t>
            </w:r>
            <w:proofErr w:type="spellEnd"/>
            <w:r w:rsidRPr="00F710C3">
              <w:rPr>
                <w:rFonts w:ascii="Times New Roman" w:hAnsi="Times New Roman" w:cs="Times New Roman"/>
                <w:sz w:val="18"/>
                <w:szCs w:val="18"/>
                <w:lang w:eastAsia="en-GB"/>
              </w:rPr>
              <w:t xml:space="preserve"> in </w:t>
            </w:r>
            <w:proofErr w:type="spellStart"/>
            <w:r w:rsidRPr="00F710C3">
              <w:rPr>
                <w:rFonts w:ascii="Times New Roman" w:hAnsi="Times New Roman" w:cs="Times New Roman"/>
                <w:sz w:val="18"/>
                <w:szCs w:val="18"/>
                <w:lang w:eastAsia="en-GB"/>
              </w:rPr>
              <w:t>Terrabianca</w:t>
            </w:r>
            <w:proofErr w:type="spellEnd"/>
            <w:r w:rsidRPr="00F710C3">
              <w:rPr>
                <w:rFonts w:ascii="Times New Roman" w:hAnsi="Times New Roman" w:cs="Times New Roman"/>
                <w:sz w:val="18"/>
                <w:szCs w:val="18"/>
                <w:lang w:eastAsia="en-GB"/>
              </w:rPr>
              <w:t xml:space="preserve"> </w:t>
            </w:r>
            <w:r w:rsidR="00F710C3">
              <w:rPr>
                <w:rFonts w:ascii="Times New Roman" w:hAnsi="Times New Roman" w:cs="Times New Roman"/>
                <w:sz w:val="18"/>
                <w:szCs w:val="18"/>
                <w:lang w:eastAsia="en-GB"/>
              </w:rPr>
              <w:t>wa</w:t>
            </w:r>
            <w:r w:rsidRPr="00F710C3">
              <w:rPr>
                <w:rFonts w:ascii="Times New Roman" w:hAnsi="Times New Roman" w:cs="Times New Roman"/>
                <w:sz w:val="18"/>
                <w:szCs w:val="18"/>
                <w:lang w:eastAsia="en-GB"/>
              </w:rPr>
              <w:t>s calculated as a mean between the carbon footprint of the bottles from Site A and the carbon footprint of the bottles from Site C; accordingly, the contribution from Site B (</w:t>
            </w:r>
            <w:proofErr w:type="spellStart"/>
            <w:r w:rsidRPr="00F710C3">
              <w:rPr>
                <w:rFonts w:ascii="Times New Roman" w:hAnsi="Times New Roman" w:cs="Times New Roman"/>
                <w:sz w:val="18"/>
                <w:szCs w:val="18"/>
                <w:lang w:eastAsia="en-GB"/>
              </w:rPr>
              <w:t>Pienza</w:t>
            </w:r>
            <w:proofErr w:type="spellEnd"/>
            <w:r w:rsidRPr="00F710C3">
              <w:rPr>
                <w:rFonts w:ascii="Times New Roman" w:hAnsi="Times New Roman" w:cs="Times New Roman"/>
                <w:sz w:val="18"/>
                <w:szCs w:val="18"/>
                <w:lang w:eastAsia="en-GB"/>
              </w:rPr>
              <w:t>) is excluded because only grape (and not bottles) are produced there.</w:t>
            </w:r>
          </w:p>
        </w:tc>
      </w:tr>
    </w:tbl>
    <w:p w14:paraId="38D94165" w14:textId="77777777" w:rsidR="000B16AC" w:rsidRPr="008C3716" w:rsidRDefault="000B16AC" w:rsidP="000B16AC">
      <w:pPr>
        <w:pStyle w:val="TextMonsanto"/>
        <w:spacing w:line="480" w:lineRule="auto"/>
        <w:rPr>
          <w:rFonts w:ascii="Times New Roman" w:hAnsi="Times New Roman" w:cs="Times New Roman"/>
          <w:lang w:val="en-GB"/>
        </w:rPr>
      </w:pPr>
    </w:p>
    <w:p w14:paraId="01AE81EF" w14:textId="52726C08" w:rsidR="000B16AC" w:rsidRPr="008C3716" w:rsidRDefault="000B16AC" w:rsidP="000B16AC">
      <w:pPr>
        <w:pStyle w:val="TextMonsanto"/>
        <w:spacing w:line="480" w:lineRule="auto"/>
        <w:rPr>
          <w:rFonts w:ascii="Times New Roman" w:hAnsi="Times New Roman" w:cs="Times New Roman"/>
          <w:lang w:val="en-GB"/>
        </w:rPr>
      </w:pPr>
      <w:r w:rsidRPr="008C3716">
        <w:rPr>
          <w:rFonts w:ascii="Times New Roman" w:hAnsi="Times New Roman" w:cs="Times New Roman"/>
          <w:lang w:val="en-GB"/>
        </w:rPr>
        <w:t>While the indicators measured in all th</w:t>
      </w:r>
      <w:r w:rsidR="00F710C3">
        <w:rPr>
          <w:rFonts w:ascii="Times New Roman" w:hAnsi="Times New Roman" w:cs="Times New Roman"/>
          <w:lang w:val="en-GB"/>
        </w:rPr>
        <w:t>o</w:t>
      </w:r>
      <w:r w:rsidRPr="008C3716">
        <w:rPr>
          <w:rFonts w:ascii="Times New Roman" w:hAnsi="Times New Roman" w:cs="Times New Roman"/>
          <w:lang w:val="en-GB"/>
        </w:rPr>
        <w:t xml:space="preserve">se studies </w:t>
      </w:r>
      <w:r w:rsidR="00F710C3">
        <w:rPr>
          <w:rFonts w:ascii="Times New Roman" w:hAnsi="Times New Roman" w:cs="Times New Roman"/>
          <w:lang w:val="en-GB"/>
        </w:rPr>
        <w:t>we</w:t>
      </w:r>
      <w:r w:rsidRPr="008C3716">
        <w:rPr>
          <w:rFonts w:ascii="Times New Roman" w:hAnsi="Times New Roman" w:cs="Times New Roman"/>
          <w:lang w:val="en-GB"/>
        </w:rPr>
        <w:t xml:space="preserve">re the same, it is unknown whether the calculation methodology and life cycle model built for the </w:t>
      </w:r>
      <w:proofErr w:type="spellStart"/>
      <w:r w:rsidRPr="008C3716">
        <w:rPr>
          <w:rFonts w:ascii="Times New Roman" w:hAnsi="Times New Roman" w:cs="Times New Roman"/>
          <w:lang w:val="en-GB"/>
        </w:rPr>
        <w:t>Equalitas</w:t>
      </w:r>
      <w:proofErr w:type="spellEnd"/>
      <w:r w:rsidRPr="008C3716">
        <w:rPr>
          <w:rFonts w:ascii="Times New Roman" w:hAnsi="Times New Roman" w:cs="Times New Roman"/>
          <w:lang w:val="en-GB"/>
        </w:rPr>
        <w:t xml:space="preserve"> analysis </w:t>
      </w:r>
      <w:r w:rsidR="00F710C3">
        <w:rPr>
          <w:rFonts w:ascii="Times New Roman" w:hAnsi="Times New Roman" w:cs="Times New Roman"/>
          <w:lang w:val="en-GB"/>
        </w:rPr>
        <w:t>we</w:t>
      </w:r>
      <w:r w:rsidRPr="008C3716">
        <w:rPr>
          <w:rFonts w:ascii="Times New Roman" w:hAnsi="Times New Roman" w:cs="Times New Roman"/>
          <w:lang w:val="en-GB"/>
        </w:rPr>
        <w:t xml:space="preserve">re perfectly comparable with the approach proposed in this study. In any case, comparison with literature data </w:t>
      </w:r>
      <w:r w:rsidR="00F710C3">
        <w:rPr>
          <w:rFonts w:ascii="Times New Roman" w:hAnsi="Times New Roman" w:cs="Times New Roman"/>
          <w:lang w:val="en-GB"/>
        </w:rPr>
        <w:t>was</w:t>
      </w:r>
      <w:r w:rsidRPr="008C3716">
        <w:rPr>
          <w:rFonts w:ascii="Times New Roman" w:hAnsi="Times New Roman" w:cs="Times New Roman"/>
          <w:lang w:val="en-GB"/>
        </w:rPr>
        <w:t xml:space="preserve"> useful to obtain an “order of magnitude” of the impact, and to identify possible critical issues and aspects that will need to be investigated further</w:t>
      </w:r>
      <w:r w:rsidR="00F710C3">
        <w:rPr>
          <w:rFonts w:ascii="Times New Roman" w:hAnsi="Times New Roman" w:cs="Times New Roman"/>
          <w:lang w:val="en-GB"/>
        </w:rPr>
        <w:t xml:space="preserve"> in the future</w:t>
      </w:r>
      <w:r w:rsidRPr="008C3716">
        <w:rPr>
          <w:rFonts w:ascii="Times New Roman" w:hAnsi="Times New Roman" w:cs="Times New Roman"/>
          <w:lang w:val="en-GB"/>
        </w:rPr>
        <w:t>.</w:t>
      </w:r>
    </w:p>
    <w:p w14:paraId="1EBB50D1" w14:textId="77777777" w:rsidR="000B16AC" w:rsidRPr="008C3716" w:rsidRDefault="000B16AC" w:rsidP="000B16AC">
      <w:pPr>
        <w:pStyle w:val="TextMonsanto"/>
        <w:spacing w:line="480" w:lineRule="auto"/>
        <w:rPr>
          <w:rFonts w:ascii="Times New Roman" w:hAnsi="Times New Roman" w:cs="Times New Roman"/>
          <w:lang w:val="en-GB"/>
        </w:rPr>
      </w:pPr>
      <w:r w:rsidRPr="008C3716">
        <w:rPr>
          <w:rFonts w:ascii="Times New Roman" w:hAnsi="Times New Roman" w:cs="Times New Roman"/>
          <w:lang w:val="en-GB"/>
        </w:rPr>
        <w:lastRenderedPageBreak/>
        <w:t xml:space="preserve">For example, it can be observed that the total carbon footprint (from cradle to gate) associated with the 75 cl bottle of </w:t>
      </w:r>
      <w:proofErr w:type="spellStart"/>
      <w:r w:rsidRPr="008C3716">
        <w:rPr>
          <w:rFonts w:ascii="Times New Roman" w:hAnsi="Times New Roman" w:cs="Times New Roman"/>
          <w:lang w:val="en-GB"/>
        </w:rPr>
        <w:t>Arillo</w:t>
      </w:r>
      <w:proofErr w:type="spellEnd"/>
      <w:r w:rsidRPr="008C3716">
        <w:rPr>
          <w:rFonts w:ascii="Times New Roman" w:hAnsi="Times New Roman" w:cs="Times New Roman"/>
          <w:lang w:val="en-GB"/>
        </w:rPr>
        <w:t xml:space="preserve"> in </w:t>
      </w:r>
      <w:proofErr w:type="spellStart"/>
      <w:r w:rsidRPr="008C3716">
        <w:rPr>
          <w:rFonts w:ascii="Times New Roman" w:hAnsi="Times New Roman" w:cs="Times New Roman"/>
          <w:lang w:val="en-GB"/>
        </w:rPr>
        <w:t>Terrabianca’s</w:t>
      </w:r>
      <w:proofErr w:type="spellEnd"/>
      <w:r w:rsidRPr="008C3716">
        <w:rPr>
          <w:rFonts w:ascii="Times New Roman" w:hAnsi="Times New Roman" w:cs="Times New Roman"/>
          <w:lang w:val="en-GB"/>
        </w:rPr>
        <w:t xml:space="preserve"> wine, estimated at ~1.92 kg CO</w:t>
      </w:r>
      <w:r w:rsidRPr="008C3716">
        <w:rPr>
          <w:rFonts w:ascii="Times New Roman" w:hAnsi="Times New Roman" w:cs="Times New Roman"/>
          <w:vertAlign w:val="subscript"/>
          <w:lang w:val="en-GB"/>
        </w:rPr>
        <w:t>2</w:t>
      </w:r>
      <w:r w:rsidRPr="008C3716">
        <w:rPr>
          <w:rFonts w:ascii="Times New Roman" w:hAnsi="Times New Roman" w:cs="Times New Roman"/>
          <w:lang w:val="en-GB"/>
        </w:rPr>
        <w:t>-eq., is aligned with the average carbon footprint (~1.53 kg CO</w:t>
      </w:r>
      <w:r w:rsidRPr="008C3716">
        <w:rPr>
          <w:rFonts w:ascii="Times New Roman" w:hAnsi="Times New Roman" w:cs="Times New Roman"/>
          <w:vertAlign w:val="subscript"/>
          <w:lang w:val="en-GB"/>
        </w:rPr>
        <w:t>2</w:t>
      </w:r>
      <w:r w:rsidRPr="008C3716">
        <w:rPr>
          <w:rFonts w:ascii="Times New Roman" w:hAnsi="Times New Roman" w:cs="Times New Roman"/>
          <w:lang w:val="en-GB"/>
        </w:rPr>
        <w:t xml:space="preserve">-eq.) of the wines of the four companies that have a production size in the same order of magnitude (all companies except </w:t>
      </w:r>
      <w:proofErr w:type="spellStart"/>
      <w:r w:rsidRPr="008C3716">
        <w:rPr>
          <w:rFonts w:ascii="Times New Roman" w:hAnsi="Times New Roman" w:cs="Times New Roman"/>
          <w:lang w:val="en-GB"/>
        </w:rPr>
        <w:t>Produttori</w:t>
      </w:r>
      <w:proofErr w:type="spellEnd"/>
      <w:r w:rsidRPr="008C3716">
        <w:rPr>
          <w:rFonts w:ascii="Times New Roman" w:hAnsi="Times New Roman" w:cs="Times New Roman"/>
          <w:lang w:val="en-GB"/>
        </w:rPr>
        <w:t xml:space="preserve"> di </w:t>
      </w:r>
      <w:proofErr w:type="spellStart"/>
      <w:r w:rsidRPr="008C3716">
        <w:rPr>
          <w:rFonts w:ascii="Times New Roman" w:hAnsi="Times New Roman" w:cs="Times New Roman"/>
          <w:lang w:val="en-GB"/>
        </w:rPr>
        <w:t>Manduria</w:t>
      </w:r>
      <w:proofErr w:type="spellEnd"/>
      <w:r w:rsidRPr="008C3716">
        <w:rPr>
          <w:rFonts w:ascii="Times New Roman" w:hAnsi="Times New Roman" w:cs="Times New Roman"/>
          <w:lang w:val="en-GB"/>
        </w:rPr>
        <w:t xml:space="preserve">), although at the stage level the figure is more varied. </w:t>
      </w:r>
    </w:p>
    <w:p w14:paraId="22B9E264" w14:textId="208A77CA" w:rsidR="000B16AC" w:rsidRPr="008C3716" w:rsidRDefault="000B16AC" w:rsidP="000B16AC">
      <w:pPr>
        <w:pStyle w:val="TextMonsanto"/>
        <w:spacing w:line="480" w:lineRule="auto"/>
        <w:rPr>
          <w:rFonts w:ascii="Times New Roman" w:hAnsi="Times New Roman" w:cs="Times New Roman"/>
          <w:lang w:val="en-GB"/>
        </w:rPr>
      </w:pPr>
      <w:r w:rsidRPr="008C3716">
        <w:rPr>
          <w:rFonts w:ascii="Times New Roman" w:hAnsi="Times New Roman" w:cs="Times New Roman"/>
          <w:lang w:val="en-GB"/>
        </w:rPr>
        <w:t xml:space="preserve">Indeed, it turns out that Phase 1 (Farm) and Phase 3 (Bottling) have higher carbon footprints than the average (by more than 200 and 80 percent, respectively). This is mainly due to the low efficiency in resource usage (high consumptions in fossil fuels) resulting from the agricultural activities in Site C of Massa Marittima. </w:t>
      </w:r>
      <w:proofErr w:type="gramStart"/>
      <w:r w:rsidRPr="008C3716">
        <w:rPr>
          <w:rFonts w:ascii="Times New Roman" w:hAnsi="Times New Roman" w:cs="Times New Roman"/>
          <w:lang w:val="en-GB"/>
        </w:rPr>
        <w:t>With regard to</w:t>
      </w:r>
      <w:proofErr w:type="gramEnd"/>
      <w:r w:rsidRPr="008C3716">
        <w:rPr>
          <w:rFonts w:ascii="Times New Roman" w:hAnsi="Times New Roman" w:cs="Times New Roman"/>
          <w:lang w:val="en-GB"/>
        </w:rPr>
        <w:t xml:space="preserve"> the indicators of water footprint, however, the inverse scenario occurs, that is: </w:t>
      </w:r>
      <w:proofErr w:type="spellStart"/>
      <w:r w:rsidRPr="008C3716">
        <w:rPr>
          <w:rFonts w:ascii="Times New Roman" w:hAnsi="Times New Roman" w:cs="Times New Roman"/>
          <w:lang w:val="en-GB"/>
        </w:rPr>
        <w:t>Arillo</w:t>
      </w:r>
      <w:proofErr w:type="spellEnd"/>
      <w:r w:rsidRPr="008C3716">
        <w:rPr>
          <w:rFonts w:ascii="Times New Roman" w:hAnsi="Times New Roman" w:cs="Times New Roman"/>
          <w:lang w:val="en-GB"/>
        </w:rPr>
        <w:t xml:space="preserve"> in </w:t>
      </w:r>
      <w:proofErr w:type="spellStart"/>
      <w:r w:rsidRPr="008C3716">
        <w:rPr>
          <w:rFonts w:ascii="Times New Roman" w:hAnsi="Times New Roman" w:cs="Times New Roman"/>
          <w:lang w:val="en-GB"/>
        </w:rPr>
        <w:t>Terrabianca</w:t>
      </w:r>
      <w:proofErr w:type="spellEnd"/>
      <w:r w:rsidRPr="008C3716">
        <w:rPr>
          <w:rFonts w:ascii="Times New Roman" w:hAnsi="Times New Roman" w:cs="Times New Roman"/>
          <w:lang w:val="en-GB"/>
        </w:rPr>
        <w:t xml:space="preserve"> has typically lower impacts than the comparable literature averages. As reported in Table </w:t>
      </w:r>
      <w:r w:rsidR="00AF6295">
        <w:rPr>
          <w:rFonts w:ascii="Times New Roman" w:hAnsi="Times New Roman" w:cs="Times New Roman"/>
          <w:lang w:val="en-GB"/>
        </w:rPr>
        <w:t>S5</w:t>
      </w:r>
      <w:r w:rsidRPr="008C3716">
        <w:rPr>
          <w:rFonts w:ascii="Times New Roman" w:hAnsi="Times New Roman" w:cs="Times New Roman"/>
          <w:lang w:val="en-GB"/>
        </w:rPr>
        <w:t>, the difference between Site A and Sites B and C in terms of environmental performance is apparent, with carbon footprint values in Phase 1 (Farm) by ~70% and ~80% lower, respectively.</w:t>
      </w:r>
    </w:p>
    <w:p w14:paraId="502ED5CB" w14:textId="77777777" w:rsidR="000B16AC" w:rsidRPr="008C3716" w:rsidRDefault="000B16AC" w:rsidP="000B16AC">
      <w:pPr>
        <w:pStyle w:val="TextMonsanto"/>
        <w:spacing w:line="480" w:lineRule="auto"/>
        <w:rPr>
          <w:rFonts w:ascii="Times New Roman" w:hAnsi="Times New Roman" w:cs="Times New Roman"/>
          <w:lang w:val="en-GB"/>
        </w:rPr>
      </w:pPr>
    </w:p>
    <w:p w14:paraId="02787485" w14:textId="263AB7DC" w:rsidR="000B16AC" w:rsidRPr="00AF6295" w:rsidRDefault="000B16AC" w:rsidP="00AF6295">
      <w:pPr>
        <w:pStyle w:val="TextMonsanto"/>
        <w:spacing w:line="480" w:lineRule="auto"/>
        <w:jc w:val="center"/>
        <w:rPr>
          <w:rFonts w:ascii="Times New Roman" w:hAnsi="Times New Roman" w:cs="Times New Roman"/>
          <w:sz w:val="20"/>
          <w:szCs w:val="20"/>
          <w:lang w:val="en-GB"/>
        </w:rPr>
      </w:pPr>
      <w:r w:rsidRPr="00AF6295">
        <w:rPr>
          <w:rFonts w:ascii="Times New Roman" w:hAnsi="Times New Roman" w:cs="Times New Roman"/>
          <w:b/>
          <w:bCs/>
          <w:sz w:val="20"/>
          <w:szCs w:val="20"/>
          <w:lang w:val="en-GB"/>
        </w:rPr>
        <w:t xml:space="preserve">Table </w:t>
      </w:r>
      <w:r w:rsidR="0049360E">
        <w:rPr>
          <w:rFonts w:ascii="Times New Roman" w:hAnsi="Times New Roman" w:cs="Times New Roman"/>
          <w:b/>
          <w:bCs/>
          <w:sz w:val="20"/>
          <w:szCs w:val="20"/>
          <w:lang w:val="en-GB"/>
        </w:rPr>
        <w:t>S6</w:t>
      </w:r>
      <w:r w:rsidRPr="00AF6295">
        <w:rPr>
          <w:rFonts w:ascii="Times New Roman" w:hAnsi="Times New Roman" w:cs="Times New Roman"/>
          <w:b/>
          <w:bCs/>
          <w:sz w:val="20"/>
          <w:szCs w:val="20"/>
          <w:lang w:val="en-GB"/>
        </w:rPr>
        <w:t xml:space="preserve"> </w:t>
      </w:r>
      <w:r w:rsidRPr="00AF6295">
        <w:rPr>
          <w:rFonts w:ascii="Times New Roman" w:hAnsi="Times New Roman" w:cs="Times New Roman"/>
          <w:sz w:val="20"/>
          <w:szCs w:val="20"/>
          <w:lang w:val="en-GB"/>
        </w:rPr>
        <w:t xml:space="preserve">Calculation of carbon and water footprint indicators recommended by the </w:t>
      </w:r>
      <w:proofErr w:type="spellStart"/>
      <w:r w:rsidRPr="00AF6295">
        <w:rPr>
          <w:rFonts w:ascii="Times New Roman" w:hAnsi="Times New Roman" w:cs="Times New Roman"/>
          <w:sz w:val="20"/>
          <w:szCs w:val="20"/>
          <w:lang w:val="en-GB"/>
        </w:rPr>
        <w:t>Equalitas</w:t>
      </w:r>
      <w:proofErr w:type="spellEnd"/>
      <w:r w:rsidRPr="00AF6295">
        <w:rPr>
          <w:rFonts w:ascii="Times New Roman" w:hAnsi="Times New Roman" w:cs="Times New Roman"/>
          <w:sz w:val="20"/>
          <w:szCs w:val="20"/>
          <w:lang w:val="en-GB"/>
        </w:rPr>
        <w:t xml:space="preserve"> standard: detailed results by site of production for the wine of </w:t>
      </w:r>
      <w:proofErr w:type="spellStart"/>
      <w:r w:rsidRPr="00AF6295">
        <w:rPr>
          <w:rFonts w:ascii="Times New Roman" w:hAnsi="Times New Roman" w:cs="Times New Roman"/>
          <w:sz w:val="20"/>
          <w:szCs w:val="20"/>
          <w:lang w:val="en-GB"/>
        </w:rPr>
        <w:t>Arillo</w:t>
      </w:r>
      <w:proofErr w:type="spellEnd"/>
      <w:r w:rsidRPr="00AF6295">
        <w:rPr>
          <w:rFonts w:ascii="Times New Roman" w:hAnsi="Times New Roman" w:cs="Times New Roman"/>
          <w:sz w:val="20"/>
          <w:szCs w:val="20"/>
          <w:lang w:val="en-GB"/>
        </w:rPr>
        <w:t xml:space="preserve"> in </w:t>
      </w:r>
      <w:proofErr w:type="spellStart"/>
      <w:r w:rsidRPr="00AF6295">
        <w:rPr>
          <w:rFonts w:ascii="Times New Roman" w:hAnsi="Times New Roman" w:cs="Times New Roman"/>
          <w:sz w:val="20"/>
          <w:szCs w:val="20"/>
          <w:lang w:val="en-GB"/>
        </w:rPr>
        <w:t>Terrabianca</w:t>
      </w:r>
      <w:proofErr w:type="spellEnd"/>
      <w:r w:rsidRPr="00AF6295">
        <w:rPr>
          <w:rFonts w:ascii="Times New Roman" w:hAnsi="Times New Roman" w:cs="Times New Roman"/>
          <w:sz w:val="20"/>
          <w:szCs w:val="20"/>
          <w:lang w:val="en-GB"/>
        </w:rPr>
        <w:t>.</w:t>
      </w:r>
    </w:p>
    <w:tbl>
      <w:tblPr>
        <w:tblW w:w="5000" w:type="pct"/>
        <w:tblLayout w:type="fixed"/>
        <w:tblCellMar>
          <w:left w:w="28" w:type="dxa"/>
          <w:right w:w="28" w:type="dxa"/>
        </w:tblCellMar>
        <w:tblLook w:val="04A0" w:firstRow="1" w:lastRow="0" w:firstColumn="1" w:lastColumn="0" w:noHBand="0" w:noVBand="1"/>
      </w:tblPr>
      <w:tblGrid>
        <w:gridCol w:w="3682"/>
        <w:gridCol w:w="2270"/>
        <w:gridCol w:w="851"/>
        <w:gridCol w:w="851"/>
        <w:gridCol w:w="849"/>
        <w:gridCol w:w="1125"/>
      </w:tblGrid>
      <w:tr w:rsidR="000B16AC" w:rsidRPr="008C3716" w14:paraId="74D2B364" w14:textId="77777777" w:rsidTr="00AF6295">
        <w:trPr>
          <w:trHeight w:val="227"/>
          <w:tblHeader/>
        </w:trPr>
        <w:tc>
          <w:tcPr>
            <w:tcW w:w="1912" w:type="pct"/>
            <w:tcBorders>
              <w:top w:val="single" w:sz="4" w:space="0" w:color="auto"/>
              <w:left w:val="single" w:sz="4" w:space="0" w:color="auto"/>
              <w:bottom w:val="single" w:sz="4" w:space="0" w:color="auto"/>
              <w:right w:val="single" w:sz="4" w:space="0" w:color="auto"/>
            </w:tcBorders>
            <w:shd w:val="clear" w:color="auto" w:fill="C5E0B3"/>
            <w:noWrap/>
            <w:vAlign w:val="center"/>
            <w:hideMark/>
          </w:tcPr>
          <w:p w14:paraId="621AB83A" w14:textId="77777777" w:rsidR="000B16AC" w:rsidRPr="00AF6295" w:rsidRDefault="000B16AC" w:rsidP="00AF6295">
            <w:pPr>
              <w:spacing w:line="240" w:lineRule="auto"/>
              <w:jc w:val="left"/>
              <w:rPr>
                <w:rFonts w:ascii="Times New Roman" w:hAnsi="Times New Roman" w:cs="Times New Roman"/>
                <w:b/>
                <w:bCs/>
                <w:sz w:val="20"/>
                <w:szCs w:val="20"/>
                <w:lang w:eastAsia="en-GB"/>
              </w:rPr>
            </w:pPr>
            <w:r w:rsidRPr="00AF6295">
              <w:rPr>
                <w:rFonts w:ascii="Times New Roman" w:hAnsi="Times New Roman" w:cs="Times New Roman"/>
                <w:b/>
                <w:bCs/>
                <w:sz w:val="20"/>
                <w:szCs w:val="20"/>
                <w:lang w:eastAsia="en-GB"/>
              </w:rPr>
              <w:t>Indicators by phase</w:t>
            </w:r>
          </w:p>
        </w:tc>
        <w:tc>
          <w:tcPr>
            <w:tcW w:w="1179" w:type="pct"/>
            <w:tcBorders>
              <w:top w:val="single" w:sz="4" w:space="0" w:color="auto"/>
              <w:left w:val="nil"/>
              <w:bottom w:val="single" w:sz="4" w:space="0" w:color="auto"/>
              <w:right w:val="single" w:sz="4" w:space="0" w:color="auto"/>
            </w:tcBorders>
            <w:shd w:val="clear" w:color="auto" w:fill="C5E0B3"/>
            <w:noWrap/>
            <w:vAlign w:val="center"/>
            <w:hideMark/>
          </w:tcPr>
          <w:p w14:paraId="361A85D4" w14:textId="77777777" w:rsidR="000B16AC" w:rsidRPr="00AF6295" w:rsidRDefault="000B16AC" w:rsidP="00AF6295">
            <w:pPr>
              <w:spacing w:line="240" w:lineRule="auto"/>
              <w:jc w:val="center"/>
              <w:rPr>
                <w:rFonts w:ascii="Times New Roman" w:hAnsi="Times New Roman" w:cs="Times New Roman"/>
                <w:b/>
                <w:bCs/>
                <w:sz w:val="20"/>
                <w:szCs w:val="20"/>
                <w:lang w:eastAsia="en-GB"/>
              </w:rPr>
            </w:pPr>
            <w:r w:rsidRPr="00AF6295">
              <w:rPr>
                <w:rFonts w:ascii="Times New Roman" w:hAnsi="Times New Roman" w:cs="Times New Roman"/>
                <w:b/>
                <w:bCs/>
                <w:sz w:val="20"/>
                <w:szCs w:val="20"/>
                <w:lang w:eastAsia="en-GB"/>
              </w:rPr>
              <w:t>Reporting unit</w:t>
            </w:r>
          </w:p>
        </w:tc>
        <w:tc>
          <w:tcPr>
            <w:tcW w:w="442" w:type="pct"/>
            <w:tcBorders>
              <w:top w:val="single" w:sz="4" w:space="0" w:color="auto"/>
              <w:left w:val="nil"/>
              <w:bottom w:val="single" w:sz="4" w:space="0" w:color="auto"/>
              <w:right w:val="single" w:sz="4" w:space="0" w:color="auto"/>
            </w:tcBorders>
            <w:shd w:val="clear" w:color="auto" w:fill="C5E0B3"/>
            <w:noWrap/>
            <w:vAlign w:val="center"/>
            <w:hideMark/>
          </w:tcPr>
          <w:p w14:paraId="328CF10E" w14:textId="77777777" w:rsidR="000B16AC" w:rsidRPr="00AF6295" w:rsidRDefault="000B16AC" w:rsidP="00AF6295">
            <w:pPr>
              <w:spacing w:line="240" w:lineRule="auto"/>
              <w:jc w:val="center"/>
              <w:rPr>
                <w:rFonts w:ascii="Times New Roman" w:hAnsi="Times New Roman" w:cs="Times New Roman"/>
                <w:b/>
                <w:bCs/>
                <w:sz w:val="20"/>
                <w:szCs w:val="20"/>
                <w:lang w:eastAsia="en-GB"/>
              </w:rPr>
            </w:pPr>
            <w:r w:rsidRPr="00AF6295">
              <w:rPr>
                <w:rFonts w:ascii="Times New Roman" w:hAnsi="Times New Roman" w:cs="Times New Roman"/>
                <w:b/>
                <w:bCs/>
                <w:sz w:val="20"/>
                <w:szCs w:val="20"/>
                <w:lang w:eastAsia="en-GB"/>
              </w:rPr>
              <w:t>Site A</w:t>
            </w:r>
          </w:p>
        </w:tc>
        <w:tc>
          <w:tcPr>
            <w:tcW w:w="442" w:type="pct"/>
            <w:tcBorders>
              <w:top w:val="single" w:sz="4" w:space="0" w:color="auto"/>
              <w:left w:val="nil"/>
              <w:bottom w:val="single" w:sz="4" w:space="0" w:color="auto"/>
              <w:right w:val="single" w:sz="4" w:space="0" w:color="auto"/>
            </w:tcBorders>
            <w:shd w:val="clear" w:color="auto" w:fill="C5E0B3"/>
            <w:noWrap/>
            <w:vAlign w:val="center"/>
            <w:hideMark/>
          </w:tcPr>
          <w:p w14:paraId="64087429" w14:textId="77777777" w:rsidR="000B16AC" w:rsidRPr="00AF6295" w:rsidRDefault="000B16AC" w:rsidP="00AF6295">
            <w:pPr>
              <w:spacing w:line="240" w:lineRule="auto"/>
              <w:jc w:val="center"/>
              <w:rPr>
                <w:rFonts w:ascii="Times New Roman" w:hAnsi="Times New Roman" w:cs="Times New Roman"/>
                <w:b/>
                <w:bCs/>
                <w:sz w:val="20"/>
                <w:szCs w:val="20"/>
                <w:lang w:eastAsia="en-GB"/>
              </w:rPr>
            </w:pPr>
            <w:r w:rsidRPr="00AF6295">
              <w:rPr>
                <w:rFonts w:ascii="Times New Roman" w:hAnsi="Times New Roman" w:cs="Times New Roman"/>
                <w:b/>
                <w:bCs/>
                <w:sz w:val="20"/>
                <w:szCs w:val="20"/>
                <w:lang w:eastAsia="en-GB"/>
              </w:rPr>
              <w:t>Site B</w:t>
            </w:r>
          </w:p>
        </w:tc>
        <w:tc>
          <w:tcPr>
            <w:tcW w:w="441" w:type="pct"/>
            <w:tcBorders>
              <w:top w:val="single" w:sz="4" w:space="0" w:color="auto"/>
              <w:left w:val="nil"/>
              <w:bottom w:val="single" w:sz="4" w:space="0" w:color="auto"/>
              <w:right w:val="single" w:sz="4" w:space="0" w:color="auto"/>
            </w:tcBorders>
            <w:shd w:val="clear" w:color="auto" w:fill="C5E0B3"/>
            <w:noWrap/>
            <w:vAlign w:val="center"/>
            <w:hideMark/>
          </w:tcPr>
          <w:p w14:paraId="335D2D13" w14:textId="77777777" w:rsidR="000B16AC" w:rsidRPr="00AF6295" w:rsidRDefault="000B16AC" w:rsidP="00AF6295">
            <w:pPr>
              <w:spacing w:line="240" w:lineRule="auto"/>
              <w:jc w:val="center"/>
              <w:rPr>
                <w:rFonts w:ascii="Times New Roman" w:hAnsi="Times New Roman" w:cs="Times New Roman"/>
                <w:b/>
                <w:bCs/>
                <w:sz w:val="20"/>
                <w:szCs w:val="20"/>
                <w:lang w:eastAsia="en-GB"/>
              </w:rPr>
            </w:pPr>
            <w:r w:rsidRPr="00AF6295">
              <w:rPr>
                <w:rFonts w:ascii="Times New Roman" w:hAnsi="Times New Roman" w:cs="Times New Roman"/>
                <w:b/>
                <w:bCs/>
                <w:sz w:val="20"/>
                <w:szCs w:val="20"/>
                <w:lang w:eastAsia="en-GB"/>
              </w:rPr>
              <w:t>Site C</w:t>
            </w:r>
          </w:p>
        </w:tc>
        <w:tc>
          <w:tcPr>
            <w:tcW w:w="585" w:type="pct"/>
            <w:tcBorders>
              <w:top w:val="single" w:sz="4" w:space="0" w:color="auto"/>
              <w:left w:val="nil"/>
              <w:bottom w:val="single" w:sz="4" w:space="0" w:color="auto"/>
              <w:right w:val="single" w:sz="4" w:space="0" w:color="auto"/>
            </w:tcBorders>
            <w:shd w:val="clear" w:color="auto" w:fill="C5E0B3"/>
            <w:noWrap/>
            <w:vAlign w:val="center"/>
            <w:hideMark/>
          </w:tcPr>
          <w:p w14:paraId="18970620" w14:textId="77777777" w:rsidR="000B16AC" w:rsidRPr="00AF6295" w:rsidRDefault="000B16AC" w:rsidP="00AF6295">
            <w:pPr>
              <w:spacing w:line="240" w:lineRule="auto"/>
              <w:jc w:val="center"/>
              <w:rPr>
                <w:rFonts w:ascii="Times New Roman" w:hAnsi="Times New Roman" w:cs="Times New Roman"/>
                <w:b/>
                <w:bCs/>
                <w:sz w:val="20"/>
                <w:szCs w:val="20"/>
                <w:lang w:eastAsia="en-GB"/>
              </w:rPr>
            </w:pPr>
            <w:r w:rsidRPr="00AF6295">
              <w:rPr>
                <w:rFonts w:ascii="Times New Roman" w:hAnsi="Times New Roman" w:cs="Times New Roman"/>
                <w:b/>
                <w:bCs/>
                <w:sz w:val="20"/>
                <w:szCs w:val="20"/>
                <w:lang w:eastAsia="en-GB"/>
              </w:rPr>
              <w:t>O-LCA model</w:t>
            </w:r>
          </w:p>
        </w:tc>
      </w:tr>
      <w:tr w:rsidR="000B16AC" w:rsidRPr="008C3716" w14:paraId="6D8C95D9" w14:textId="77777777" w:rsidTr="00AF6295">
        <w:trPr>
          <w:trHeight w:val="227"/>
          <w:tblHeader/>
        </w:trPr>
        <w:tc>
          <w:tcPr>
            <w:tcW w:w="1912" w:type="pct"/>
            <w:tcBorders>
              <w:top w:val="nil"/>
              <w:left w:val="single" w:sz="4" w:space="0" w:color="auto"/>
              <w:bottom w:val="nil"/>
              <w:right w:val="single" w:sz="4" w:space="0" w:color="auto"/>
            </w:tcBorders>
            <w:noWrap/>
            <w:vAlign w:val="bottom"/>
            <w:hideMark/>
          </w:tcPr>
          <w:p w14:paraId="52390541" w14:textId="77777777" w:rsidR="000B16AC" w:rsidRPr="00AF6295" w:rsidRDefault="000B16AC" w:rsidP="00AF6295">
            <w:pPr>
              <w:spacing w:line="240" w:lineRule="auto"/>
              <w:jc w:val="left"/>
              <w:rPr>
                <w:rFonts w:ascii="Times New Roman" w:hAnsi="Times New Roman" w:cs="Times New Roman"/>
                <w:b/>
                <w:bCs/>
                <w:sz w:val="18"/>
                <w:szCs w:val="18"/>
                <w:lang w:eastAsia="en-GB"/>
              </w:rPr>
            </w:pPr>
            <w:r w:rsidRPr="00AF6295">
              <w:rPr>
                <w:rFonts w:ascii="Times New Roman" w:hAnsi="Times New Roman" w:cs="Times New Roman"/>
                <w:b/>
                <w:bCs/>
                <w:sz w:val="18"/>
                <w:szCs w:val="18"/>
                <w:lang w:eastAsia="en-GB"/>
              </w:rPr>
              <w:t>Carbon Footprint</w:t>
            </w:r>
          </w:p>
        </w:tc>
        <w:tc>
          <w:tcPr>
            <w:tcW w:w="1179" w:type="pct"/>
            <w:tcBorders>
              <w:top w:val="nil"/>
              <w:left w:val="nil"/>
              <w:bottom w:val="single" w:sz="4" w:space="0" w:color="auto"/>
              <w:right w:val="single" w:sz="4" w:space="0" w:color="auto"/>
            </w:tcBorders>
            <w:noWrap/>
            <w:vAlign w:val="center"/>
            <w:hideMark/>
          </w:tcPr>
          <w:p w14:paraId="708B6740" w14:textId="77777777" w:rsidR="000B16AC" w:rsidRPr="00AF6295" w:rsidRDefault="000B16AC" w:rsidP="00AF6295">
            <w:pPr>
              <w:spacing w:line="240" w:lineRule="auto"/>
              <w:jc w:val="center"/>
              <w:rPr>
                <w:rFonts w:ascii="Times New Roman" w:hAnsi="Times New Roman" w:cs="Times New Roman"/>
                <w:b/>
                <w:bCs/>
                <w:sz w:val="18"/>
                <w:szCs w:val="18"/>
                <w:lang w:eastAsia="en-GB"/>
              </w:rPr>
            </w:pPr>
          </w:p>
        </w:tc>
        <w:tc>
          <w:tcPr>
            <w:tcW w:w="1910" w:type="pct"/>
            <w:gridSpan w:val="4"/>
            <w:tcBorders>
              <w:top w:val="single" w:sz="4" w:space="0" w:color="auto"/>
              <w:left w:val="nil"/>
              <w:bottom w:val="single" w:sz="4" w:space="0" w:color="auto"/>
              <w:right w:val="single" w:sz="4" w:space="0" w:color="000000"/>
            </w:tcBorders>
            <w:noWrap/>
            <w:vAlign w:val="center"/>
            <w:hideMark/>
          </w:tcPr>
          <w:p w14:paraId="2F04FDE2" w14:textId="77777777" w:rsidR="000B16AC" w:rsidRPr="00AF6295" w:rsidRDefault="000B16AC" w:rsidP="00AF6295">
            <w:pPr>
              <w:spacing w:line="240" w:lineRule="auto"/>
              <w:jc w:val="center"/>
              <w:rPr>
                <w:rFonts w:ascii="Times New Roman" w:hAnsi="Times New Roman" w:cs="Times New Roman"/>
                <w:b/>
                <w:bCs/>
                <w:sz w:val="18"/>
                <w:szCs w:val="18"/>
                <w:lang w:eastAsia="en-GB"/>
              </w:rPr>
            </w:pPr>
            <w:r w:rsidRPr="00AF6295">
              <w:rPr>
                <w:rFonts w:ascii="Times New Roman" w:hAnsi="Times New Roman" w:cs="Times New Roman"/>
                <w:b/>
                <w:bCs/>
                <w:sz w:val="18"/>
                <w:szCs w:val="18"/>
                <w:lang w:eastAsia="en-GB"/>
              </w:rPr>
              <w:t>(kg CO</w:t>
            </w:r>
            <w:r w:rsidRPr="00AF6295">
              <w:rPr>
                <w:rFonts w:ascii="Times New Roman" w:hAnsi="Times New Roman" w:cs="Times New Roman"/>
                <w:b/>
                <w:bCs/>
                <w:sz w:val="18"/>
                <w:szCs w:val="18"/>
                <w:vertAlign w:val="subscript"/>
                <w:lang w:eastAsia="en-GB"/>
              </w:rPr>
              <w:t>2</w:t>
            </w:r>
            <w:r w:rsidRPr="00AF6295">
              <w:rPr>
                <w:rFonts w:ascii="Times New Roman" w:hAnsi="Times New Roman" w:cs="Times New Roman"/>
                <w:b/>
                <w:bCs/>
                <w:sz w:val="18"/>
                <w:szCs w:val="18"/>
                <w:lang w:eastAsia="en-GB"/>
              </w:rPr>
              <w:t>-eq.)</w:t>
            </w:r>
          </w:p>
        </w:tc>
      </w:tr>
      <w:tr w:rsidR="000B16AC" w:rsidRPr="008C3716" w14:paraId="79604D5E" w14:textId="77777777" w:rsidTr="00AF6295">
        <w:trPr>
          <w:trHeight w:val="227"/>
          <w:tblHeader/>
        </w:trPr>
        <w:tc>
          <w:tcPr>
            <w:tcW w:w="1912" w:type="pct"/>
            <w:tcBorders>
              <w:top w:val="single" w:sz="4" w:space="0" w:color="auto"/>
              <w:left w:val="single" w:sz="4" w:space="0" w:color="auto"/>
              <w:bottom w:val="single" w:sz="4" w:space="0" w:color="auto"/>
              <w:right w:val="single" w:sz="4" w:space="0" w:color="auto"/>
            </w:tcBorders>
            <w:noWrap/>
            <w:vAlign w:val="center"/>
            <w:hideMark/>
          </w:tcPr>
          <w:p w14:paraId="455DA25D" w14:textId="77777777" w:rsidR="000B16AC" w:rsidRPr="00AF6295" w:rsidRDefault="000B16AC" w:rsidP="00AF6295">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Farm (phase 1)</w:t>
            </w:r>
          </w:p>
        </w:tc>
        <w:tc>
          <w:tcPr>
            <w:tcW w:w="1179" w:type="pct"/>
            <w:tcBorders>
              <w:top w:val="nil"/>
              <w:left w:val="nil"/>
              <w:bottom w:val="single" w:sz="4" w:space="0" w:color="auto"/>
              <w:right w:val="single" w:sz="4" w:space="0" w:color="auto"/>
            </w:tcBorders>
            <w:noWrap/>
            <w:vAlign w:val="center"/>
            <w:hideMark/>
          </w:tcPr>
          <w:p w14:paraId="342A9F6E"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100 kg of grapes</w:t>
            </w:r>
          </w:p>
        </w:tc>
        <w:tc>
          <w:tcPr>
            <w:tcW w:w="442" w:type="pct"/>
            <w:tcBorders>
              <w:top w:val="nil"/>
              <w:left w:val="nil"/>
              <w:bottom w:val="single" w:sz="4" w:space="0" w:color="auto"/>
              <w:right w:val="single" w:sz="4" w:space="0" w:color="auto"/>
            </w:tcBorders>
            <w:noWrap/>
            <w:vAlign w:val="center"/>
            <w:hideMark/>
          </w:tcPr>
          <w:p w14:paraId="62330A0A"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38.16</w:t>
            </w:r>
          </w:p>
        </w:tc>
        <w:tc>
          <w:tcPr>
            <w:tcW w:w="442" w:type="pct"/>
            <w:tcBorders>
              <w:top w:val="nil"/>
              <w:left w:val="nil"/>
              <w:bottom w:val="single" w:sz="4" w:space="0" w:color="auto"/>
              <w:right w:val="single" w:sz="4" w:space="0" w:color="auto"/>
            </w:tcBorders>
            <w:noWrap/>
            <w:vAlign w:val="center"/>
            <w:hideMark/>
          </w:tcPr>
          <w:p w14:paraId="5B14FB9F"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180.67</w:t>
            </w:r>
          </w:p>
        </w:tc>
        <w:tc>
          <w:tcPr>
            <w:tcW w:w="441" w:type="pct"/>
            <w:tcBorders>
              <w:top w:val="nil"/>
              <w:left w:val="nil"/>
              <w:bottom w:val="single" w:sz="4" w:space="0" w:color="auto"/>
              <w:right w:val="single" w:sz="4" w:space="0" w:color="auto"/>
            </w:tcBorders>
            <w:noWrap/>
            <w:vAlign w:val="center"/>
            <w:hideMark/>
          </w:tcPr>
          <w:p w14:paraId="4F05E25F"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125.95</w:t>
            </w:r>
          </w:p>
        </w:tc>
        <w:tc>
          <w:tcPr>
            <w:tcW w:w="585" w:type="pct"/>
            <w:tcBorders>
              <w:top w:val="nil"/>
              <w:left w:val="nil"/>
              <w:bottom w:val="single" w:sz="4" w:space="0" w:color="auto"/>
              <w:right w:val="single" w:sz="4" w:space="0" w:color="auto"/>
            </w:tcBorders>
            <w:noWrap/>
            <w:vAlign w:val="center"/>
            <w:hideMark/>
          </w:tcPr>
          <w:p w14:paraId="2FCA27A9"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104.42</w:t>
            </w:r>
          </w:p>
        </w:tc>
      </w:tr>
      <w:tr w:rsidR="000B16AC" w:rsidRPr="008C3716" w14:paraId="0F3AF6A1" w14:textId="77777777" w:rsidTr="00AF6295">
        <w:trPr>
          <w:trHeight w:val="227"/>
          <w:tblHeader/>
        </w:trPr>
        <w:tc>
          <w:tcPr>
            <w:tcW w:w="1912" w:type="pct"/>
            <w:tcBorders>
              <w:top w:val="nil"/>
              <w:left w:val="single" w:sz="4" w:space="0" w:color="auto"/>
              <w:bottom w:val="single" w:sz="4" w:space="0" w:color="auto"/>
              <w:right w:val="single" w:sz="4" w:space="0" w:color="auto"/>
            </w:tcBorders>
            <w:noWrap/>
            <w:vAlign w:val="center"/>
            <w:hideMark/>
          </w:tcPr>
          <w:p w14:paraId="7E84FA38" w14:textId="77777777" w:rsidR="000B16AC" w:rsidRPr="00AF6295" w:rsidRDefault="000B16AC" w:rsidP="00AF6295">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Winery (phase 2)</w:t>
            </w:r>
          </w:p>
        </w:tc>
        <w:tc>
          <w:tcPr>
            <w:tcW w:w="1179" w:type="pct"/>
            <w:tcBorders>
              <w:top w:val="nil"/>
              <w:left w:val="nil"/>
              <w:bottom w:val="single" w:sz="4" w:space="0" w:color="auto"/>
              <w:right w:val="single" w:sz="4" w:space="0" w:color="auto"/>
            </w:tcBorders>
            <w:noWrap/>
            <w:vAlign w:val="center"/>
            <w:hideMark/>
          </w:tcPr>
          <w:p w14:paraId="4E8025E9"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1 L of bulk wine</w:t>
            </w:r>
          </w:p>
        </w:tc>
        <w:tc>
          <w:tcPr>
            <w:tcW w:w="442" w:type="pct"/>
            <w:tcBorders>
              <w:top w:val="nil"/>
              <w:left w:val="nil"/>
              <w:bottom w:val="single" w:sz="4" w:space="0" w:color="auto"/>
              <w:right w:val="single" w:sz="4" w:space="0" w:color="auto"/>
            </w:tcBorders>
            <w:noWrap/>
            <w:vAlign w:val="center"/>
            <w:hideMark/>
          </w:tcPr>
          <w:p w14:paraId="253B4752"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0.40</w:t>
            </w:r>
          </w:p>
        </w:tc>
        <w:tc>
          <w:tcPr>
            <w:tcW w:w="442" w:type="pct"/>
            <w:tcBorders>
              <w:top w:val="nil"/>
              <w:left w:val="nil"/>
              <w:bottom w:val="single" w:sz="4" w:space="0" w:color="auto"/>
              <w:right w:val="single" w:sz="4" w:space="0" w:color="auto"/>
            </w:tcBorders>
            <w:noWrap/>
            <w:vAlign w:val="center"/>
            <w:hideMark/>
          </w:tcPr>
          <w:p w14:paraId="6E2BC8F0"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n.d.</w:t>
            </w:r>
          </w:p>
        </w:tc>
        <w:tc>
          <w:tcPr>
            <w:tcW w:w="441" w:type="pct"/>
            <w:tcBorders>
              <w:top w:val="nil"/>
              <w:left w:val="nil"/>
              <w:bottom w:val="single" w:sz="4" w:space="0" w:color="auto"/>
              <w:right w:val="single" w:sz="4" w:space="0" w:color="auto"/>
            </w:tcBorders>
            <w:noWrap/>
            <w:vAlign w:val="center"/>
            <w:hideMark/>
          </w:tcPr>
          <w:p w14:paraId="20C88937"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0.19</w:t>
            </w:r>
          </w:p>
        </w:tc>
        <w:tc>
          <w:tcPr>
            <w:tcW w:w="585" w:type="pct"/>
            <w:tcBorders>
              <w:top w:val="nil"/>
              <w:left w:val="nil"/>
              <w:bottom w:val="single" w:sz="4" w:space="0" w:color="auto"/>
              <w:right w:val="single" w:sz="4" w:space="0" w:color="auto"/>
            </w:tcBorders>
            <w:noWrap/>
            <w:vAlign w:val="center"/>
            <w:hideMark/>
          </w:tcPr>
          <w:p w14:paraId="4844B75B"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0.28</w:t>
            </w:r>
          </w:p>
        </w:tc>
      </w:tr>
      <w:tr w:rsidR="000B16AC" w:rsidRPr="008C3716" w14:paraId="1C8851C9" w14:textId="77777777" w:rsidTr="00AF6295">
        <w:trPr>
          <w:trHeight w:val="227"/>
          <w:tblHeader/>
        </w:trPr>
        <w:tc>
          <w:tcPr>
            <w:tcW w:w="1912" w:type="pct"/>
            <w:tcBorders>
              <w:top w:val="nil"/>
              <w:left w:val="single" w:sz="4" w:space="0" w:color="auto"/>
              <w:bottom w:val="single" w:sz="4" w:space="0" w:color="auto"/>
              <w:right w:val="single" w:sz="4" w:space="0" w:color="auto"/>
            </w:tcBorders>
            <w:noWrap/>
            <w:vAlign w:val="center"/>
            <w:hideMark/>
          </w:tcPr>
          <w:p w14:paraId="6414266C" w14:textId="77777777" w:rsidR="000B16AC" w:rsidRPr="00AF6295" w:rsidRDefault="000B16AC" w:rsidP="00AF6295">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Bottling / Conditioning (phase 3)</w:t>
            </w:r>
          </w:p>
        </w:tc>
        <w:tc>
          <w:tcPr>
            <w:tcW w:w="1179" w:type="pct"/>
            <w:tcBorders>
              <w:top w:val="nil"/>
              <w:left w:val="nil"/>
              <w:bottom w:val="single" w:sz="4" w:space="0" w:color="auto"/>
              <w:right w:val="single" w:sz="4" w:space="0" w:color="auto"/>
            </w:tcBorders>
            <w:noWrap/>
            <w:vAlign w:val="center"/>
            <w:hideMark/>
          </w:tcPr>
          <w:p w14:paraId="7412F651"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0.75 l of bottled wine</w:t>
            </w:r>
          </w:p>
        </w:tc>
        <w:tc>
          <w:tcPr>
            <w:tcW w:w="442" w:type="pct"/>
            <w:tcBorders>
              <w:top w:val="nil"/>
              <w:left w:val="nil"/>
              <w:bottom w:val="single" w:sz="4" w:space="0" w:color="auto"/>
              <w:right w:val="single" w:sz="4" w:space="0" w:color="auto"/>
            </w:tcBorders>
            <w:noWrap/>
            <w:vAlign w:val="center"/>
            <w:hideMark/>
          </w:tcPr>
          <w:p w14:paraId="16806FA6"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0.81</w:t>
            </w:r>
          </w:p>
        </w:tc>
        <w:tc>
          <w:tcPr>
            <w:tcW w:w="442" w:type="pct"/>
            <w:tcBorders>
              <w:top w:val="nil"/>
              <w:left w:val="nil"/>
              <w:bottom w:val="single" w:sz="4" w:space="0" w:color="auto"/>
              <w:right w:val="single" w:sz="4" w:space="0" w:color="auto"/>
            </w:tcBorders>
            <w:noWrap/>
            <w:vAlign w:val="center"/>
            <w:hideMark/>
          </w:tcPr>
          <w:p w14:paraId="5847EE46"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n.d.</w:t>
            </w:r>
          </w:p>
        </w:tc>
        <w:tc>
          <w:tcPr>
            <w:tcW w:w="441" w:type="pct"/>
            <w:tcBorders>
              <w:top w:val="nil"/>
              <w:left w:val="nil"/>
              <w:bottom w:val="single" w:sz="4" w:space="0" w:color="auto"/>
              <w:right w:val="single" w:sz="4" w:space="0" w:color="auto"/>
            </w:tcBorders>
            <w:noWrap/>
            <w:vAlign w:val="center"/>
            <w:hideMark/>
          </w:tcPr>
          <w:p w14:paraId="5A8CCB65"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0.87</w:t>
            </w:r>
          </w:p>
        </w:tc>
        <w:tc>
          <w:tcPr>
            <w:tcW w:w="585" w:type="pct"/>
            <w:tcBorders>
              <w:top w:val="nil"/>
              <w:left w:val="nil"/>
              <w:bottom w:val="single" w:sz="4" w:space="0" w:color="auto"/>
              <w:right w:val="single" w:sz="4" w:space="0" w:color="auto"/>
            </w:tcBorders>
            <w:noWrap/>
            <w:vAlign w:val="center"/>
            <w:hideMark/>
          </w:tcPr>
          <w:p w14:paraId="6663C4F8"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0.85</w:t>
            </w:r>
          </w:p>
        </w:tc>
      </w:tr>
      <w:tr w:rsidR="000B16AC" w:rsidRPr="008C3716" w14:paraId="062D6020" w14:textId="77777777" w:rsidTr="00AF6295">
        <w:trPr>
          <w:trHeight w:val="227"/>
          <w:tblHeader/>
        </w:trPr>
        <w:tc>
          <w:tcPr>
            <w:tcW w:w="1912" w:type="pct"/>
            <w:tcBorders>
              <w:top w:val="nil"/>
              <w:left w:val="single" w:sz="4" w:space="0" w:color="auto"/>
              <w:bottom w:val="nil"/>
              <w:right w:val="single" w:sz="4" w:space="0" w:color="auto"/>
            </w:tcBorders>
            <w:noWrap/>
            <w:vAlign w:val="center"/>
            <w:hideMark/>
          </w:tcPr>
          <w:p w14:paraId="34B650E1" w14:textId="77777777" w:rsidR="000B16AC" w:rsidRPr="00AF6295" w:rsidRDefault="000B16AC" w:rsidP="00AF6295">
            <w:pPr>
              <w:spacing w:line="240" w:lineRule="auto"/>
              <w:jc w:val="left"/>
              <w:rPr>
                <w:rFonts w:ascii="Times New Roman" w:hAnsi="Times New Roman" w:cs="Times New Roman"/>
                <w:b/>
                <w:bCs/>
                <w:sz w:val="18"/>
                <w:szCs w:val="18"/>
                <w:lang w:eastAsia="en-GB"/>
              </w:rPr>
            </w:pPr>
            <w:r w:rsidRPr="00AF6295">
              <w:rPr>
                <w:rFonts w:ascii="Times New Roman" w:hAnsi="Times New Roman" w:cs="Times New Roman"/>
                <w:b/>
                <w:bCs/>
                <w:sz w:val="18"/>
                <w:szCs w:val="18"/>
                <w:lang w:eastAsia="en-GB"/>
              </w:rPr>
              <w:t>Water Footprint – Water resource scarcity</w:t>
            </w:r>
          </w:p>
        </w:tc>
        <w:tc>
          <w:tcPr>
            <w:tcW w:w="1179" w:type="pct"/>
            <w:tcBorders>
              <w:top w:val="nil"/>
              <w:left w:val="nil"/>
              <w:bottom w:val="single" w:sz="4" w:space="0" w:color="auto"/>
              <w:right w:val="single" w:sz="4" w:space="0" w:color="auto"/>
            </w:tcBorders>
            <w:noWrap/>
            <w:vAlign w:val="center"/>
            <w:hideMark/>
          </w:tcPr>
          <w:p w14:paraId="51499ECE" w14:textId="77777777" w:rsidR="000B16AC" w:rsidRPr="00AF6295" w:rsidRDefault="000B16AC" w:rsidP="00AF6295">
            <w:pPr>
              <w:spacing w:line="240" w:lineRule="auto"/>
              <w:jc w:val="center"/>
              <w:rPr>
                <w:rFonts w:ascii="Times New Roman" w:hAnsi="Times New Roman" w:cs="Times New Roman"/>
                <w:b/>
                <w:bCs/>
                <w:sz w:val="18"/>
                <w:szCs w:val="18"/>
                <w:lang w:eastAsia="en-GB"/>
              </w:rPr>
            </w:pPr>
          </w:p>
        </w:tc>
        <w:tc>
          <w:tcPr>
            <w:tcW w:w="1910" w:type="pct"/>
            <w:gridSpan w:val="4"/>
            <w:tcBorders>
              <w:top w:val="single" w:sz="4" w:space="0" w:color="auto"/>
              <w:left w:val="nil"/>
              <w:bottom w:val="single" w:sz="4" w:space="0" w:color="auto"/>
              <w:right w:val="single" w:sz="4" w:space="0" w:color="000000"/>
            </w:tcBorders>
            <w:noWrap/>
            <w:vAlign w:val="center"/>
            <w:hideMark/>
          </w:tcPr>
          <w:p w14:paraId="105E213A" w14:textId="77777777" w:rsidR="000B16AC" w:rsidRPr="00AF6295" w:rsidRDefault="000B16AC" w:rsidP="00AF6295">
            <w:pPr>
              <w:spacing w:line="240" w:lineRule="auto"/>
              <w:jc w:val="center"/>
              <w:rPr>
                <w:rFonts w:ascii="Times New Roman" w:hAnsi="Times New Roman" w:cs="Times New Roman"/>
                <w:b/>
                <w:bCs/>
                <w:sz w:val="18"/>
                <w:szCs w:val="18"/>
                <w:lang w:eastAsia="en-GB"/>
              </w:rPr>
            </w:pPr>
            <w:r w:rsidRPr="00AF6295">
              <w:rPr>
                <w:rFonts w:ascii="Times New Roman" w:hAnsi="Times New Roman" w:cs="Times New Roman"/>
                <w:b/>
                <w:bCs/>
                <w:sz w:val="18"/>
                <w:szCs w:val="18"/>
                <w:lang w:eastAsia="en-GB"/>
              </w:rPr>
              <w:t>(m</w:t>
            </w:r>
            <w:r w:rsidRPr="00AF6295">
              <w:rPr>
                <w:rFonts w:ascii="Times New Roman" w:hAnsi="Times New Roman" w:cs="Times New Roman"/>
                <w:b/>
                <w:bCs/>
                <w:sz w:val="18"/>
                <w:szCs w:val="18"/>
                <w:vertAlign w:val="superscript"/>
                <w:lang w:eastAsia="en-GB"/>
              </w:rPr>
              <w:t>3</w:t>
            </w:r>
            <w:r w:rsidRPr="00AF6295">
              <w:rPr>
                <w:rFonts w:ascii="Times New Roman" w:hAnsi="Times New Roman" w:cs="Times New Roman"/>
                <w:b/>
                <w:bCs/>
                <w:sz w:val="18"/>
                <w:szCs w:val="18"/>
                <w:lang w:eastAsia="en-GB"/>
              </w:rPr>
              <w:t>)</w:t>
            </w:r>
          </w:p>
        </w:tc>
      </w:tr>
      <w:tr w:rsidR="000B16AC" w:rsidRPr="008C3716" w14:paraId="7C998C59" w14:textId="77777777" w:rsidTr="00AF6295">
        <w:trPr>
          <w:trHeight w:val="227"/>
          <w:tblHeader/>
        </w:trPr>
        <w:tc>
          <w:tcPr>
            <w:tcW w:w="1912" w:type="pct"/>
            <w:tcBorders>
              <w:top w:val="single" w:sz="4" w:space="0" w:color="auto"/>
              <w:left w:val="single" w:sz="4" w:space="0" w:color="auto"/>
              <w:bottom w:val="single" w:sz="4" w:space="0" w:color="auto"/>
              <w:right w:val="single" w:sz="4" w:space="0" w:color="auto"/>
            </w:tcBorders>
            <w:noWrap/>
            <w:vAlign w:val="center"/>
            <w:hideMark/>
          </w:tcPr>
          <w:p w14:paraId="15CD6BFE" w14:textId="77777777" w:rsidR="000B16AC" w:rsidRPr="00AF6295" w:rsidRDefault="000B16AC" w:rsidP="00AF6295">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Farm (phase 1)</w:t>
            </w:r>
          </w:p>
        </w:tc>
        <w:tc>
          <w:tcPr>
            <w:tcW w:w="1179" w:type="pct"/>
            <w:tcBorders>
              <w:top w:val="nil"/>
              <w:left w:val="nil"/>
              <w:bottom w:val="single" w:sz="4" w:space="0" w:color="auto"/>
              <w:right w:val="single" w:sz="4" w:space="0" w:color="auto"/>
            </w:tcBorders>
            <w:noWrap/>
            <w:vAlign w:val="center"/>
            <w:hideMark/>
          </w:tcPr>
          <w:p w14:paraId="04B4A3E1"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100 kg of grapes</w:t>
            </w:r>
          </w:p>
        </w:tc>
        <w:tc>
          <w:tcPr>
            <w:tcW w:w="442" w:type="pct"/>
            <w:tcBorders>
              <w:top w:val="nil"/>
              <w:left w:val="nil"/>
              <w:bottom w:val="single" w:sz="4" w:space="0" w:color="auto"/>
              <w:right w:val="single" w:sz="4" w:space="0" w:color="auto"/>
            </w:tcBorders>
            <w:noWrap/>
            <w:vAlign w:val="center"/>
            <w:hideMark/>
          </w:tcPr>
          <w:p w14:paraId="20FF8F7C"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10.26</w:t>
            </w:r>
          </w:p>
        </w:tc>
        <w:tc>
          <w:tcPr>
            <w:tcW w:w="442" w:type="pct"/>
            <w:tcBorders>
              <w:top w:val="nil"/>
              <w:left w:val="nil"/>
              <w:bottom w:val="single" w:sz="4" w:space="0" w:color="auto"/>
              <w:right w:val="single" w:sz="4" w:space="0" w:color="auto"/>
            </w:tcBorders>
            <w:noWrap/>
            <w:vAlign w:val="center"/>
            <w:hideMark/>
          </w:tcPr>
          <w:p w14:paraId="073049FD"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24.72</w:t>
            </w:r>
          </w:p>
        </w:tc>
        <w:tc>
          <w:tcPr>
            <w:tcW w:w="441" w:type="pct"/>
            <w:tcBorders>
              <w:top w:val="nil"/>
              <w:left w:val="nil"/>
              <w:bottom w:val="single" w:sz="4" w:space="0" w:color="auto"/>
              <w:right w:val="single" w:sz="4" w:space="0" w:color="auto"/>
            </w:tcBorders>
            <w:noWrap/>
            <w:vAlign w:val="center"/>
            <w:hideMark/>
          </w:tcPr>
          <w:p w14:paraId="62931C64"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17.30</w:t>
            </w:r>
          </w:p>
        </w:tc>
        <w:tc>
          <w:tcPr>
            <w:tcW w:w="585" w:type="pct"/>
            <w:tcBorders>
              <w:top w:val="nil"/>
              <w:left w:val="nil"/>
              <w:bottom w:val="single" w:sz="4" w:space="0" w:color="auto"/>
              <w:right w:val="single" w:sz="4" w:space="0" w:color="auto"/>
            </w:tcBorders>
            <w:noWrap/>
            <w:vAlign w:val="center"/>
            <w:hideMark/>
          </w:tcPr>
          <w:p w14:paraId="40B50BFC"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16.01</w:t>
            </w:r>
          </w:p>
        </w:tc>
      </w:tr>
      <w:tr w:rsidR="000B16AC" w:rsidRPr="008C3716" w14:paraId="666A7F4F" w14:textId="77777777" w:rsidTr="00AF6295">
        <w:trPr>
          <w:trHeight w:val="227"/>
          <w:tblHeader/>
        </w:trPr>
        <w:tc>
          <w:tcPr>
            <w:tcW w:w="1912" w:type="pct"/>
            <w:tcBorders>
              <w:top w:val="nil"/>
              <w:left w:val="single" w:sz="4" w:space="0" w:color="auto"/>
              <w:bottom w:val="single" w:sz="4" w:space="0" w:color="auto"/>
              <w:right w:val="single" w:sz="4" w:space="0" w:color="auto"/>
            </w:tcBorders>
            <w:noWrap/>
            <w:vAlign w:val="center"/>
            <w:hideMark/>
          </w:tcPr>
          <w:p w14:paraId="29AA2F50" w14:textId="77777777" w:rsidR="000B16AC" w:rsidRPr="00AF6295" w:rsidRDefault="000B16AC" w:rsidP="00AF6295">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Winery (phase 2)</w:t>
            </w:r>
          </w:p>
        </w:tc>
        <w:tc>
          <w:tcPr>
            <w:tcW w:w="1179" w:type="pct"/>
            <w:tcBorders>
              <w:top w:val="nil"/>
              <w:left w:val="nil"/>
              <w:bottom w:val="single" w:sz="4" w:space="0" w:color="auto"/>
              <w:right w:val="single" w:sz="4" w:space="0" w:color="auto"/>
            </w:tcBorders>
            <w:noWrap/>
            <w:vAlign w:val="center"/>
            <w:hideMark/>
          </w:tcPr>
          <w:p w14:paraId="00E5E902"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1 L of bulk wine</w:t>
            </w:r>
          </w:p>
        </w:tc>
        <w:tc>
          <w:tcPr>
            <w:tcW w:w="442" w:type="pct"/>
            <w:tcBorders>
              <w:top w:val="nil"/>
              <w:left w:val="nil"/>
              <w:bottom w:val="single" w:sz="4" w:space="0" w:color="auto"/>
              <w:right w:val="single" w:sz="4" w:space="0" w:color="auto"/>
            </w:tcBorders>
            <w:noWrap/>
            <w:vAlign w:val="center"/>
            <w:hideMark/>
          </w:tcPr>
          <w:p w14:paraId="0F289625"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0.22</w:t>
            </w:r>
          </w:p>
        </w:tc>
        <w:tc>
          <w:tcPr>
            <w:tcW w:w="442" w:type="pct"/>
            <w:tcBorders>
              <w:top w:val="nil"/>
              <w:left w:val="nil"/>
              <w:bottom w:val="single" w:sz="4" w:space="0" w:color="auto"/>
              <w:right w:val="single" w:sz="4" w:space="0" w:color="auto"/>
            </w:tcBorders>
            <w:noWrap/>
            <w:vAlign w:val="center"/>
            <w:hideMark/>
          </w:tcPr>
          <w:p w14:paraId="2314C78F"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n.d.</w:t>
            </w:r>
          </w:p>
        </w:tc>
        <w:tc>
          <w:tcPr>
            <w:tcW w:w="441" w:type="pct"/>
            <w:tcBorders>
              <w:top w:val="nil"/>
              <w:left w:val="nil"/>
              <w:bottom w:val="single" w:sz="4" w:space="0" w:color="auto"/>
              <w:right w:val="single" w:sz="4" w:space="0" w:color="auto"/>
            </w:tcBorders>
            <w:noWrap/>
            <w:vAlign w:val="center"/>
            <w:hideMark/>
          </w:tcPr>
          <w:p w14:paraId="6F388E2D"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0.11</w:t>
            </w:r>
          </w:p>
        </w:tc>
        <w:tc>
          <w:tcPr>
            <w:tcW w:w="585" w:type="pct"/>
            <w:tcBorders>
              <w:top w:val="nil"/>
              <w:left w:val="nil"/>
              <w:bottom w:val="single" w:sz="4" w:space="0" w:color="auto"/>
              <w:right w:val="single" w:sz="4" w:space="0" w:color="auto"/>
            </w:tcBorders>
            <w:noWrap/>
            <w:vAlign w:val="center"/>
            <w:hideMark/>
          </w:tcPr>
          <w:p w14:paraId="67B35902"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0.16</w:t>
            </w:r>
          </w:p>
        </w:tc>
      </w:tr>
      <w:tr w:rsidR="000B16AC" w:rsidRPr="008C3716" w14:paraId="4DF675DC" w14:textId="77777777" w:rsidTr="00AF6295">
        <w:trPr>
          <w:trHeight w:val="227"/>
          <w:tblHeader/>
        </w:trPr>
        <w:tc>
          <w:tcPr>
            <w:tcW w:w="1912" w:type="pct"/>
            <w:tcBorders>
              <w:top w:val="nil"/>
              <w:left w:val="single" w:sz="4" w:space="0" w:color="auto"/>
              <w:bottom w:val="single" w:sz="4" w:space="0" w:color="auto"/>
              <w:right w:val="single" w:sz="4" w:space="0" w:color="auto"/>
            </w:tcBorders>
            <w:noWrap/>
            <w:vAlign w:val="center"/>
            <w:hideMark/>
          </w:tcPr>
          <w:p w14:paraId="1EA2F4E2" w14:textId="77777777" w:rsidR="000B16AC" w:rsidRPr="00AF6295" w:rsidRDefault="000B16AC" w:rsidP="00AF6295">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Bottling / Conditioning (phase 3)</w:t>
            </w:r>
          </w:p>
        </w:tc>
        <w:tc>
          <w:tcPr>
            <w:tcW w:w="1179" w:type="pct"/>
            <w:tcBorders>
              <w:top w:val="nil"/>
              <w:left w:val="nil"/>
              <w:bottom w:val="single" w:sz="4" w:space="0" w:color="auto"/>
              <w:right w:val="single" w:sz="4" w:space="0" w:color="auto"/>
            </w:tcBorders>
            <w:noWrap/>
            <w:vAlign w:val="center"/>
            <w:hideMark/>
          </w:tcPr>
          <w:p w14:paraId="6C994D41"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0.75 l of bottled wine</w:t>
            </w:r>
          </w:p>
        </w:tc>
        <w:tc>
          <w:tcPr>
            <w:tcW w:w="442" w:type="pct"/>
            <w:tcBorders>
              <w:top w:val="nil"/>
              <w:left w:val="nil"/>
              <w:bottom w:val="single" w:sz="4" w:space="0" w:color="auto"/>
              <w:right w:val="single" w:sz="4" w:space="0" w:color="auto"/>
            </w:tcBorders>
            <w:noWrap/>
            <w:vAlign w:val="center"/>
            <w:hideMark/>
          </w:tcPr>
          <w:p w14:paraId="50359792"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0.22</w:t>
            </w:r>
          </w:p>
        </w:tc>
        <w:tc>
          <w:tcPr>
            <w:tcW w:w="442" w:type="pct"/>
            <w:tcBorders>
              <w:top w:val="nil"/>
              <w:left w:val="nil"/>
              <w:bottom w:val="single" w:sz="4" w:space="0" w:color="auto"/>
              <w:right w:val="single" w:sz="4" w:space="0" w:color="auto"/>
            </w:tcBorders>
            <w:noWrap/>
            <w:vAlign w:val="center"/>
            <w:hideMark/>
          </w:tcPr>
          <w:p w14:paraId="330497AD"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n.d.</w:t>
            </w:r>
          </w:p>
        </w:tc>
        <w:tc>
          <w:tcPr>
            <w:tcW w:w="441" w:type="pct"/>
            <w:tcBorders>
              <w:top w:val="nil"/>
              <w:left w:val="nil"/>
              <w:bottom w:val="single" w:sz="4" w:space="0" w:color="auto"/>
              <w:right w:val="single" w:sz="4" w:space="0" w:color="auto"/>
            </w:tcBorders>
            <w:noWrap/>
            <w:vAlign w:val="center"/>
            <w:hideMark/>
          </w:tcPr>
          <w:p w14:paraId="523BA74E"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0.26</w:t>
            </w:r>
          </w:p>
        </w:tc>
        <w:tc>
          <w:tcPr>
            <w:tcW w:w="585" w:type="pct"/>
            <w:tcBorders>
              <w:top w:val="nil"/>
              <w:left w:val="nil"/>
              <w:bottom w:val="single" w:sz="4" w:space="0" w:color="auto"/>
              <w:right w:val="single" w:sz="4" w:space="0" w:color="auto"/>
            </w:tcBorders>
            <w:noWrap/>
            <w:vAlign w:val="center"/>
            <w:hideMark/>
          </w:tcPr>
          <w:p w14:paraId="558E44E9"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0.24</w:t>
            </w:r>
          </w:p>
        </w:tc>
      </w:tr>
      <w:tr w:rsidR="000B16AC" w:rsidRPr="008C3716" w14:paraId="76893504" w14:textId="77777777" w:rsidTr="00AF6295">
        <w:trPr>
          <w:trHeight w:val="227"/>
          <w:tblHeader/>
        </w:trPr>
        <w:tc>
          <w:tcPr>
            <w:tcW w:w="1912" w:type="pct"/>
            <w:tcBorders>
              <w:top w:val="nil"/>
              <w:left w:val="single" w:sz="4" w:space="0" w:color="auto"/>
              <w:bottom w:val="nil"/>
              <w:right w:val="single" w:sz="4" w:space="0" w:color="auto"/>
            </w:tcBorders>
            <w:noWrap/>
            <w:vAlign w:val="center"/>
            <w:hideMark/>
          </w:tcPr>
          <w:p w14:paraId="03146340" w14:textId="77777777" w:rsidR="000B16AC" w:rsidRPr="00AF6295" w:rsidRDefault="000B16AC" w:rsidP="00AF6295">
            <w:pPr>
              <w:spacing w:line="240" w:lineRule="auto"/>
              <w:jc w:val="left"/>
              <w:rPr>
                <w:rFonts w:ascii="Times New Roman" w:hAnsi="Times New Roman" w:cs="Times New Roman"/>
                <w:b/>
                <w:bCs/>
                <w:sz w:val="18"/>
                <w:szCs w:val="18"/>
                <w:lang w:eastAsia="en-GB"/>
              </w:rPr>
            </w:pPr>
            <w:r w:rsidRPr="00AF6295">
              <w:rPr>
                <w:rFonts w:ascii="Times New Roman" w:hAnsi="Times New Roman" w:cs="Times New Roman"/>
                <w:b/>
                <w:bCs/>
                <w:sz w:val="18"/>
                <w:szCs w:val="18"/>
                <w:lang w:eastAsia="en-GB"/>
              </w:rPr>
              <w:t>Water Footprint – Aquatic acidification</w:t>
            </w:r>
          </w:p>
        </w:tc>
        <w:tc>
          <w:tcPr>
            <w:tcW w:w="1179" w:type="pct"/>
            <w:tcBorders>
              <w:top w:val="nil"/>
              <w:left w:val="nil"/>
              <w:bottom w:val="single" w:sz="4" w:space="0" w:color="auto"/>
              <w:right w:val="single" w:sz="4" w:space="0" w:color="auto"/>
            </w:tcBorders>
            <w:noWrap/>
            <w:vAlign w:val="center"/>
            <w:hideMark/>
          </w:tcPr>
          <w:p w14:paraId="4030380F" w14:textId="77777777" w:rsidR="000B16AC" w:rsidRPr="00AF6295" w:rsidRDefault="000B16AC" w:rsidP="00AF6295">
            <w:pPr>
              <w:spacing w:line="240" w:lineRule="auto"/>
              <w:jc w:val="center"/>
              <w:rPr>
                <w:rFonts w:ascii="Times New Roman" w:hAnsi="Times New Roman" w:cs="Times New Roman"/>
                <w:b/>
                <w:bCs/>
                <w:sz w:val="18"/>
                <w:szCs w:val="18"/>
                <w:lang w:eastAsia="en-GB"/>
              </w:rPr>
            </w:pPr>
          </w:p>
        </w:tc>
        <w:tc>
          <w:tcPr>
            <w:tcW w:w="1910" w:type="pct"/>
            <w:gridSpan w:val="4"/>
            <w:tcBorders>
              <w:top w:val="single" w:sz="4" w:space="0" w:color="auto"/>
              <w:left w:val="nil"/>
              <w:bottom w:val="single" w:sz="4" w:space="0" w:color="auto"/>
              <w:right w:val="single" w:sz="4" w:space="0" w:color="000000"/>
            </w:tcBorders>
            <w:noWrap/>
            <w:vAlign w:val="center"/>
            <w:hideMark/>
          </w:tcPr>
          <w:p w14:paraId="14E37EEE" w14:textId="77777777" w:rsidR="000B16AC" w:rsidRPr="00AF6295" w:rsidRDefault="000B16AC" w:rsidP="00AF6295">
            <w:pPr>
              <w:spacing w:line="240" w:lineRule="auto"/>
              <w:jc w:val="center"/>
              <w:rPr>
                <w:rFonts w:ascii="Times New Roman" w:hAnsi="Times New Roman" w:cs="Times New Roman"/>
                <w:b/>
                <w:bCs/>
                <w:sz w:val="18"/>
                <w:szCs w:val="18"/>
                <w:lang w:eastAsia="en-GB"/>
              </w:rPr>
            </w:pPr>
            <w:r w:rsidRPr="00AF6295">
              <w:rPr>
                <w:rFonts w:ascii="Times New Roman" w:hAnsi="Times New Roman" w:cs="Times New Roman"/>
                <w:b/>
                <w:bCs/>
                <w:sz w:val="18"/>
                <w:szCs w:val="18"/>
                <w:lang w:eastAsia="en-GB"/>
              </w:rPr>
              <w:t>(kg SO</w:t>
            </w:r>
            <w:r w:rsidRPr="00AF6295">
              <w:rPr>
                <w:rFonts w:ascii="Times New Roman" w:hAnsi="Times New Roman" w:cs="Times New Roman"/>
                <w:b/>
                <w:bCs/>
                <w:sz w:val="18"/>
                <w:szCs w:val="18"/>
                <w:vertAlign w:val="subscript"/>
                <w:lang w:eastAsia="en-GB"/>
              </w:rPr>
              <w:t>2</w:t>
            </w:r>
            <w:r w:rsidRPr="00AF6295">
              <w:rPr>
                <w:rFonts w:ascii="Times New Roman" w:hAnsi="Times New Roman" w:cs="Times New Roman"/>
                <w:b/>
                <w:bCs/>
                <w:sz w:val="18"/>
                <w:szCs w:val="18"/>
                <w:lang w:eastAsia="en-GB"/>
              </w:rPr>
              <w:t>-eq.)</w:t>
            </w:r>
          </w:p>
        </w:tc>
      </w:tr>
      <w:tr w:rsidR="000B16AC" w:rsidRPr="008C3716" w14:paraId="3809B860" w14:textId="77777777" w:rsidTr="00AF6295">
        <w:trPr>
          <w:trHeight w:val="227"/>
          <w:tblHeader/>
        </w:trPr>
        <w:tc>
          <w:tcPr>
            <w:tcW w:w="1912" w:type="pct"/>
            <w:tcBorders>
              <w:top w:val="single" w:sz="4" w:space="0" w:color="auto"/>
              <w:left w:val="single" w:sz="4" w:space="0" w:color="auto"/>
              <w:bottom w:val="single" w:sz="4" w:space="0" w:color="auto"/>
              <w:right w:val="single" w:sz="4" w:space="0" w:color="auto"/>
            </w:tcBorders>
            <w:noWrap/>
            <w:vAlign w:val="center"/>
            <w:hideMark/>
          </w:tcPr>
          <w:p w14:paraId="08C3E260" w14:textId="77777777" w:rsidR="000B16AC" w:rsidRPr="00AF6295" w:rsidRDefault="000B16AC" w:rsidP="00AF6295">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Farm (phase 1)</w:t>
            </w:r>
          </w:p>
        </w:tc>
        <w:tc>
          <w:tcPr>
            <w:tcW w:w="1179" w:type="pct"/>
            <w:tcBorders>
              <w:top w:val="nil"/>
              <w:left w:val="nil"/>
              <w:bottom w:val="single" w:sz="4" w:space="0" w:color="auto"/>
              <w:right w:val="single" w:sz="4" w:space="0" w:color="auto"/>
            </w:tcBorders>
            <w:noWrap/>
            <w:vAlign w:val="center"/>
            <w:hideMark/>
          </w:tcPr>
          <w:p w14:paraId="5DD04388"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100 kg of grapes</w:t>
            </w:r>
          </w:p>
        </w:tc>
        <w:tc>
          <w:tcPr>
            <w:tcW w:w="442" w:type="pct"/>
            <w:tcBorders>
              <w:top w:val="nil"/>
              <w:left w:val="nil"/>
              <w:bottom w:val="single" w:sz="4" w:space="0" w:color="auto"/>
              <w:right w:val="single" w:sz="4" w:space="0" w:color="auto"/>
            </w:tcBorders>
            <w:noWrap/>
            <w:vAlign w:val="center"/>
            <w:hideMark/>
          </w:tcPr>
          <w:p w14:paraId="19BB9D43"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2.97E-01</w:t>
            </w:r>
          </w:p>
        </w:tc>
        <w:tc>
          <w:tcPr>
            <w:tcW w:w="442" w:type="pct"/>
            <w:tcBorders>
              <w:top w:val="nil"/>
              <w:left w:val="nil"/>
              <w:bottom w:val="single" w:sz="4" w:space="0" w:color="auto"/>
              <w:right w:val="single" w:sz="4" w:space="0" w:color="auto"/>
            </w:tcBorders>
            <w:noWrap/>
            <w:vAlign w:val="center"/>
            <w:hideMark/>
          </w:tcPr>
          <w:p w14:paraId="4D8CD98C"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3.03E+00</w:t>
            </w:r>
          </w:p>
        </w:tc>
        <w:tc>
          <w:tcPr>
            <w:tcW w:w="441" w:type="pct"/>
            <w:tcBorders>
              <w:top w:val="nil"/>
              <w:left w:val="nil"/>
              <w:bottom w:val="single" w:sz="4" w:space="0" w:color="auto"/>
              <w:right w:val="single" w:sz="4" w:space="0" w:color="auto"/>
            </w:tcBorders>
            <w:noWrap/>
            <w:vAlign w:val="center"/>
            <w:hideMark/>
          </w:tcPr>
          <w:p w14:paraId="2F82B144"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1.32E+00</w:t>
            </w:r>
          </w:p>
        </w:tc>
        <w:tc>
          <w:tcPr>
            <w:tcW w:w="585" w:type="pct"/>
            <w:tcBorders>
              <w:top w:val="nil"/>
              <w:left w:val="nil"/>
              <w:bottom w:val="single" w:sz="4" w:space="0" w:color="auto"/>
              <w:right w:val="single" w:sz="4" w:space="0" w:color="auto"/>
            </w:tcBorders>
            <w:noWrap/>
            <w:vAlign w:val="center"/>
            <w:hideMark/>
          </w:tcPr>
          <w:p w14:paraId="43D75CA3"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1.22E+00</w:t>
            </w:r>
          </w:p>
        </w:tc>
      </w:tr>
      <w:tr w:rsidR="000B16AC" w:rsidRPr="008C3716" w14:paraId="0AA2754D" w14:textId="77777777" w:rsidTr="00AF6295">
        <w:trPr>
          <w:trHeight w:val="227"/>
          <w:tblHeader/>
        </w:trPr>
        <w:tc>
          <w:tcPr>
            <w:tcW w:w="1912" w:type="pct"/>
            <w:tcBorders>
              <w:top w:val="nil"/>
              <w:left w:val="single" w:sz="4" w:space="0" w:color="auto"/>
              <w:bottom w:val="single" w:sz="4" w:space="0" w:color="auto"/>
              <w:right w:val="single" w:sz="4" w:space="0" w:color="auto"/>
            </w:tcBorders>
            <w:noWrap/>
            <w:vAlign w:val="center"/>
            <w:hideMark/>
          </w:tcPr>
          <w:p w14:paraId="67F30893" w14:textId="77777777" w:rsidR="000B16AC" w:rsidRPr="00AF6295" w:rsidRDefault="000B16AC" w:rsidP="00AF6295">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Winery (phase 2)</w:t>
            </w:r>
          </w:p>
        </w:tc>
        <w:tc>
          <w:tcPr>
            <w:tcW w:w="1179" w:type="pct"/>
            <w:tcBorders>
              <w:top w:val="nil"/>
              <w:left w:val="nil"/>
              <w:bottom w:val="single" w:sz="4" w:space="0" w:color="auto"/>
              <w:right w:val="single" w:sz="4" w:space="0" w:color="auto"/>
            </w:tcBorders>
            <w:noWrap/>
            <w:vAlign w:val="center"/>
            <w:hideMark/>
          </w:tcPr>
          <w:p w14:paraId="719CD71A"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1 L of bulk wine</w:t>
            </w:r>
          </w:p>
        </w:tc>
        <w:tc>
          <w:tcPr>
            <w:tcW w:w="442" w:type="pct"/>
            <w:tcBorders>
              <w:top w:val="nil"/>
              <w:left w:val="nil"/>
              <w:bottom w:val="single" w:sz="4" w:space="0" w:color="auto"/>
              <w:right w:val="single" w:sz="4" w:space="0" w:color="auto"/>
            </w:tcBorders>
            <w:noWrap/>
            <w:vAlign w:val="center"/>
            <w:hideMark/>
          </w:tcPr>
          <w:p w14:paraId="28F4E946"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1.41E-03</w:t>
            </w:r>
          </w:p>
        </w:tc>
        <w:tc>
          <w:tcPr>
            <w:tcW w:w="442" w:type="pct"/>
            <w:tcBorders>
              <w:top w:val="nil"/>
              <w:left w:val="nil"/>
              <w:bottom w:val="single" w:sz="4" w:space="0" w:color="auto"/>
              <w:right w:val="single" w:sz="4" w:space="0" w:color="auto"/>
            </w:tcBorders>
            <w:noWrap/>
            <w:vAlign w:val="center"/>
            <w:hideMark/>
          </w:tcPr>
          <w:p w14:paraId="56A5DA66"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n.d.</w:t>
            </w:r>
          </w:p>
        </w:tc>
        <w:tc>
          <w:tcPr>
            <w:tcW w:w="441" w:type="pct"/>
            <w:tcBorders>
              <w:top w:val="nil"/>
              <w:left w:val="nil"/>
              <w:bottom w:val="single" w:sz="4" w:space="0" w:color="auto"/>
              <w:right w:val="single" w:sz="4" w:space="0" w:color="auto"/>
            </w:tcBorders>
            <w:noWrap/>
            <w:vAlign w:val="center"/>
            <w:hideMark/>
          </w:tcPr>
          <w:p w14:paraId="33B86F32"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6.48E-04</w:t>
            </w:r>
          </w:p>
        </w:tc>
        <w:tc>
          <w:tcPr>
            <w:tcW w:w="585" w:type="pct"/>
            <w:tcBorders>
              <w:top w:val="nil"/>
              <w:left w:val="nil"/>
              <w:bottom w:val="single" w:sz="4" w:space="0" w:color="auto"/>
              <w:right w:val="single" w:sz="4" w:space="0" w:color="auto"/>
            </w:tcBorders>
            <w:noWrap/>
            <w:vAlign w:val="center"/>
            <w:hideMark/>
          </w:tcPr>
          <w:p w14:paraId="458E9978"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9.78E-04</w:t>
            </w:r>
          </w:p>
        </w:tc>
      </w:tr>
      <w:tr w:rsidR="000B16AC" w:rsidRPr="008C3716" w14:paraId="5A7C1B5C" w14:textId="77777777" w:rsidTr="00AF6295">
        <w:trPr>
          <w:trHeight w:val="227"/>
          <w:tblHeader/>
        </w:trPr>
        <w:tc>
          <w:tcPr>
            <w:tcW w:w="1912" w:type="pct"/>
            <w:tcBorders>
              <w:top w:val="nil"/>
              <w:left w:val="single" w:sz="4" w:space="0" w:color="auto"/>
              <w:bottom w:val="single" w:sz="4" w:space="0" w:color="auto"/>
              <w:right w:val="single" w:sz="4" w:space="0" w:color="auto"/>
            </w:tcBorders>
            <w:noWrap/>
            <w:vAlign w:val="center"/>
            <w:hideMark/>
          </w:tcPr>
          <w:p w14:paraId="157AC33F" w14:textId="77777777" w:rsidR="000B16AC" w:rsidRPr="00AF6295" w:rsidRDefault="000B16AC" w:rsidP="00AF6295">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Bottling / Conditioning (phase 3)</w:t>
            </w:r>
          </w:p>
        </w:tc>
        <w:tc>
          <w:tcPr>
            <w:tcW w:w="1179" w:type="pct"/>
            <w:tcBorders>
              <w:top w:val="nil"/>
              <w:left w:val="nil"/>
              <w:bottom w:val="single" w:sz="4" w:space="0" w:color="auto"/>
              <w:right w:val="single" w:sz="4" w:space="0" w:color="auto"/>
            </w:tcBorders>
            <w:noWrap/>
            <w:vAlign w:val="center"/>
            <w:hideMark/>
          </w:tcPr>
          <w:p w14:paraId="21A10B2D"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0.75 l of bottled wine</w:t>
            </w:r>
          </w:p>
        </w:tc>
        <w:tc>
          <w:tcPr>
            <w:tcW w:w="442" w:type="pct"/>
            <w:tcBorders>
              <w:top w:val="nil"/>
              <w:left w:val="nil"/>
              <w:bottom w:val="single" w:sz="4" w:space="0" w:color="auto"/>
              <w:right w:val="single" w:sz="4" w:space="0" w:color="auto"/>
            </w:tcBorders>
            <w:noWrap/>
            <w:vAlign w:val="center"/>
            <w:hideMark/>
          </w:tcPr>
          <w:p w14:paraId="3A36752B"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5.73E-03</w:t>
            </w:r>
          </w:p>
        </w:tc>
        <w:tc>
          <w:tcPr>
            <w:tcW w:w="442" w:type="pct"/>
            <w:tcBorders>
              <w:top w:val="nil"/>
              <w:left w:val="nil"/>
              <w:bottom w:val="single" w:sz="4" w:space="0" w:color="auto"/>
              <w:right w:val="single" w:sz="4" w:space="0" w:color="auto"/>
            </w:tcBorders>
            <w:noWrap/>
            <w:vAlign w:val="center"/>
            <w:hideMark/>
          </w:tcPr>
          <w:p w14:paraId="5639D8D2"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n.d.</w:t>
            </w:r>
          </w:p>
        </w:tc>
        <w:tc>
          <w:tcPr>
            <w:tcW w:w="441" w:type="pct"/>
            <w:tcBorders>
              <w:top w:val="nil"/>
              <w:left w:val="nil"/>
              <w:bottom w:val="single" w:sz="4" w:space="0" w:color="auto"/>
              <w:right w:val="single" w:sz="4" w:space="0" w:color="auto"/>
            </w:tcBorders>
            <w:noWrap/>
            <w:vAlign w:val="center"/>
            <w:hideMark/>
          </w:tcPr>
          <w:p w14:paraId="043FE734"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5.89E-03</w:t>
            </w:r>
          </w:p>
        </w:tc>
        <w:tc>
          <w:tcPr>
            <w:tcW w:w="585" w:type="pct"/>
            <w:tcBorders>
              <w:top w:val="nil"/>
              <w:left w:val="nil"/>
              <w:bottom w:val="single" w:sz="4" w:space="0" w:color="auto"/>
              <w:right w:val="single" w:sz="4" w:space="0" w:color="auto"/>
            </w:tcBorders>
            <w:noWrap/>
            <w:vAlign w:val="center"/>
            <w:hideMark/>
          </w:tcPr>
          <w:p w14:paraId="2295737C"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5.84E-03</w:t>
            </w:r>
          </w:p>
        </w:tc>
      </w:tr>
      <w:tr w:rsidR="000B16AC" w:rsidRPr="008C3716" w14:paraId="44E0D166" w14:textId="77777777" w:rsidTr="00AF6295">
        <w:trPr>
          <w:trHeight w:val="227"/>
          <w:tblHeader/>
        </w:trPr>
        <w:tc>
          <w:tcPr>
            <w:tcW w:w="1912" w:type="pct"/>
            <w:tcBorders>
              <w:top w:val="nil"/>
              <w:left w:val="single" w:sz="4" w:space="0" w:color="auto"/>
              <w:bottom w:val="nil"/>
              <w:right w:val="single" w:sz="4" w:space="0" w:color="auto"/>
            </w:tcBorders>
            <w:noWrap/>
            <w:vAlign w:val="center"/>
            <w:hideMark/>
          </w:tcPr>
          <w:p w14:paraId="663284EB" w14:textId="77777777" w:rsidR="000B16AC" w:rsidRPr="00AF6295" w:rsidRDefault="000B16AC" w:rsidP="00AF6295">
            <w:pPr>
              <w:spacing w:line="240" w:lineRule="auto"/>
              <w:jc w:val="left"/>
              <w:rPr>
                <w:rFonts w:ascii="Times New Roman" w:hAnsi="Times New Roman" w:cs="Times New Roman"/>
                <w:b/>
                <w:bCs/>
                <w:sz w:val="18"/>
                <w:szCs w:val="18"/>
                <w:lang w:eastAsia="en-GB"/>
              </w:rPr>
            </w:pPr>
            <w:r w:rsidRPr="00AF6295">
              <w:rPr>
                <w:rFonts w:ascii="Times New Roman" w:hAnsi="Times New Roman" w:cs="Times New Roman"/>
                <w:b/>
                <w:bCs/>
                <w:sz w:val="18"/>
                <w:szCs w:val="18"/>
                <w:lang w:eastAsia="en-GB"/>
              </w:rPr>
              <w:t>Water Footprint – Freshwater eutrophication</w:t>
            </w:r>
          </w:p>
        </w:tc>
        <w:tc>
          <w:tcPr>
            <w:tcW w:w="1179" w:type="pct"/>
            <w:tcBorders>
              <w:top w:val="nil"/>
              <w:left w:val="nil"/>
              <w:bottom w:val="single" w:sz="4" w:space="0" w:color="auto"/>
              <w:right w:val="single" w:sz="4" w:space="0" w:color="auto"/>
            </w:tcBorders>
            <w:noWrap/>
            <w:vAlign w:val="center"/>
            <w:hideMark/>
          </w:tcPr>
          <w:p w14:paraId="3B2205CF" w14:textId="77777777" w:rsidR="000B16AC" w:rsidRPr="00AF6295" w:rsidRDefault="000B16AC" w:rsidP="00AF6295">
            <w:pPr>
              <w:spacing w:line="240" w:lineRule="auto"/>
              <w:jc w:val="center"/>
              <w:rPr>
                <w:rFonts w:ascii="Times New Roman" w:hAnsi="Times New Roman" w:cs="Times New Roman"/>
                <w:b/>
                <w:bCs/>
                <w:sz w:val="18"/>
                <w:szCs w:val="18"/>
                <w:lang w:eastAsia="en-GB"/>
              </w:rPr>
            </w:pPr>
          </w:p>
        </w:tc>
        <w:tc>
          <w:tcPr>
            <w:tcW w:w="1910" w:type="pct"/>
            <w:gridSpan w:val="4"/>
            <w:tcBorders>
              <w:top w:val="single" w:sz="4" w:space="0" w:color="auto"/>
              <w:left w:val="nil"/>
              <w:bottom w:val="single" w:sz="4" w:space="0" w:color="auto"/>
              <w:right w:val="single" w:sz="4" w:space="0" w:color="000000"/>
            </w:tcBorders>
            <w:noWrap/>
            <w:vAlign w:val="center"/>
            <w:hideMark/>
          </w:tcPr>
          <w:p w14:paraId="2345B942" w14:textId="77777777" w:rsidR="000B16AC" w:rsidRPr="00AF6295" w:rsidRDefault="000B16AC" w:rsidP="00AF6295">
            <w:pPr>
              <w:spacing w:line="240" w:lineRule="auto"/>
              <w:jc w:val="center"/>
              <w:rPr>
                <w:rFonts w:ascii="Times New Roman" w:hAnsi="Times New Roman" w:cs="Times New Roman"/>
                <w:b/>
                <w:bCs/>
                <w:sz w:val="18"/>
                <w:szCs w:val="18"/>
                <w:lang w:eastAsia="en-GB"/>
              </w:rPr>
            </w:pPr>
            <w:r w:rsidRPr="00AF6295">
              <w:rPr>
                <w:rFonts w:ascii="Times New Roman" w:hAnsi="Times New Roman" w:cs="Times New Roman"/>
                <w:b/>
                <w:bCs/>
                <w:sz w:val="18"/>
                <w:szCs w:val="18"/>
                <w:lang w:eastAsia="en-GB"/>
              </w:rPr>
              <w:t>(kg P-eq.)</w:t>
            </w:r>
          </w:p>
        </w:tc>
      </w:tr>
      <w:tr w:rsidR="000B16AC" w:rsidRPr="008C3716" w14:paraId="0E242B38" w14:textId="77777777" w:rsidTr="00AF6295">
        <w:trPr>
          <w:trHeight w:val="227"/>
          <w:tblHeader/>
        </w:trPr>
        <w:tc>
          <w:tcPr>
            <w:tcW w:w="1912" w:type="pct"/>
            <w:tcBorders>
              <w:top w:val="single" w:sz="4" w:space="0" w:color="auto"/>
              <w:left w:val="single" w:sz="4" w:space="0" w:color="auto"/>
              <w:bottom w:val="single" w:sz="4" w:space="0" w:color="auto"/>
              <w:right w:val="single" w:sz="4" w:space="0" w:color="auto"/>
            </w:tcBorders>
            <w:noWrap/>
            <w:vAlign w:val="center"/>
            <w:hideMark/>
          </w:tcPr>
          <w:p w14:paraId="7FCE0746" w14:textId="77777777" w:rsidR="000B16AC" w:rsidRPr="00AF6295" w:rsidRDefault="000B16AC" w:rsidP="00AF6295">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Farm (phase 1)</w:t>
            </w:r>
          </w:p>
        </w:tc>
        <w:tc>
          <w:tcPr>
            <w:tcW w:w="1179" w:type="pct"/>
            <w:tcBorders>
              <w:top w:val="nil"/>
              <w:left w:val="nil"/>
              <w:bottom w:val="single" w:sz="4" w:space="0" w:color="auto"/>
              <w:right w:val="single" w:sz="4" w:space="0" w:color="auto"/>
            </w:tcBorders>
            <w:noWrap/>
            <w:vAlign w:val="center"/>
            <w:hideMark/>
          </w:tcPr>
          <w:p w14:paraId="1DFA04BD"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100 kg of grapes</w:t>
            </w:r>
          </w:p>
        </w:tc>
        <w:tc>
          <w:tcPr>
            <w:tcW w:w="442" w:type="pct"/>
            <w:tcBorders>
              <w:top w:val="nil"/>
              <w:left w:val="nil"/>
              <w:bottom w:val="single" w:sz="4" w:space="0" w:color="auto"/>
              <w:right w:val="single" w:sz="4" w:space="0" w:color="auto"/>
            </w:tcBorders>
            <w:noWrap/>
            <w:vAlign w:val="center"/>
            <w:hideMark/>
          </w:tcPr>
          <w:p w14:paraId="1B948753"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1.97E-02</w:t>
            </w:r>
          </w:p>
        </w:tc>
        <w:tc>
          <w:tcPr>
            <w:tcW w:w="442" w:type="pct"/>
            <w:tcBorders>
              <w:top w:val="nil"/>
              <w:left w:val="nil"/>
              <w:bottom w:val="single" w:sz="4" w:space="0" w:color="auto"/>
              <w:right w:val="single" w:sz="4" w:space="0" w:color="auto"/>
            </w:tcBorders>
            <w:noWrap/>
            <w:vAlign w:val="center"/>
            <w:hideMark/>
          </w:tcPr>
          <w:p w14:paraId="2C184BA0"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2.99E-01</w:t>
            </w:r>
          </w:p>
        </w:tc>
        <w:tc>
          <w:tcPr>
            <w:tcW w:w="441" w:type="pct"/>
            <w:tcBorders>
              <w:top w:val="nil"/>
              <w:left w:val="nil"/>
              <w:bottom w:val="single" w:sz="4" w:space="0" w:color="auto"/>
              <w:right w:val="single" w:sz="4" w:space="0" w:color="auto"/>
            </w:tcBorders>
            <w:noWrap/>
            <w:vAlign w:val="center"/>
            <w:hideMark/>
          </w:tcPr>
          <w:p w14:paraId="3B1A161D"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9.50E-02</w:t>
            </w:r>
          </w:p>
        </w:tc>
        <w:tc>
          <w:tcPr>
            <w:tcW w:w="585" w:type="pct"/>
            <w:tcBorders>
              <w:top w:val="nil"/>
              <w:left w:val="nil"/>
              <w:bottom w:val="single" w:sz="4" w:space="0" w:color="auto"/>
              <w:right w:val="single" w:sz="4" w:space="0" w:color="auto"/>
            </w:tcBorders>
            <w:noWrap/>
            <w:vAlign w:val="center"/>
            <w:hideMark/>
          </w:tcPr>
          <w:p w14:paraId="72CF19F8"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9.92E-02</w:t>
            </w:r>
          </w:p>
        </w:tc>
      </w:tr>
      <w:tr w:rsidR="000B16AC" w:rsidRPr="008C3716" w14:paraId="6E69DB9A" w14:textId="77777777" w:rsidTr="00AF6295">
        <w:trPr>
          <w:trHeight w:val="227"/>
          <w:tblHeader/>
        </w:trPr>
        <w:tc>
          <w:tcPr>
            <w:tcW w:w="1912" w:type="pct"/>
            <w:tcBorders>
              <w:top w:val="nil"/>
              <w:left w:val="single" w:sz="4" w:space="0" w:color="auto"/>
              <w:bottom w:val="single" w:sz="4" w:space="0" w:color="auto"/>
              <w:right w:val="single" w:sz="4" w:space="0" w:color="auto"/>
            </w:tcBorders>
            <w:noWrap/>
            <w:vAlign w:val="center"/>
            <w:hideMark/>
          </w:tcPr>
          <w:p w14:paraId="1C9ABB05" w14:textId="77777777" w:rsidR="000B16AC" w:rsidRPr="00AF6295" w:rsidRDefault="000B16AC" w:rsidP="00AF6295">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Winery (phase 2)</w:t>
            </w:r>
          </w:p>
        </w:tc>
        <w:tc>
          <w:tcPr>
            <w:tcW w:w="1179" w:type="pct"/>
            <w:tcBorders>
              <w:top w:val="nil"/>
              <w:left w:val="nil"/>
              <w:bottom w:val="single" w:sz="4" w:space="0" w:color="auto"/>
              <w:right w:val="single" w:sz="4" w:space="0" w:color="auto"/>
            </w:tcBorders>
            <w:noWrap/>
            <w:vAlign w:val="center"/>
            <w:hideMark/>
          </w:tcPr>
          <w:p w14:paraId="770560B7"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1 L of bulk wine</w:t>
            </w:r>
          </w:p>
        </w:tc>
        <w:tc>
          <w:tcPr>
            <w:tcW w:w="442" w:type="pct"/>
            <w:tcBorders>
              <w:top w:val="nil"/>
              <w:left w:val="nil"/>
              <w:bottom w:val="single" w:sz="4" w:space="0" w:color="auto"/>
              <w:right w:val="single" w:sz="4" w:space="0" w:color="auto"/>
            </w:tcBorders>
            <w:noWrap/>
            <w:vAlign w:val="center"/>
            <w:hideMark/>
          </w:tcPr>
          <w:p w14:paraId="245C4BA3"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8.61E-05</w:t>
            </w:r>
          </w:p>
        </w:tc>
        <w:tc>
          <w:tcPr>
            <w:tcW w:w="442" w:type="pct"/>
            <w:tcBorders>
              <w:top w:val="nil"/>
              <w:left w:val="nil"/>
              <w:bottom w:val="single" w:sz="4" w:space="0" w:color="auto"/>
              <w:right w:val="single" w:sz="4" w:space="0" w:color="auto"/>
            </w:tcBorders>
            <w:noWrap/>
            <w:vAlign w:val="center"/>
            <w:hideMark/>
          </w:tcPr>
          <w:p w14:paraId="03CE6923"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n.d.</w:t>
            </w:r>
          </w:p>
        </w:tc>
        <w:tc>
          <w:tcPr>
            <w:tcW w:w="441" w:type="pct"/>
            <w:tcBorders>
              <w:top w:val="nil"/>
              <w:left w:val="nil"/>
              <w:bottom w:val="single" w:sz="4" w:space="0" w:color="auto"/>
              <w:right w:val="single" w:sz="4" w:space="0" w:color="auto"/>
            </w:tcBorders>
            <w:noWrap/>
            <w:vAlign w:val="center"/>
            <w:hideMark/>
          </w:tcPr>
          <w:p w14:paraId="20A40AAE"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4.13E-05</w:t>
            </w:r>
          </w:p>
        </w:tc>
        <w:tc>
          <w:tcPr>
            <w:tcW w:w="585" w:type="pct"/>
            <w:tcBorders>
              <w:top w:val="nil"/>
              <w:left w:val="nil"/>
              <w:bottom w:val="single" w:sz="4" w:space="0" w:color="auto"/>
              <w:right w:val="single" w:sz="4" w:space="0" w:color="auto"/>
            </w:tcBorders>
            <w:noWrap/>
            <w:vAlign w:val="center"/>
            <w:hideMark/>
          </w:tcPr>
          <w:p w14:paraId="503A7A12"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6.08E-05</w:t>
            </w:r>
          </w:p>
        </w:tc>
      </w:tr>
      <w:tr w:rsidR="000B16AC" w:rsidRPr="008C3716" w14:paraId="4385565B" w14:textId="77777777" w:rsidTr="00AF6295">
        <w:trPr>
          <w:trHeight w:val="227"/>
          <w:tblHeader/>
        </w:trPr>
        <w:tc>
          <w:tcPr>
            <w:tcW w:w="1912" w:type="pct"/>
            <w:tcBorders>
              <w:top w:val="nil"/>
              <w:left w:val="single" w:sz="4" w:space="0" w:color="auto"/>
              <w:bottom w:val="single" w:sz="4" w:space="0" w:color="auto"/>
              <w:right w:val="single" w:sz="4" w:space="0" w:color="auto"/>
            </w:tcBorders>
            <w:noWrap/>
            <w:vAlign w:val="center"/>
            <w:hideMark/>
          </w:tcPr>
          <w:p w14:paraId="6E1AA5B1" w14:textId="77777777" w:rsidR="000B16AC" w:rsidRPr="00AF6295" w:rsidRDefault="000B16AC" w:rsidP="00AF6295">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Bottling / Conditioning (phase 3)</w:t>
            </w:r>
          </w:p>
        </w:tc>
        <w:tc>
          <w:tcPr>
            <w:tcW w:w="1179" w:type="pct"/>
            <w:tcBorders>
              <w:top w:val="nil"/>
              <w:left w:val="nil"/>
              <w:bottom w:val="single" w:sz="4" w:space="0" w:color="auto"/>
              <w:right w:val="single" w:sz="4" w:space="0" w:color="auto"/>
            </w:tcBorders>
            <w:noWrap/>
            <w:vAlign w:val="center"/>
            <w:hideMark/>
          </w:tcPr>
          <w:p w14:paraId="0F537628"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0.75 l of bottled wine</w:t>
            </w:r>
          </w:p>
        </w:tc>
        <w:tc>
          <w:tcPr>
            <w:tcW w:w="442" w:type="pct"/>
            <w:tcBorders>
              <w:top w:val="nil"/>
              <w:left w:val="nil"/>
              <w:bottom w:val="single" w:sz="4" w:space="0" w:color="auto"/>
              <w:right w:val="single" w:sz="4" w:space="0" w:color="auto"/>
            </w:tcBorders>
            <w:noWrap/>
            <w:vAlign w:val="center"/>
            <w:hideMark/>
          </w:tcPr>
          <w:p w14:paraId="0FE8A3F1"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1.58E-04</w:t>
            </w:r>
          </w:p>
        </w:tc>
        <w:tc>
          <w:tcPr>
            <w:tcW w:w="442" w:type="pct"/>
            <w:tcBorders>
              <w:top w:val="nil"/>
              <w:left w:val="nil"/>
              <w:bottom w:val="single" w:sz="4" w:space="0" w:color="auto"/>
              <w:right w:val="single" w:sz="4" w:space="0" w:color="auto"/>
            </w:tcBorders>
            <w:noWrap/>
            <w:vAlign w:val="center"/>
            <w:hideMark/>
          </w:tcPr>
          <w:p w14:paraId="6AE60BFF"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n.d.</w:t>
            </w:r>
          </w:p>
        </w:tc>
        <w:tc>
          <w:tcPr>
            <w:tcW w:w="441" w:type="pct"/>
            <w:tcBorders>
              <w:top w:val="nil"/>
              <w:left w:val="nil"/>
              <w:bottom w:val="single" w:sz="4" w:space="0" w:color="auto"/>
              <w:right w:val="single" w:sz="4" w:space="0" w:color="auto"/>
            </w:tcBorders>
            <w:noWrap/>
            <w:vAlign w:val="center"/>
            <w:hideMark/>
          </w:tcPr>
          <w:p w14:paraId="16671F5D"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1.64E-04</w:t>
            </w:r>
          </w:p>
        </w:tc>
        <w:tc>
          <w:tcPr>
            <w:tcW w:w="585" w:type="pct"/>
            <w:tcBorders>
              <w:top w:val="nil"/>
              <w:left w:val="nil"/>
              <w:bottom w:val="single" w:sz="4" w:space="0" w:color="auto"/>
              <w:right w:val="single" w:sz="4" w:space="0" w:color="auto"/>
            </w:tcBorders>
            <w:noWrap/>
            <w:vAlign w:val="center"/>
            <w:hideMark/>
          </w:tcPr>
          <w:p w14:paraId="0D2AF1A7"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1.62E-04</w:t>
            </w:r>
          </w:p>
        </w:tc>
      </w:tr>
      <w:tr w:rsidR="000B16AC" w:rsidRPr="008C3716" w14:paraId="106E0EE4" w14:textId="77777777" w:rsidTr="00AF6295">
        <w:trPr>
          <w:trHeight w:val="227"/>
          <w:tblHeader/>
        </w:trPr>
        <w:tc>
          <w:tcPr>
            <w:tcW w:w="1912" w:type="pct"/>
            <w:tcBorders>
              <w:top w:val="nil"/>
              <w:left w:val="single" w:sz="4" w:space="0" w:color="auto"/>
              <w:bottom w:val="nil"/>
              <w:right w:val="single" w:sz="4" w:space="0" w:color="auto"/>
            </w:tcBorders>
            <w:noWrap/>
            <w:vAlign w:val="center"/>
            <w:hideMark/>
          </w:tcPr>
          <w:p w14:paraId="6D4EADDC" w14:textId="77777777" w:rsidR="000B16AC" w:rsidRPr="00AF6295" w:rsidRDefault="000B16AC" w:rsidP="00AF6295">
            <w:pPr>
              <w:spacing w:line="240" w:lineRule="auto"/>
              <w:jc w:val="left"/>
              <w:rPr>
                <w:rFonts w:ascii="Times New Roman" w:hAnsi="Times New Roman" w:cs="Times New Roman"/>
                <w:b/>
                <w:bCs/>
                <w:sz w:val="18"/>
                <w:szCs w:val="18"/>
                <w:lang w:eastAsia="en-GB"/>
              </w:rPr>
            </w:pPr>
            <w:r w:rsidRPr="00AF6295">
              <w:rPr>
                <w:rFonts w:ascii="Times New Roman" w:hAnsi="Times New Roman" w:cs="Times New Roman"/>
                <w:b/>
                <w:bCs/>
                <w:sz w:val="18"/>
                <w:szCs w:val="18"/>
                <w:lang w:eastAsia="en-GB"/>
              </w:rPr>
              <w:t>Water Footprint – Human toxicity (</w:t>
            </w:r>
            <w:proofErr w:type="spellStart"/>
            <w:r w:rsidRPr="00AF6295">
              <w:rPr>
                <w:rFonts w:ascii="Times New Roman" w:hAnsi="Times New Roman" w:cs="Times New Roman"/>
                <w:b/>
                <w:bCs/>
                <w:sz w:val="18"/>
                <w:szCs w:val="18"/>
                <w:lang w:eastAsia="en-GB"/>
              </w:rPr>
              <w:t>cancer+non-cancer</w:t>
            </w:r>
            <w:proofErr w:type="spellEnd"/>
            <w:r w:rsidRPr="00AF6295">
              <w:rPr>
                <w:rFonts w:ascii="Times New Roman" w:hAnsi="Times New Roman" w:cs="Times New Roman"/>
                <w:b/>
                <w:bCs/>
                <w:sz w:val="18"/>
                <w:szCs w:val="18"/>
                <w:lang w:eastAsia="en-GB"/>
              </w:rPr>
              <w:t>)</w:t>
            </w:r>
          </w:p>
        </w:tc>
        <w:tc>
          <w:tcPr>
            <w:tcW w:w="1179" w:type="pct"/>
            <w:tcBorders>
              <w:top w:val="nil"/>
              <w:left w:val="nil"/>
              <w:bottom w:val="single" w:sz="4" w:space="0" w:color="auto"/>
              <w:right w:val="single" w:sz="4" w:space="0" w:color="auto"/>
            </w:tcBorders>
            <w:noWrap/>
            <w:vAlign w:val="center"/>
            <w:hideMark/>
          </w:tcPr>
          <w:p w14:paraId="7E70B1BA" w14:textId="77777777" w:rsidR="000B16AC" w:rsidRPr="00AF6295" w:rsidRDefault="000B16AC" w:rsidP="00AF6295">
            <w:pPr>
              <w:spacing w:line="240" w:lineRule="auto"/>
              <w:jc w:val="center"/>
              <w:rPr>
                <w:rFonts w:ascii="Times New Roman" w:hAnsi="Times New Roman" w:cs="Times New Roman"/>
                <w:b/>
                <w:bCs/>
                <w:sz w:val="18"/>
                <w:szCs w:val="18"/>
                <w:lang w:eastAsia="en-GB"/>
              </w:rPr>
            </w:pPr>
          </w:p>
        </w:tc>
        <w:tc>
          <w:tcPr>
            <w:tcW w:w="1910" w:type="pct"/>
            <w:gridSpan w:val="4"/>
            <w:tcBorders>
              <w:top w:val="single" w:sz="4" w:space="0" w:color="auto"/>
              <w:left w:val="nil"/>
              <w:bottom w:val="single" w:sz="4" w:space="0" w:color="auto"/>
              <w:right w:val="single" w:sz="4" w:space="0" w:color="000000"/>
            </w:tcBorders>
            <w:noWrap/>
            <w:vAlign w:val="center"/>
            <w:hideMark/>
          </w:tcPr>
          <w:p w14:paraId="445F207C" w14:textId="77777777" w:rsidR="000B16AC" w:rsidRPr="00AF6295" w:rsidRDefault="000B16AC" w:rsidP="00AF6295">
            <w:pPr>
              <w:spacing w:line="240" w:lineRule="auto"/>
              <w:jc w:val="center"/>
              <w:rPr>
                <w:rFonts w:ascii="Times New Roman" w:hAnsi="Times New Roman" w:cs="Times New Roman"/>
                <w:b/>
                <w:bCs/>
                <w:sz w:val="18"/>
                <w:szCs w:val="18"/>
                <w:lang w:eastAsia="en-GB"/>
              </w:rPr>
            </w:pPr>
            <w:r w:rsidRPr="00AF6295">
              <w:rPr>
                <w:rFonts w:ascii="Times New Roman" w:hAnsi="Times New Roman" w:cs="Times New Roman"/>
                <w:b/>
                <w:bCs/>
                <w:sz w:val="18"/>
                <w:szCs w:val="18"/>
                <w:lang w:eastAsia="en-GB"/>
              </w:rPr>
              <w:t>(</w:t>
            </w:r>
            <w:proofErr w:type="spellStart"/>
            <w:r w:rsidRPr="00AF6295">
              <w:rPr>
                <w:rFonts w:ascii="Times New Roman" w:hAnsi="Times New Roman" w:cs="Times New Roman"/>
                <w:b/>
                <w:bCs/>
                <w:sz w:val="18"/>
                <w:szCs w:val="18"/>
                <w:lang w:eastAsia="en-GB"/>
              </w:rPr>
              <w:t>CTUh</w:t>
            </w:r>
            <w:proofErr w:type="spellEnd"/>
            <w:r w:rsidRPr="00AF6295">
              <w:rPr>
                <w:rFonts w:ascii="Times New Roman" w:hAnsi="Times New Roman" w:cs="Times New Roman"/>
                <w:b/>
                <w:bCs/>
                <w:sz w:val="18"/>
                <w:szCs w:val="18"/>
                <w:lang w:eastAsia="en-GB"/>
              </w:rPr>
              <w:t>)</w:t>
            </w:r>
          </w:p>
        </w:tc>
      </w:tr>
      <w:tr w:rsidR="000B16AC" w:rsidRPr="008C3716" w14:paraId="760F7306" w14:textId="77777777" w:rsidTr="00AF6295">
        <w:trPr>
          <w:trHeight w:val="227"/>
          <w:tblHeader/>
        </w:trPr>
        <w:tc>
          <w:tcPr>
            <w:tcW w:w="1912" w:type="pct"/>
            <w:tcBorders>
              <w:top w:val="single" w:sz="4" w:space="0" w:color="auto"/>
              <w:left w:val="single" w:sz="4" w:space="0" w:color="auto"/>
              <w:bottom w:val="single" w:sz="4" w:space="0" w:color="auto"/>
              <w:right w:val="single" w:sz="4" w:space="0" w:color="auto"/>
            </w:tcBorders>
            <w:noWrap/>
            <w:vAlign w:val="center"/>
            <w:hideMark/>
          </w:tcPr>
          <w:p w14:paraId="693DEC22" w14:textId="77777777" w:rsidR="000B16AC" w:rsidRPr="00AF6295" w:rsidRDefault="000B16AC" w:rsidP="00AF6295">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Farm (phase 1)</w:t>
            </w:r>
          </w:p>
        </w:tc>
        <w:tc>
          <w:tcPr>
            <w:tcW w:w="1179" w:type="pct"/>
            <w:tcBorders>
              <w:top w:val="nil"/>
              <w:left w:val="nil"/>
              <w:bottom w:val="single" w:sz="4" w:space="0" w:color="auto"/>
              <w:right w:val="single" w:sz="4" w:space="0" w:color="auto"/>
            </w:tcBorders>
            <w:noWrap/>
            <w:vAlign w:val="center"/>
            <w:hideMark/>
          </w:tcPr>
          <w:p w14:paraId="0798D41C"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100 kg of grapes</w:t>
            </w:r>
          </w:p>
        </w:tc>
        <w:tc>
          <w:tcPr>
            <w:tcW w:w="442" w:type="pct"/>
            <w:tcBorders>
              <w:top w:val="nil"/>
              <w:left w:val="nil"/>
              <w:bottom w:val="single" w:sz="4" w:space="0" w:color="auto"/>
              <w:right w:val="single" w:sz="4" w:space="0" w:color="auto"/>
            </w:tcBorders>
            <w:noWrap/>
            <w:vAlign w:val="center"/>
            <w:hideMark/>
          </w:tcPr>
          <w:p w14:paraId="0D0DDE0A"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2.78E-06</w:t>
            </w:r>
          </w:p>
        </w:tc>
        <w:tc>
          <w:tcPr>
            <w:tcW w:w="442" w:type="pct"/>
            <w:tcBorders>
              <w:top w:val="nil"/>
              <w:left w:val="nil"/>
              <w:bottom w:val="single" w:sz="4" w:space="0" w:color="auto"/>
              <w:right w:val="single" w:sz="4" w:space="0" w:color="auto"/>
            </w:tcBorders>
            <w:noWrap/>
            <w:vAlign w:val="center"/>
            <w:hideMark/>
          </w:tcPr>
          <w:p w14:paraId="680BCB05"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5.65E-06</w:t>
            </w:r>
          </w:p>
        </w:tc>
        <w:tc>
          <w:tcPr>
            <w:tcW w:w="441" w:type="pct"/>
            <w:tcBorders>
              <w:top w:val="nil"/>
              <w:left w:val="nil"/>
              <w:bottom w:val="single" w:sz="4" w:space="0" w:color="auto"/>
              <w:right w:val="single" w:sz="4" w:space="0" w:color="auto"/>
            </w:tcBorders>
            <w:noWrap/>
            <w:vAlign w:val="center"/>
            <w:hideMark/>
          </w:tcPr>
          <w:p w14:paraId="27787129"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7.02E-06</w:t>
            </w:r>
          </w:p>
        </w:tc>
        <w:tc>
          <w:tcPr>
            <w:tcW w:w="585" w:type="pct"/>
            <w:tcBorders>
              <w:top w:val="nil"/>
              <w:left w:val="nil"/>
              <w:bottom w:val="single" w:sz="4" w:space="0" w:color="auto"/>
              <w:right w:val="single" w:sz="4" w:space="0" w:color="auto"/>
            </w:tcBorders>
            <w:noWrap/>
            <w:vAlign w:val="center"/>
            <w:hideMark/>
          </w:tcPr>
          <w:p w14:paraId="5299EC6A"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5.40E-06</w:t>
            </w:r>
          </w:p>
        </w:tc>
      </w:tr>
      <w:tr w:rsidR="000B16AC" w:rsidRPr="008C3716" w14:paraId="33E5D113" w14:textId="77777777" w:rsidTr="00AF6295">
        <w:trPr>
          <w:trHeight w:val="227"/>
          <w:tblHeader/>
        </w:trPr>
        <w:tc>
          <w:tcPr>
            <w:tcW w:w="1912" w:type="pct"/>
            <w:tcBorders>
              <w:top w:val="nil"/>
              <w:left w:val="single" w:sz="4" w:space="0" w:color="auto"/>
              <w:bottom w:val="single" w:sz="4" w:space="0" w:color="auto"/>
              <w:right w:val="single" w:sz="4" w:space="0" w:color="auto"/>
            </w:tcBorders>
            <w:noWrap/>
            <w:vAlign w:val="center"/>
            <w:hideMark/>
          </w:tcPr>
          <w:p w14:paraId="49BCA930" w14:textId="77777777" w:rsidR="000B16AC" w:rsidRPr="00AF6295" w:rsidRDefault="000B16AC" w:rsidP="00AF6295">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Winery (phase 2)</w:t>
            </w:r>
          </w:p>
        </w:tc>
        <w:tc>
          <w:tcPr>
            <w:tcW w:w="1179" w:type="pct"/>
            <w:tcBorders>
              <w:top w:val="nil"/>
              <w:left w:val="nil"/>
              <w:bottom w:val="single" w:sz="4" w:space="0" w:color="auto"/>
              <w:right w:val="single" w:sz="4" w:space="0" w:color="auto"/>
            </w:tcBorders>
            <w:noWrap/>
            <w:vAlign w:val="center"/>
            <w:hideMark/>
          </w:tcPr>
          <w:p w14:paraId="65B36197"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1 L of bulk wine</w:t>
            </w:r>
          </w:p>
        </w:tc>
        <w:tc>
          <w:tcPr>
            <w:tcW w:w="442" w:type="pct"/>
            <w:tcBorders>
              <w:top w:val="nil"/>
              <w:left w:val="nil"/>
              <w:bottom w:val="single" w:sz="4" w:space="0" w:color="auto"/>
              <w:right w:val="single" w:sz="4" w:space="0" w:color="auto"/>
            </w:tcBorders>
            <w:noWrap/>
            <w:vAlign w:val="center"/>
            <w:hideMark/>
          </w:tcPr>
          <w:p w14:paraId="2DB3BED0"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6.02E-09</w:t>
            </w:r>
          </w:p>
        </w:tc>
        <w:tc>
          <w:tcPr>
            <w:tcW w:w="442" w:type="pct"/>
            <w:tcBorders>
              <w:top w:val="nil"/>
              <w:left w:val="nil"/>
              <w:bottom w:val="single" w:sz="4" w:space="0" w:color="auto"/>
              <w:right w:val="single" w:sz="4" w:space="0" w:color="auto"/>
            </w:tcBorders>
            <w:noWrap/>
            <w:vAlign w:val="center"/>
            <w:hideMark/>
          </w:tcPr>
          <w:p w14:paraId="63AC0D0C"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n.d.</w:t>
            </w:r>
          </w:p>
        </w:tc>
        <w:tc>
          <w:tcPr>
            <w:tcW w:w="441" w:type="pct"/>
            <w:tcBorders>
              <w:top w:val="nil"/>
              <w:left w:val="nil"/>
              <w:bottom w:val="single" w:sz="4" w:space="0" w:color="auto"/>
              <w:right w:val="single" w:sz="4" w:space="0" w:color="auto"/>
            </w:tcBorders>
            <w:noWrap/>
            <w:vAlign w:val="center"/>
            <w:hideMark/>
          </w:tcPr>
          <w:p w14:paraId="5A7D7D3E"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2.66E-09</w:t>
            </w:r>
          </w:p>
        </w:tc>
        <w:tc>
          <w:tcPr>
            <w:tcW w:w="585" w:type="pct"/>
            <w:tcBorders>
              <w:top w:val="nil"/>
              <w:left w:val="nil"/>
              <w:bottom w:val="single" w:sz="4" w:space="0" w:color="auto"/>
              <w:right w:val="single" w:sz="4" w:space="0" w:color="auto"/>
            </w:tcBorders>
            <w:noWrap/>
            <w:vAlign w:val="center"/>
            <w:hideMark/>
          </w:tcPr>
          <w:p w14:paraId="1B3AA558"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4.12E-09</w:t>
            </w:r>
          </w:p>
        </w:tc>
      </w:tr>
      <w:tr w:rsidR="000B16AC" w:rsidRPr="008C3716" w14:paraId="51986338" w14:textId="77777777" w:rsidTr="00AF6295">
        <w:trPr>
          <w:trHeight w:val="227"/>
          <w:tblHeader/>
        </w:trPr>
        <w:tc>
          <w:tcPr>
            <w:tcW w:w="1912" w:type="pct"/>
            <w:tcBorders>
              <w:top w:val="nil"/>
              <w:left w:val="single" w:sz="4" w:space="0" w:color="auto"/>
              <w:bottom w:val="single" w:sz="4" w:space="0" w:color="auto"/>
              <w:right w:val="single" w:sz="4" w:space="0" w:color="auto"/>
            </w:tcBorders>
            <w:noWrap/>
            <w:vAlign w:val="center"/>
            <w:hideMark/>
          </w:tcPr>
          <w:p w14:paraId="129290E9" w14:textId="77777777" w:rsidR="000B16AC" w:rsidRPr="00AF6295" w:rsidRDefault="000B16AC" w:rsidP="00AF6295">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Bottling / Conditioning (phase 3)</w:t>
            </w:r>
          </w:p>
        </w:tc>
        <w:tc>
          <w:tcPr>
            <w:tcW w:w="1179" w:type="pct"/>
            <w:tcBorders>
              <w:top w:val="nil"/>
              <w:left w:val="nil"/>
              <w:bottom w:val="single" w:sz="4" w:space="0" w:color="auto"/>
              <w:right w:val="single" w:sz="4" w:space="0" w:color="auto"/>
            </w:tcBorders>
            <w:noWrap/>
            <w:vAlign w:val="center"/>
            <w:hideMark/>
          </w:tcPr>
          <w:p w14:paraId="1BCDE74E"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0.75 l of bottled wine</w:t>
            </w:r>
          </w:p>
        </w:tc>
        <w:tc>
          <w:tcPr>
            <w:tcW w:w="442" w:type="pct"/>
            <w:tcBorders>
              <w:top w:val="nil"/>
              <w:left w:val="nil"/>
              <w:bottom w:val="single" w:sz="4" w:space="0" w:color="auto"/>
              <w:right w:val="single" w:sz="4" w:space="0" w:color="auto"/>
            </w:tcBorders>
            <w:noWrap/>
            <w:vAlign w:val="center"/>
            <w:hideMark/>
          </w:tcPr>
          <w:p w14:paraId="452F58B4"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9.90E-09</w:t>
            </w:r>
          </w:p>
        </w:tc>
        <w:tc>
          <w:tcPr>
            <w:tcW w:w="442" w:type="pct"/>
            <w:tcBorders>
              <w:top w:val="nil"/>
              <w:left w:val="nil"/>
              <w:bottom w:val="single" w:sz="4" w:space="0" w:color="auto"/>
              <w:right w:val="single" w:sz="4" w:space="0" w:color="auto"/>
            </w:tcBorders>
            <w:noWrap/>
            <w:vAlign w:val="center"/>
            <w:hideMark/>
          </w:tcPr>
          <w:p w14:paraId="446AC22A"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n.d.</w:t>
            </w:r>
          </w:p>
        </w:tc>
        <w:tc>
          <w:tcPr>
            <w:tcW w:w="441" w:type="pct"/>
            <w:tcBorders>
              <w:top w:val="nil"/>
              <w:left w:val="nil"/>
              <w:bottom w:val="single" w:sz="4" w:space="0" w:color="auto"/>
              <w:right w:val="single" w:sz="4" w:space="0" w:color="auto"/>
            </w:tcBorders>
            <w:noWrap/>
            <w:vAlign w:val="center"/>
            <w:hideMark/>
          </w:tcPr>
          <w:p w14:paraId="4EA797C1"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1.10E-08</w:t>
            </w:r>
          </w:p>
        </w:tc>
        <w:tc>
          <w:tcPr>
            <w:tcW w:w="585" w:type="pct"/>
            <w:tcBorders>
              <w:top w:val="nil"/>
              <w:left w:val="nil"/>
              <w:bottom w:val="single" w:sz="4" w:space="0" w:color="auto"/>
              <w:right w:val="single" w:sz="4" w:space="0" w:color="auto"/>
            </w:tcBorders>
            <w:noWrap/>
            <w:vAlign w:val="center"/>
            <w:hideMark/>
          </w:tcPr>
          <w:p w14:paraId="0E75A06E"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1.06E-08</w:t>
            </w:r>
          </w:p>
        </w:tc>
      </w:tr>
      <w:tr w:rsidR="000B16AC" w:rsidRPr="008C3716" w14:paraId="0181528E" w14:textId="77777777" w:rsidTr="00AF6295">
        <w:trPr>
          <w:trHeight w:val="227"/>
          <w:tblHeader/>
        </w:trPr>
        <w:tc>
          <w:tcPr>
            <w:tcW w:w="1912" w:type="pct"/>
            <w:tcBorders>
              <w:top w:val="nil"/>
              <w:left w:val="single" w:sz="4" w:space="0" w:color="auto"/>
              <w:bottom w:val="nil"/>
              <w:right w:val="single" w:sz="4" w:space="0" w:color="auto"/>
            </w:tcBorders>
            <w:noWrap/>
            <w:vAlign w:val="center"/>
            <w:hideMark/>
          </w:tcPr>
          <w:p w14:paraId="5E232B37" w14:textId="77777777" w:rsidR="000B16AC" w:rsidRPr="00AF6295" w:rsidRDefault="000B16AC" w:rsidP="00AF6295">
            <w:pPr>
              <w:spacing w:line="240" w:lineRule="auto"/>
              <w:jc w:val="left"/>
              <w:rPr>
                <w:rFonts w:ascii="Times New Roman" w:hAnsi="Times New Roman" w:cs="Times New Roman"/>
                <w:b/>
                <w:bCs/>
                <w:sz w:val="18"/>
                <w:szCs w:val="18"/>
                <w:lang w:eastAsia="en-GB"/>
              </w:rPr>
            </w:pPr>
            <w:r w:rsidRPr="00AF6295">
              <w:rPr>
                <w:rFonts w:ascii="Times New Roman" w:hAnsi="Times New Roman" w:cs="Times New Roman"/>
                <w:b/>
                <w:bCs/>
                <w:sz w:val="18"/>
                <w:szCs w:val="18"/>
                <w:lang w:eastAsia="en-GB"/>
              </w:rPr>
              <w:t>Water Footprint – Ecotoxicity</w:t>
            </w:r>
          </w:p>
        </w:tc>
        <w:tc>
          <w:tcPr>
            <w:tcW w:w="1179" w:type="pct"/>
            <w:tcBorders>
              <w:top w:val="nil"/>
              <w:left w:val="nil"/>
              <w:bottom w:val="single" w:sz="4" w:space="0" w:color="auto"/>
              <w:right w:val="single" w:sz="4" w:space="0" w:color="auto"/>
            </w:tcBorders>
            <w:noWrap/>
            <w:vAlign w:val="center"/>
            <w:hideMark/>
          </w:tcPr>
          <w:p w14:paraId="063DCEF3" w14:textId="77777777" w:rsidR="000B16AC" w:rsidRPr="00AF6295" w:rsidRDefault="000B16AC" w:rsidP="00AF6295">
            <w:pPr>
              <w:spacing w:line="240" w:lineRule="auto"/>
              <w:jc w:val="center"/>
              <w:rPr>
                <w:rFonts w:ascii="Times New Roman" w:hAnsi="Times New Roman" w:cs="Times New Roman"/>
                <w:b/>
                <w:bCs/>
                <w:sz w:val="18"/>
                <w:szCs w:val="18"/>
                <w:lang w:eastAsia="en-GB"/>
              </w:rPr>
            </w:pPr>
          </w:p>
        </w:tc>
        <w:tc>
          <w:tcPr>
            <w:tcW w:w="1910" w:type="pct"/>
            <w:gridSpan w:val="4"/>
            <w:tcBorders>
              <w:top w:val="single" w:sz="4" w:space="0" w:color="auto"/>
              <w:left w:val="nil"/>
              <w:bottom w:val="single" w:sz="4" w:space="0" w:color="auto"/>
              <w:right w:val="single" w:sz="4" w:space="0" w:color="000000"/>
            </w:tcBorders>
            <w:noWrap/>
            <w:vAlign w:val="center"/>
            <w:hideMark/>
          </w:tcPr>
          <w:p w14:paraId="0C38FE52" w14:textId="77777777" w:rsidR="000B16AC" w:rsidRPr="00AF6295" w:rsidRDefault="000B16AC" w:rsidP="00AF6295">
            <w:pPr>
              <w:spacing w:line="240" w:lineRule="auto"/>
              <w:jc w:val="center"/>
              <w:rPr>
                <w:rFonts w:ascii="Times New Roman" w:hAnsi="Times New Roman" w:cs="Times New Roman"/>
                <w:b/>
                <w:bCs/>
                <w:sz w:val="18"/>
                <w:szCs w:val="18"/>
                <w:lang w:eastAsia="en-GB"/>
              </w:rPr>
            </w:pPr>
            <w:r w:rsidRPr="00AF6295">
              <w:rPr>
                <w:rFonts w:ascii="Times New Roman" w:hAnsi="Times New Roman" w:cs="Times New Roman"/>
                <w:b/>
                <w:bCs/>
                <w:sz w:val="18"/>
                <w:szCs w:val="18"/>
                <w:lang w:eastAsia="en-GB"/>
              </w:rPr>
              <w:t>(</w:t>
            </w:r>
            <w:proofErr w:type="spellStart"/>
            <w:r w:rsidRPr="00AF6295">
              <w:rPr>
                <w:rFonts w:ascii="Times New Roman" w:hAnsi="Times New Roman" w:cs="Times New Roman"/>
                <w:b/>
                <w:bCs/>
                <w:sz w:val="18"/>
                <w:szCs w:val="18"/>
                <w:lang w:eastAsia="en-GB"/>
              </w:rPr>
              <w:t>CTUe</w:t>
            </w:r>
            <w:proofErr w:type="spellEnd"/>
            <w:r w:rsidRPr="00AF6295">
              <w:rPr>
                <w:rFonts w:ascii="Times New Roman" w:hAnsi="Times New Roman" w:cs="Times New Roman"/>
                <w:b/>
                <w:bCs/>
                <w:sz w:val="18"/>
                <w:szCs w:val="18"/>
                <w:lang w:eastAsia="en-GB"/>
              </w:rPr>
              <w:t>)</w:t>
            </w:r>
          </w:p>
        </w:tc>
      </w:tr>
      <w:tr w:rsidR="000B16AC" w:rsidRPr="008C3716" w14:paraId="29EB31C1" w14:textId="77777777" w:rsidTr="00AF6295">
        <w:trPr>
          <w:trHeight w:val="227"/>
          <w:tblHeader/>
        </w:trPr>
        <w:tc>
          <w:tcPr>
            <w:tcW w:w="1912" w:type="pct"/>
            <w:tcBorders>
              <w:top w:val="single" w:sz="4" w:space="0" w:color="auto"/>
              <w:left w:val="single" w:sz="4" w:space="0" w:color="auto"/>
              <w:bottom w:val="single" w:sz="4" w:space="0" w:color="auto"/>
              <w:right w:val="single" w:sz="4" w:space="0" w:color="auto"/>
            </w:tcBorders>
            <w:noWrap/>
            <w:vAlign w:val="center"/>
            <w:hideMark/>
          </w:tcPr>
          <w:p w14:paraId="5948BEFE" w14:textId="77777777" w:rsidR="000B16AC" w:rsidRPr="00AF6295" w:rsidRDefault="000B16AC" w:rsidP="00AF6295">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Farm (phase 1)</w:t>
            </w:r>
          </w:p>
        </w:tc>
        <w:tc>
          <w:tcPr>
            <w:tcW w:w="1179" w:type="pct"/>
            <w:tcBorders>
              <w:top w:val="nil"/>
              <w:left w:val="nil"/>
              <w:bottom w:val="single" w:sz="4" w:space="0" w:color="auto"/>
              <w:right w:val="single" w:sz="4" w:space="0" w:color="auto"/>
            </w:tcBorders>
            <w:noWrap/>
            <w:vAlign w:val="center"/>
            <w:hideMark/>
          </w:tcPr>
          <w:p w14:paraId="56D3F2F6"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100 kg of grapes</w:t>
            </w:r>
          </w:p>
        </w:tc>
        <w:tc>
          <w:tcPr>
            <w:tcW w:w="442" w:type="pct"/>
            <w:tcBorders>
              <w:top w:val="nil"/>
              <w:left w:val="nil"/>
              <w:bottom w:val="single" w:sz="4" w:space="0" w:color="auto"/>
              <w:right w:val="single" w:sz="4" w:space="0" w:color="auto"/>
            </w:tcBorders>
            <w:noWrap/>
            <w:vAlign w:val="center"/>
            <w:hideMark/>
          </w:tcPr>
          <w:p w14:paraId="1C1CA0C2"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7.32E+02</w:t>
            </w:r>
          </w:p>
        </w:tc>
        <w:tc>
          <w:tcPr>
            <w:tcW w:w="442" w:type="pct"/>
            <w:tcBorders>
              <w:top w:val="nil"/>
              <w:left w:val="nil"/>
              <w:bottom w:val="single" w:sz="4" w:space="0" w:color="auto"/>
              <w:right w:val="single" w:sz="4" w:space="0" w:color="auto"/>
            </w:tcBorders>
            <w:noWrap/>
            <w:vAlign w:val="center"/>
            <w:hideMark/>
          </w:tcPr>
          <w:p w14:paraId="115000B4"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2.72E+03</w:t>
            </w:r>
          </w:p>
        </w:tc>
        <w:tc>
          <w:tcPr>
            <w:tcW w:w="441" w:type="pct"/>
            <w:tcBorders>
              <w:top w:val="nil"/>
              <w:left w:val="nil"/>
              <w:bottom w:val="single" w:sz="4" w:space="0" w:color="auto"/>
              <w:right w:val="single" w:sz="4" w:space="0" w:color="auto"/>
            </w:tcBorders>
            <w:noWrap/>
            <w:vAlign w:val="center"/>
            <w:hideMark/>
          </w:tcPr>
          <w:p w14:paraId="4537C525"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1.29E+03</w:t>
            </w:r>
          </w:p>
        </w:tc>
        <w:tc>
          <w:tcPr>
            <w:tcW w:w="585" w:type="pct"/>
            <w:tcBorders>
              <w:top w:val="nil"/>
              <w:left w:val="nil"/>
              <w:bottom w:val="single" w:sz="4" w:space="0" w:color="auto"/>
              <w:right w:val="single" w:sz="4" w:space="0" w:color="auto"/>
            </w:tcBorders>
            <w:noWrap/>
            <w:vAlign w:val="center"/>
            <w:hideMark/>
          </w:tcPr>
          <w:p w14:paraId="0792E86C"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1.31E+03</w:t>
            </w:r>
          </w:p>
        </w:tc>
      </w:tr>
      <w:tr w:rsidR="000B16AC" w:rsidRPr="008C3716" w14:paraId="6D2A571B" w14:textId="77777777" w:rsidTr="00AF6295">
        <w:trPr>
          <w:trHeight w:val="227"/>
          <w:tblHeader/>
        </w:trPr>
        <w:tc>
          <w:tcPr>
            <w:tcW w:w="1912" w:type="pct"/>
            <w:tcBorders>
              <w:top w:val="nil"/>
              <w:left w:val="single" w:sz="4" w:space="0" w:color="auto"/>
              <w:bottom w:val="single" w:sz="4" w:space="0" w:color="auto"/>
              <w:right w:val="single" w:sz="4" w:space="0" w:color="auto"/>
            </w:tcBorders>
            <w:noWrap/>
            <w:vAlign w:val="center"/>
            <w:hideMark/>
          </w:tcPr>
          <w:p w14:paraId="3EE08DA2" w14:textId="77777777" w:rsidR="000B16AC" w:rsidRPr="00AF6295" w:rsidRDefault="000B16AC" w:rsidP="00AF6295">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Winery (phase 2)</w:t>
            </w:r>
          </w:p>
        </w:tc>
        <w:tc>
          <w:tcPr>
            <w:tcW w:w="1179" w:type="pct"/>
            <w:tcBorders>
              <w:top w:val="nil"/>
              <w:left w:val="nil"/>
              <w:bottom w:val="single" w:sz="4" w:space="0" w:color="auto"/>
              <w:right w:val="single" w:sz="4" w:space="0" w:color="auto"/>
            </w:tcBorders>
            <w:noWrap/>
            <w:vAlign w:val="center"/>
            <w:hideMark/>
          </w:tcPr>
          <w:p w14:paraId="47A6557F"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1 L of bulk wine</w:t>
            </w:r>
          </w:p>
        </w:tc>
        <w:tc>
          <w:tcPr>
            <w:tcW w:w="442" w:type="pct"/>
            <w:tcBorders>
              <w:top w:val="nil"/>
              <w:left w:val="nil"/>
              <w:bottom w:val="single" w:sz="4" w:space="0" w:color="auto"/>
              <w:right w:val="single" w:sz="4" w:space="0" w:color="auto"/>
            </w:tcBorders>
            <w:noWrap/>
            <w:vAlign w:val="center"/>
            <w:hideMark/>
          </w:tcPr>
          <w:p w14:paraId="532AB437"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1.41E+00</w:t>
            </w:r>
          </w:p>
        </w:tc>
        <w:tc>
          <w:tcPr>
            <w:tcW w:w="442" w:type="pct"/>
            <w:tcBorders>
              <w:top w:val="nil"/>
              <w:left w:val="nil"/>
              <w:bottom w:val="single" w:sz="4" w:space="0" w:color="auto"/>
              <w:right w:val="single" w:sz="4" w:space="0" w:color="auto"/>
            </w:tcBorders>
            <w:noWrap/>
            <w:vAlign w:val="center"/>
            <w:hideMark/>
          </w:tcPr>
          <w:p w14:paraId="28507BF9"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n.d.</w:t>
            </w:r>
          </w:p>
        </w:tc>
        <w:tc>
          <w:tcPr>
            <w:tcW w:w="441" w:type="pct"/>
            <w:tcBorders>
              <w:top w:val="nil"/>
              <w:left w:val="nil"/>
              <w:bottom w:val="single" w:sz="4" w:space="0" w:color="auto"/>
              <w:right w:val="single" w:sz="4" w:space="0" w:color="auto"/>
            </w:tcBorders>
            <w:noWrap/>
            <w:vAlign w:val="center"/>
            <w:hideMark/>
          </w:tcPr>
          <w:p w14:paraId="32B0B8B4"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1.00E+00</w:t>
            </w:r>
          </w:p>
        </w:tc>
        <w:tc>
          <w:tcPr>
            <w:tcW w:w="585" w:type="pct"/>
            <w:tcBorders>
              <w:top w:val="nil"/>
              <w:left w:val="nil"/>
              <w:bottom w:val="single" w:sz="4" w:space="0" w:color="auto"/>
              <w:right w:val="single" w:sz="4" w:space="0" w:color="auto"/>
            </w:tcBorders>
            <w:noWrap/>
            <w:vAlign w:val="center"/>
            <w:hideMark/>
          </w:tcPr>
          <w:p w14:paraId="40AAA28A"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1.18E+00</w:t>
            </w:r>
          </w:p>
        </w:tc>
      </w:tr>
      <w:tr w:rsidR="000B16AC" w:rsidRPr="008C3716" w14:paraId="04AB5EE4" w14:textId="77777777" w:rsidTr="00AF6295">
        <w:trPr>
          <w:trHeight w:val="227"/>
          <w:tblHeader/>
        </w:trPr>
        <w:tc>
          <w:tcPr>
            <w:tcW w:w="1912" w:type="pct"/>
            <w:tcBorders>
              <w:top w:val="nil"/>
              <w:left w:val="single" w:sz="4" w:space="0" w:color="auto"/>
              <w:bottom w:val="single" w:sz="4" w:space="0" w:color="auto"/>
              <w:right w:val="single" w:sz="4" w:space="0" w:color="auto"/>
            </w:tcBorders>
            <w:noWrap/>
            <w:vAlign w:val="center"/>
            <w:hideMark/>
          </w:tcPr>
          <w:p w14:paraId="0C5C91E2" w14:textId="77777777" w:rsidR="000B16AC" w:rsidRPr="00AF6295" w:rsidRDefault="000B16AC" w:rsidP="00AF6295">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Bottling / Conditioning (phase 3)</w:t>
            </w:r>
          </w:p>
        </w:tc>
        <w:tc>
          <w:tcPr>
            <w:tcW w:w="1179" w:type="pct"/>
            <w:tcBorders>
              <w:top w:val="nil"/>
              <w:left w:val="nil"/>
              <w:bottom w:val="single" w:sz="4" w:space="0" w:color="auto"/>
              <w:right w:val="single" w:sz="4" w:space="0" w:color="auto"/>
            </w:tcBorders>
            <w:noWrap/>
            <w:vAlign w:val="center"/>
            <w:hideMark/>
          </w:tcPr>
          <w:p w14:paraId="5655544E"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0.75 l of bottled wine</w:t>
            </w:r>
          </w:p>
        </w:tc>
        <w:tc>
          <w:tcPr>
            <w:tcW w:w="442" w:type="pct"/>
            <w:tcBorders>
              <w:top w:val="nil"/>
              <w:left w:val="nil"/>
              <w:bottom w:val="single" w:sz="4" w:space="0" w:color="auto"/>
              <w:right w:val="single" w:sz="4" w:space="0" w:color="auto"/>
            </w:tcBorders>
            <w:noWrap/>
            <w:vAlign w:val="center"/>
            <w:hideMark/>
          </w:tcPr>
          <w:p w14:paraId="22901FEF"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4.71E+00</w:t>
            </w:r>
          </w:p>
        </w:tc>
        <w:tc>
          <w:tcPr>
            <w:tcW w:w="442" w:type="pct"/>
            <w:tcBorders>
              <w:top w:val="nil"/>
              <w:left w:val="nil"/>
              <w:bottom w:val="single" w:sz="4" w:space="0" w:color="auto"/>
              <w:right w:val="single" w:sz="4" w:space="0" w:color="auto"/>
            </w:tcBorders>
            <w:noWrap/>
            <w:vAlign w:val="center"/>
            <w:hideMark/>
          </w:tcPr>
          <w:p w14:paraId="0E25E75F"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n.d.</w:t>
            </w:r>
          </w:p>
        </w:tc>
        <w:tc>
          <w:tcPr>
            <w:tcW w:w="441" w:type="pct"/>
            <w:tcBorders>
              <w:top w:val="nil"/>
              <w:left w:val="nil"/>
              <w:bottom w:val="single" w:sz="4" w:space="0" w:color="auto"/>
              <w:right w:val="single" w:sz="4" w:space="0" w:color="auto"/>
            </w:tcBorders>
            <w:noWrap/>
            <w:vAlign w:val="center"/>
            <w:hideMark/>
          </w:tcPr>
          <w:p w14:paraId="5F29EF4B"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4.81E+00</w:t>
            </w:r>
          </w:p>
        </w:tc>
        <w:tc>
          <w:tcPr>
            <w:tcW w:w="585" w:type="pct"/>
            <w:tcBorders>
              <w:top w:val="nil"/>
              <w:left w:val="nil"/>
              <w:bottom w:val="single" w:sz="4" w:space="0" w:color="auto"/>
              <w:right w:val="single" w:sz="4" w:space="0" w:color="auto"/>
            </w:tcBorders>
            <w:noWrap/>
            <w:vAlign w:val="center"/>
            <w:hideMark/>
          </w:tcPr>
          <w:p w14:paraId="66CDEA88" w14:textId="77777777" w:rsidR="000B16AC" w:rsidRPr="00AF6295" w:rsidRDefault="000B16AC" w:rsidP="00AF6295">
            <w:pPr>
              <w:spacing w:line="240" w:lineRule="auto"/>
              <w:jc w:val="center"/>
              <w:rPr>
                <w:rFonts w:ascii="Times New Roman" w:hAnsi="Times New Roman" w:cs="Times New Roman"/>
                <w:sz w:val="20"/>
                <w:szCs w:val="20"/>
                <w:lang w:eastAsia="en-GB"/>
              </w:rPr>
            </w:pPr>
            <w:r w:rsidRPr="00AF6295">
              <w:rPr>
                <w:rFonts w:ascii="Times New Roman" w:hAnsi="Times New Roman" w:cs="Times New Roman"/>
                <w:sz w:val="20"/>
                <w:szCs w:val="20"/>
                <w:lang w:eastAsia="en-GB"/>
              </w:rPr>
              <w:t>4.78E+00</w:t>
            </w:r>
          </w:p>
        </w:tc>
      </w:tr>
    </w:tbl>
    <w:p w14:paraId="3D64117E" w14:textId="77777777" w:rsidR="000B16AC" w:rsidRPr="008C3716" w:rsidRDefault="000B16AC" w:rsidP="000B16AC">
      <w:pPr>
        <w:pStyle w:val="TextMonsanto"/>
        <w:spacing w:line="480" w:lineRule="auto"/>
        <w:rPr>
          <w:rFonts w:ascii="Times New Roman" w:hAnsi="Times New Roman" w:cs="Times New Roman"/>
          <w:sz w:val="20"/>
          <w:szCs w:val="20"/>
          <w:lang w:val="en-GB"/>
        </w:rPr>
      </w:pPr>
      <w:r w:rsidRPr="008C3716">
        <w:rPr>
          <w:rFonts w:ascii="Times New Roman" w:hAnsi="Times New Roman" w:cs="Times New Roman"/>
          <w:i/>
          <w:iCs/>
          <w:sz w:val="20"/>
          <w:szCs w:val="20"/>
          <w:lang w:val="en-GB" w:eastAsia="en-GB"/>
        </w:rPr>
        <w:t>n.d.</w:t>
      </w:r>
      <w:r w:rsidRPr="008C3716">
        <w:rPr>
          <w:rFonts w:ascii="Times New Roman" w:hAnsi="Times New Roman" w:cs="Times New Roman"/>
          <w:sz w:val="20"/>
          <w:szCs w:val="20"/>
          <w:lang w:val="en-GB" w:eastAsia="en-GB"/>
        </w:rPr>
        <w:t xml:space="preserve"> = not detectable</w:t>
      </w:r>
    </w:p>
    <w:p w14:paraId="45582372" w14:textId="26C4B1A0" w:rsidR="000B4D5D" w:rsidRDefault="000B16AC" w:rsidP="000B4D5D">
      <w:pPr>
        <w:pStyle w:val="TextMonsanto"/>
        <w:pBdr>
          <w:bottom w:val="single" w:sz="12" w:space="1" w:color="auto"/>
        </w:pBdr>
        <w:spacing w:before="240" w:after="600" w:line="480" w:lineRule="auto"/>
        <w:rPr>
          <w:rFonts w:ascii="Times New Roman" w:hAnsi="Times New Roman" w:cs="Times New Roman"/>
          <w:lang w:val="en-GB"/>
        </w:rPr>
      </w:pPr>
      <w:r w:rsidRPr="008C3716">
        <w:rPr>
          <w:rFonts w:ascii="Times New Roman" w:hAnsi="Times New Roman" w:cs="Times New Roman"/>
          <w:lang w:val="en-GB"/>
        </w:rPr>
        <w:lastRenderedPageBreak/>
        <w:t xml:space="preserve">Greater environmental efficiency in Site A is also observed concerning the water footprint values in Phase 1, with indicator scores by ~73% and ~60% on average lower, respectively, than those from Site B and Site C. In contrast, the Phase 2 (Winery) in Site C is apparently more performant than Site A in terms of resource usage and, thus, environmental impact (Table </w:t>
      </w:r>
      <w:r w:rsidR="00AF6295">
        <w:rPr>
          <w:rFonts w:ascii="Times New Roman" w:hAnsi="Times New Roman" w:cs="Times New Roman"/>
          <w:lang w:val="en-GB"/>
        </w:rPr>
        <w:t>S5</w:t>
      </w:r>
      <w:r w:rsidRPr="008C3716">
        <w:rPr>
          <w:rFonts w:ascii="Times New Roman" w:hAnsi="Times New Roman" w:cs="Times New Roman"/>
          <w:lang w:val="en-GB"/>
        </w:rPr>
        <w:t>).</w:t>
      </w:r>
    </w:p>
    <w:p w14:paraId="1FED9A11" w14:textId="0FC6174F" w:rsidR="0025441C" w:rsidRPr="00AF6295" w:rsidRDefault="0025441C" w:rsidP="000B4D5D">
      <w:pPr>
        <w:pStyle w:val="TextMonsanto"/>
        <w:spacing w:before="600" w:line="480" w:lineRule="auto"/>
        <w:jc w:val="center"/>
        <w:rPr>
          <w:rFonts w:ascii="Times New Roman" w:hAnsi="Times New Roman" w:cs="Times New Roman"/>
          <w:sz w:val="20"/>
          <w:szCs w:val="20"/>
          <w:lang w:val="en-GB"/>
        </w:rPr>
      </w:pPr>
      <w:r w:rsidRPr="00AF6295">
        <w:rPr>
          <w:rFonts w:ascii="Times New Roman" w:hAnsi="Times New Roman" w:cs="Times New Roman"/>
          <w:b/>
          <w:bCs/>
          <w:sz w:val="20"/>
          <w:szCs w:val="20"/>
          <w:lang w:val="en-GB"/>
        </w:rPr>
        <w:t xml:space="preserve">Table </w:t>
      </w:r>
      <w:r w:rsidR="00AF6295" w:rsidRPr="00AF6295">
        <w:rPr>
          <w:rFonts w:ascii="Times New Roman" w:hAnsi="Times New Roman" w:cs="Times New Roman"/>
          <w:b/>
          <w:bCs/>
          <w:sz w:val="20"/>
          <w:szCs w:val="20"/>
          <w:lang w:val="en-GB"/>
        </w:rPr>
        <w:t>S</w:t>
      </w:r>
      <w:r w:rsidR="0049360E">
        <w:rPr>
          <w:rFonts w:ascii="Times New Roman" w:hAnsi="Times New Roman" w:cs="Times New Roman"/>
          <w:b/>
          <w:bCs/>
          <w:sz w:val="20"/>
          <w:szCs w:val="20"/>
          <w:lang w:val="en-GB"/>
        </w:rPr>
        <w:t>7</w:t>
      </w:r>
      <w:r w:rsidRPr="00AF6295">
        <w:rPr>
          <w:rFonts w:ascii="Times New Roman" w:hAnsi="Times New Roman" w:cs="Times New Roman"/>
          <w:b/>
          <w:bCs/>
          <w:sz w:val="20"/>
          <w:szCs w:val="20"/>
          <w:lang w:val="en-GB"/>
        </w:rPr>
        <w:t xml:space="preserve"> </w:t>
      </w:r>
      <w:r w:rsidRPr="00AF6295">
        <w:rPr>
          <w:rFonts w:ascii="Times New Roman" w:hAnsi="Times New Roman" w:cs="Times New Roman"/>
          <w:sz w:val="20"/>
          <w:szCs w:val="20"/>
          <w:lang w:val="en-GB"/>
        </w:rPr>
        <w:t>Rough estimation of the potential environmental impacts associated with the implementation of an artificial lake with 30,000 m</w:t>
      </w:r>
      <w:r w:rsidRPr="00AF6295">
        <w:rPr>
          <w:rFonts w:ascii="Times New Roman" w:hAnsi="Times New Roman" w:cs="Times New Roman"/>
          <w:sz w:val="20"/>
          <w:szCs w:val="20"/>
          <w:vertAlign w:val="superscript"/>
          <w:lang w:val="en-GB"/>
        </w:rPr>
        <w:t>3</w:t>
      </w:r>
      <w:r w:rsidRPr="00AF6295">
        <w:rPr>
          <w:rFonts w:ascii="Times New Roman" w:hAnsi="Times New Roman" w:cs="Times New Roman"/>
          <w:sz w:val="20"/>
          <w:szCs w:val="20"/>
          <w:lang w:val="en-GB"/>
        </w:rPr>
        <w:t xml:space="preserve"> of water capacity in Site C. Source of data: </w:t>
      </w:r>
      <w:proofErr w:type="spellStart"/>
      <w:r w:rsidRPr="00AF6295">
        <w:rPr>
          <w:rFonts w:ascii="Times New Roman" w:hAnsi="Times New Roman" w:cs="Times New Roman"/>
          <w:sz w:val="20"/>
          <w:szCs w:val="20"/>
          <w:lang w:val="en-GB"/>
        </w:rPr>
        <w:t>Asadollahfardi</w:t>
      </w:r>
      <w:proofErr w:type="spellEnd"/>
      <w:r w:rsidRPr="00AF6295">
        <w:rPr>
          <w:rFonts w:ascii="Times New Roman" w:hAnsi="Times New Roman" w:cs="Times New Roman"/>
          <w:sz w:val="20"/>
          <w:szCs w:val="20"/>
          <w:lang w:val="en-GB"/>
        </w:rPr>
        <w:t xml:space="preserve"> et al. (2023)</w:t>
      </w:r>
      <w:r w:rsidR="00AF6295" w:rsidRPr="00AF6295">
        <w:rPr>
          <w:rStyle w:val="FootnoteReference"/>
          <w:rFonts w:ascii="Times New Roman" w:hAnsi="Times New Roman" w:cs="Times New Roman"/>
          <w:sz w:val="20"/>
          <w:szCs w:val="20"/>
          <w:lang w:val="en-GB"/>
        </w:rPr>
        <w:footnoteReference w:id="21"/>
      </w:r>
      <w:r w:rsidRPr="00AF6295">
        <w:rPr>
          <w:rFonts w:ascii="Times New Roman" w:hAnsi="Times New Roman" w:cs="Times New Roman"/>
          <w:sz w:val="20"/>
          <w:szCs w:val="20"/>
          <w:lang w:val="en-GB"/>
        </w:rPr>
        <w:t>.</w:t>
      </w:r>
    </w:p>
    <w:tbl>
      <w:tblPr>
        <w:tblW w:w="5000" w:type="pct"/>
        <w:tblCellMar>
          <w:left w:w="28" w:type="dxa"/>
          <w:right w:w="28" w:type="dxa"/>
        </w:tblCellMar>
        <w:tblLook w:val="04A0" w:firstRow="1" w:lastRow="0" w:firstColumn="1" w:lastColumn="0" w:noHBand="0" w:noVBand="1"/>
      </w:tblPr>
      <w:tblGrid>
        <w:gridCol w:w="4666"/>
        <w:gridCol w:w="1174"/>
        <w:gridCol w:w="1275"/>
        <w:gridCol w:w="1156"/>
        <w:gridCol w:w="1357"/>
      </w:tblGrid>
      <w:tr w:rsidR="0025441C" w:rsidRPr="00AF6295" w14:paraId="1D13DEB4" w14:textId="77777777" w:rsidTr="001A573D">
        <w:trPr>
          <w:trHeight w:val="600"/>
        </w:trPr>
        <w:tc>
          <w:tcPr>
            <w:tcW w:w="2259" w:type="pct"/>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793C49ED" w14:textId="77777777" w:rsidR="0025441C" w:rsidRPr="00AF6295" w:rsidRDefault="0025441C" w:rsidP="00AF6295">
            <w:pPr>
              <w:spacing w:line="240" w:lineRule="auto"/>
              <w:rPr>
                <w:rFonts w:ascii="Times New Roman" w:hAnsi="Times New Roman" w:cs="Times New Roman"/>
                <w:b/>
                <w:bCs/>
                <w:sz w:val="20"/>
                <w:szCs w:val="20"/>
                <w:lang w:eastAsia="en-GB"/>
              </w:rPr>
            </w:pPr>
            <w:r w:rsidRPr="00AF6295">
              <w:rPr>
                <w:rFonts w:ascii="Times New Roman" w:hAnsi="Times New Roman" w:cs="Times New Roman"/>
                <w:b/>
                <w:bCs/>
                <w:sz w:val="20"/>
                <w:szCs w:val="20"/>
                <w:lang w:eastAsia="en-GB"/>
              </w:rPr>
              <w:t>Items</w:t>
            </w:r>
          </w:p>
        </w:tc>
        <w:tc>
          <w:tcPr>
            <w:tcW w:w="757"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14:paraId="18ECFB71" w14:textId="77777777" w:rsidR="0025441C" w:rsidRPr="00AF6295" w:rsidRDefault="0025441C" w:rsidP="00AF6295">
            <w:pPr>
              <w:spacing w:line="240" w:lineRule="auto"/>
              <w:rPr>
                <w:rFonts w:ascii="Times New Roman" w:hAnsi="Times New Roman" w:cs="Times New Roman"/>
                <w:b/>
                <w:bCs/>
                <w:sz w:val="20"/>
                <w:szCs w:val="20"/>
                <w:lang w:eastAsia="en-GB"/>
              </w:rPr>
            </w:pPr>
            <w:r w:rsidRPr="00AF6295">
              <w:rPr>
                <w:rFonts w:ascii="Times New Roman" w:hAnsi="Times New Roman" w:cs="Times New Roman"/>
                <w:b/>
                <w:bCs/>
                <w:sz w:val="20"/>
                <w:szCs w:val="20"/>
                <w:lang w:eastAsia="en-GB"/>
              </w:rPr>
              <w:t>Global warming</w:t>
            </w:r>
            <w:r w:rsidRPr="00AF6295">
              <w:rPr>
                <w:rFonts w:ascii="Times New Roman" w:hAnsi="Times New Roman" w:cs="Times New Roman"/>
                <w:b/>
                <w:bCs/>
                <w:sz w:val="20"/>
                <w:szCs w:val="20"/>
                <w:lang w:eastAsia="en-GB"/>
              </w:rPr>
              <w:br/>
              <w:t>(t CO</w:t>
            </w:r>
            <w:r w:rsidRPr="00AF6295">
              <w:rPr>
                <w:rFonts w:ascii="Times New Roman" w:hAnsi="Times New Roman" w:cs="Times New Roman"/>
                <w:b/>
                <w:bCs/>
                <w:sz w:val="20"/>
                <w:szCs w:val="20"/>
                <w:vertAlign w:val="subscript"/>
                <w:lang w:eastAsia="en-GB"/>
              </w:rPr>
              <w:t>2</w:t>
            </w:r>
            <w:r w:rsidRPr="00AF6295">
              <w:rPr>
                <w:rFonts w:ascii="Times New Roman" w:hAnsi="Times New Roman" w:cs="Times New Roman"/>
                <w:b/>
                <w:bCs/>
                <w:sz w:val="20"/>
                <w:szCs w:val="20"/>
                <w:lang w:eastAsia="en-GB"/>
              </w:rPr>
              <w:t xml:space="preserve"> eq.)</w:t>
            </w:r>
          </w:p>
        </w:tc>
        <w:tc>
          <w:tcPr>
            <w:tcW w:w="809"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14:paraId="5676D8B8" w14:textId="77777777" w:rsidR="0025441C" w:rsidRPr="00AF6295" w:rsidRDefault="0025441C" w:rsidP="00AF6295">
            <w:pPr>
              <w:spacing w:line="240" w:lineRule="auto"/>
              <w:jc w:val="left"/>
              <w:rPr>
                <w:rFonts w:ascii="Times New Roman" w:hAnsi="Times New Roman" w:cs="Times New Roman"/>
                <w:b/>
                <w:bCs/>
                <w:sz w:val="20"/>
                <w:szCs w:val="20"/>
                <w:lang w:eastAsia="en-GB"/>
              </w:rPr>
            </w:pPr>
            <w:r w:rsidRPr="00AF6295">
              <w:rPr>
                <w:rFonts w:ascii="Times New Roman" w:hAnsi="Times New Roman" w:cs="Times New Roman"/>
                <w:b/>
                <w:bCs/>
                <w:sz w:val="20"/>
                <w:szCs w:val="20"/>
                <w:lang w:eastAsia="en-GB"/>
              </w:rPr>
              <w:t>Toxicity to humans</w:t>
            </w:r>
            <w:r w:rsidRPr="00AF6295">
              <w:rPr>
                <w:rFonts w:ascii="Times New Roman" w:hAnsi="Times New Roman" w:cs="Times New Roman"/>
                <w:b/>
                <w:bCs/>
                <w:sz w:val="20"/>
                <w:szCs w:val="20"/>
                <w:lang w:eastAsia="en-GB"/>
              </w:rPr>
              <w:br/>
              <w:t>(tons of 1,4-DB eq.)</w:t>
            </w:r>
          </w:p>
        </w:tc>
        <w:tc>
          <w:tcPr>
            <w:tcW w:w="589"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14:paraId="2864ED4D" w14:textId="77777777" w:rsidR="0025441C" w:rsidRPr="00AF6295" w:rsidRDefault="0025441C" w:rsidP="00AF6295">
            <w:pPr>
              <w:spacing w:line="240" w:lineRule="auto"/>
              <w:rPr>
                <w:rFonts w:ascii="Times New Roman" w:hAnsi="Times New Roman" w:cs="Times New Roman"/>
                <w:b/>
                <w:bCs/>
                <w:sz w:val="20"/>
                <w:szCs w:val="20"/>
                <w:lang w:eastAsia="en-GB"/>
              </w:rPr>
            </w:pPr>
            <w:r w:rsidRPr="00AF6295">
              <w:rPr>
                <w:rFonts w:ascii="Times New Roman" w:hAnsi="Times New Roman" w:cs="Times New Roman"/>
                <w:b/>
                <w:bCs/>
                <w:sz w:val="20"/>
                <w:szCs w:val="20"/>
                <w:lang w:eastAsia="en-GB"/>
              </w:rPr>
              <w:t>Acidification</w:t>
            </w:r>
            <w:r w:rsidRPr="00AF6295">
              <w:rPr>
                <w:rFonts w:ascii="Times New Roman" w:hAnsi="Times New Roman" w:cs="Times New Roman"/>
                <w:b/>
                <w:bCs/>
                <w:sz w:val="20"/>
                <w:szCs w:val="20"/>
                <w:lang w:eastAsia="en-GB"/>
              </w:rPr>
              <w:br/>
              <w:t>(kg SO</w:t>
            </w:r>
            <w:r w:rsidRPr="00AF6295">
              <w:rPr>
                <w:rFonts w:ascii="Times New Roman" w:hAnsi="Times New Roman" w:cs="Times New Roman"/>
                <w:b/>
                <w:bCs/>
                <w:sz w:val="20"/>
                <w:szCs w:val="20"/>
                <w:vertAlign w:val="subscript"/>
                <w:lang w:eastAsia="en-GB"/>
              </w:rPr>
              <w:t>2</w:t>
            </w:r>
            <w:r w:rsidRPr="00AF6295">
              <w:rPr>
                <w:rFonts w:ascii="Times New Roman" w:hAnsi="Times New Roman" w:cs="Times New Roman"/>
                <w:b/>
                <w:bCs/>
                <w:sz w:val="20"/>
                <w:szCs w:val="20"/>
                <w:lang w:eastAsia="en-GB"/>
              </w:rPr>
              <w:t xml:space="preserve"> eq.)</w:t>
            </w:r>
          </w:p>
        </w:tc>
        <w:tc>
          <w:tcPr>
            <w:tcW w:w="586"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14:paraId="42F07060" w14:textId="77777777" w:rsidR="0025441C" w:rsidRPr="00AF6295" w:rsidRDefault="0025441C" w:rsidP="00AF6295">
            <w:pPr>
              <w:spacing w:line="240" w:lineRule="auto"/>
              <w:rPr>
                <w:rFonts w:ascii="Times New Roman" w:hAnsi="Times New Roman" w:cs="Times New Roman"/>
                <w:b/>
                <w:bCs/>
                <w:sz w:val="20"/>
                <w:szCs w:val="20"/>
                <w:lang w:eastAsia="en-GB"/>
              </w:rPr>
            </w:pPr>
            <w:r w:rsidRPr="00AF6295">
              <w:rPr>
                <w:rFonts w:ascii="Times New Roman" w:hAnsi="Times New Roman" w:cs="Times New Roman"/>
                <w:b/>
                <w:bCs/>
                <w:sz w:val="20"/>
                <w:szCs w:val="20"/>
                <w:lang w:eastAsia="en-GB"/>
              </w:rPr>
              <w:t>Eutrophication</w:t>
            </w:r>
            <w:r w:rsidRPr="00AF6295">
              <w:rPr>
                <w:rFonts w:ascii="Times New Roman" w:hAnsi="Times New Roman" w:cs="Times New Roman"/>
                <w:b/>
                <w:bCs/>
                <w:sz w:val="20"/>
                <w:szCs w:val="20"/>
                <w:lang w:eastAsia="en-GB"/>
              </w:rPr>
              <w:br/>
              <w:t>(kg PO</w:t>
            </w:r>
            <w:r w:rsidRPr="00AF6295">
              <w:rPr>
                <w:rFonts w:ascii="Times New Roman" w:hAnsi="Times New Roman" w:cs="Times New Roman"/>
                <w:b/>
                <w:bCs/>
                <w:sz w:val="20"/>
                <w:szCs w:val="20"/>
                <w:vertAlign w:val="subscript"/>
                <w:lang w:eastAsia="en-GB"/>
              </w:rPr>
              <w:t>4</w:t>
            </w:r>
            <w:r w:rsidRPr="00AF6295">
              <w:rPr>
                <w:rFonts w:ascii="Times New Roman" w:hAnsi="Times New Roman" w:cs="Times New Roman"/>
                <w:b/>
                <w:bCs/>
                <w:sz w:val="20"/>
                <w:szCs w:val="20"/>
                <w:vertAlign w:val="superscript"/>
                <w:lang w:eastAsia="en-GB"/>
              </w:rPr>
              <w:t>-3</w:t>
            </w:r>
            <w:r w:rsidRPr="00AF6295">
              <w:rPr>
                <w:rFonts w:ascii="Times New Roman" w:hAnsi="Times New Roman" w:cs="Times New Roman"/>
                <w:b/>
                <w:bCs/>
                <w:sz w:val="20"/>
                <w:szCs w:val="20"/>
                <w:lang w:eastAsia="en-GB"/>
              </w:rPr>
              <w:t xml:space="preserve"> eq.)</w:t>
            </w:r>
          </w:p>
        </w:tc>
      </w:tr>
      <w:tr w:rsidR="0025441C" w:rsidRPr="00AF6295" w14:paraId="1D76F188" w14:textId="77777777" w:rsidTr="001A573D">
        <w:trPr>
          <w:trHeight w:val="264"/>
        </w:trPr>
        <w:tc>
          <w:tcPr>
            <w:tcW w:w="2259" w:type="pct"/>
            <w:tcBorders>
              <w:top w:val="nil"/>
              <w:left w:val="single" w:sz="4" w:space="0" w:color="auto"/>
              <w:bottom w:val="single" w:sz="4" w:space="0" w:color="auto"/>
              <w:right w:val="single" w:sz="4" w:space="0" w:color="auto"/>
            </w:tcBorders>
            <w:noWrap/>
            <w:vAlign w:val="center"/>
            <w:hideMark/>
          </w:tcPr>
          <w:p w14:paraId="1E537257" w14:textId="77777777" w:rsidR="0025441C" w:rsidRPr="00AF6295" w:rsidRDefault="0025441C" w:rsidP="00AF6295">
            <w:pPr>
              <w:spacing w:line="240" w:lineRule="auto"/>
              <w:rPr>
                <w:rFonts w:ascii="Times New Roman" w:hAnsi="Times New Roman" w:cs="Times New Roman"/>
                <w:sz w:val="20"/>
                <w:szCs w:val="20"/>
                <w:lang w:eastAsia="en-GB"/>
              </w:rPr>
            </w:pPr>
            <w:r w:rsidRPr="00AF6295">
              <w:rPr>
                <w:rFonts w:ascii="Times New Roman" w:hAnsi="Times New Roman" w:cs="Times New Roman"/>
                <w:sz w:val="20"/>
                <w:szCs w:val="20"/>
                <w:lang w:eastAsia="en-GB"/>
              </w:rPr>
              <w:t xml:space="preserve">Excavation for the reservoir, dam, and dike </w:t>
            </w:r>
          </w:p>
        </w:tc>
        <w:tc>
          <w:tcPr>
            <w:tcW w:w="757" w:type="pct"/>
            <w:tcBorders>
              <w:top w:val="nil"/>
              <w:left w:val="nil"/>
              <w:bottom w:val="single" w:sz="4" w:space="0" w:color="auto"/>
              <w:right w:val="single" w:sz="4" w:space="0" w:color="auto"/>
            </w:tcBorders>
            <w:noWrap/>
            <w:vAlign w:val="center"/>
            <w:hideMark/>
          </w:tcPr>
          <w:p w14:paraId="02562A02"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4.8</w:t>
            </w:r>
          </w:p>
        </w:tc>
        <w:tc>
          <w:tcPr>
            <w:tcW w:w="809" w:type="pct"/>
            <w:tcBorders>
              <w:top w:val="nil"/>
              <w:left w:val="nil"/>
              <w:bottom w:val="single" w:sz="4" w:space="0" w:color="auto"/>
              <w:right w:val="single" w:sz="4" w:space="0" w:color="auto"/>
            </w:tcBorders>
            <w:noWrap/>
            <w:vAlign w:val="center"/>
            <w:hideMark/>
          </w:tcPr>
          <w:p w14:paraId="3E963D42"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0.9</w:t>
            </w:r>
          </w:p>
        </w:tc>
        <w:tc>
          <w:tcPr>
            <w:tcW w:w="589" w:type="pct"/>
            <w:tcBorders>
              <w:top w:val="nil"/>
              <w:left w:val="nil"/>
              <w:bottom w:val="single" w:sz="4" w:space="0" w:color="auto"/>
              <w:right w:val="single" w:sz="4" w:space="0" w:color="auto"/>
            </w:tcBorders>
            <w:noWrap/>
            <w:vAlign w:val="center"/>
            <w:hideMark/>
          </w:tcPr>
          <w:p w14:paraId="24B8DF1A"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36.3</w:t>
            </w:r>
          </w:p>
        </w:tc>
        <w:tc>
          <w:tcPr>
            <w:tcW w:w="586" w:type="pct"/>
            <w:tcBorders>
              <w:top w:val="nil"/>
              <w:left w:val="nil"/>
              <w:bottom w:val="single" w:sz="4" w:space="0" w:color="auto"/>
              <w:right w:val="single" w:sz="4" w:space="0" w:color="auto"/>
            </w:tcBorders>
            <w:noWrap/>
            <w:vAlign w:val="center"/>
            <w:hideMark/>
          </w:tcPr>
          <w:p w14:paraId="6353B5EB"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8.6</w:t>
            </w:r>
          </w:p>
        </w:tc>
      </w:tr>
      <w:tr w:rsidR="0025441C" w:rsidRPr="00AF6295" w14:paraId="507B4007" w14:textId="77777777" w:rsidTr="001A573D">
        <w:trPr>
          <w:trHeight w:val="264"/>
        </w:trPr>
        <w:tc>
          <w:tcPr>
            <w:tcW w:w="2259" w:type="pct"/>
            <w:tcBorders>
              <w:top w:val="nil"/>
              <w:left w:val="single" w:sz="4" w:space="0" w:color="auto"/>
              <w:bottom w:val="single" w:sz="4" w:space="0" w:color="auto"/>
              <w:right w:val="single" w:sz="4" w:space="0" w:color="auto"/>
            </w:tcBorders>
            <w:noWrap/>
            <w:vAlign w:val="center"/>
            <w:hideMark/>
          </w:tcPr>
          <w:p w14:paraId="771CBD3A" w14:textId="77777777" w:rsidR="0025441C" w:rsidRPr="00AF6295" w:rsidRDefault="0025441C" w:rsidP="00AF6295">
            <w:pPr>
              <w:spacing w:line="240" w:lineRule="auto"/>
              <w:rPr>
                <w:rFonts w:ascii="Times New Roman" w:hAnsi="Times New Roman" w:cs="Times New Roman"/>
                <w:sz w:val="20"/>
                <w:szCs w:val="20"/>
                <w:lang w:eastAsia="en-GB"/>
              </w:rPr>
            </w:pPr>
            <w:r w:rsidRPr="00AF6295">
              <w:rPr>
                <w:rFonts w:ascii="Times New Roman" w:hAnsi="Times New Roman" w:cs="Times New Roman"/>
                <w:sz w:val="20"/>
                <w:szCs w:val="20"/>
                <w:lang w:eastAsia="en-GB"/>
              </w:rPr>
              <w:t xml:space="preserve">Portland cement of the reservoir floor and the weir body </w:t>
            </w:r>
          </w:p>
        </w:tc>
        <w:tc>
          <w:tcPr>
            <w:tcW w:w="757" w:type="pct"/>
            <w:tcBorders>
              <w:top w:val="nil"/>
              <w:left w:val="nil"/>
              <w:bottom w:val="single" w:sz="4" w:space="0" w:color="auto"/>
              <w:right w:val="single" w:sz="4" w:space="0" w:color="auto"/>
            </w:tcBorders>
            <w:noWrap/>
            <w:vAlign w:val="center"/>
            <w:hideMark/>
          </w:tcPr>
          <w:p w14:paraId="24945D92"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0.0</w:t>
            </w:r>
          </w:p>
        </w:tc>
        <w:tc>
          <w:tcPr>
            <w:tcW w:w="809" w:type="pct"/>
            <w:tcBorders>
              <w:top w:val="nil"/>
              <w:left w:val="nil"/>
              <w:bottom w:val="single" w:sz="4" w:space="0" w:color="auto"/>
              <w:right w:val="single" w:sz="4" w:space="0" w:color="auto"/>
            </w:tcBorders>
            <w:noWrap/>
            <w:vAlign w:val="center"/>
            <w:hideMark/>
          </w:tcPr>
          <w:p w14:paraId="6AD67B7C"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0.0</w:t>
            </w:r>
          </w:p>
        </w:tc>
        <w:tc>
          <w:tcPr>
            <w:tcW w:w="589" w:type="pct"/>
            <w:tcBorders>
              <w:top w:val="nil"/>
              <w:left w:val="nil"/>
              <w:bottom w:val="single" w:sz="4" w:space="0" w:color="auto"/>
              <w:right w:val="single" w:sz="4" w:space="0" w:color="auto"/>
            </w:tcBorders>
            <w:noWrap/>
            <w:vAlign w:val="center"/>
            <w:hideMark/>
          </w:tcPr>
          <w:p w14:paraId="414C2EE5"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0.0</w:t>
            </w:r>
          </w:p>
        </w:tc>
        <w:tc>
          <w:tcPr>
            <w:tcW w:w="586" w:type="pct"/>
            <w:tcBorders>
              <w:top w:val="nil"/>
              <w:left w:val="nil"/>
              <w:bottom w:val="single" w:sz="4" w:space="0" w:color="auto"/>
              <w:right w:val="single" w:sz="4" w:space="0" w:color="auto"/>
            </w:tcBorders>
            <w:noWrap/>
            <w:vAlign w:val="center"/>
            <w:hideMark/>
          </w:tcPr>
          <w:p w14:paraId="22AFE1EF"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0.0</w:t>
            </w:r>
          </w:p>
        </w:tc>
      </w:tr>
      <w:tr w:rsidR="0025441C" w:rsidRPr="00AF6295" w14:paraId="37D1A008" w14:textId="77777777" w:rsidTr="001A573D">
        <w:trPr>
          <w:trHeight w:val="264"/>
        </w:trPr>
        <w:tc>
          <w:tcPr>
            <w:tcW w:w="2259" w:type="pct"/>
            <w:tcBorders>
              <w:top w:val="nil"/>
              <w:left w:val="single" w:sz="4" w:space="0" w:color="auto"/>
              <w:bottom w:val="single" w:sz="4" w:space="0" w:color="auto"/>
              <w:right w:val="single" w:sz="4" w:space="0" w:color="auto"/>
            </w:tcBorders>
            <w:noWrap/>
            <w:vAlign w:val="center"/>
            <w:hideMark/>
          </w:tcPr>
          <w:p w14:paraId="23541AD8" w14:textId="77777777" w:rsidR="0025441C" w:rsidRPr="00AF6295" w:rsidRDefault="0025441C" w:rsidP="00AF6295">
            <w:pPr>
              <w:spacing w:line="240" w:lineRule="auto"/>
              <w:rPr>
                <w:rFonts w:ascii="Times New Roman" w:hAnsi="Times New Roman" w:cs="Times New Roman"/>
                <w:sz w:val="20"/>
                <w:szCs w:val="20"/>
                <w:lang w:eastAsia="en-GB"/>
              </w:rPr>
            </w:pPr>
            <w:r w:rsidRPr="00AF6295">
              <w:rPr>
                <w:rFonts w:ascii="Times New Roman" w:hAnsi="Times New Roman" w:cs="Times New Roman"/>
                <w:sz w:val="20"/>
                <w:szCs w:val="20"/>
                <w:lang w:eastAsia="en-GB"/>
              </w:rPr>
              <w:t xml:space="preserve">Polystyrene (geotextile) </w:t>
            </w:r>
          </w:p>
        </w:tc>
        <w:tc>
          <w:tcPr>
            <w:tcW w:w="757" w:type="pct"/>
            <w:tcBorders>
              <w:top w:val="nil"/>
              <w:left w:val="nil"/>
              <w:bottom w:val="single" w:sz="4" w:space="0" w:color="auto"/>
              <w:right w:val="single" w:sz="4" w:space="0" w:color="auto"/>
            </w:tcBorders>
            <w:noWrap/>
            <w:vAlign w:val="center"/>
            <w:hideMark/>
          </w:tcPr>
          <w:p w14:paraId="6C96A330"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21.4</w:t>
            </w:r>
          </w:p>
        </w:tc>
        <w:tc>
          <w:tcPr>
            <w:tcW w:w="809" w:type="pct"/>
            <w:tcBorders>
              <w:top w:val="nil"/>
              <w:left w:val="nil"/>
              <w:bottom w:val="single" w:sz="4" w:space="0" w:color="auto"/>
              <w:right w:val="single" w:sz="4" w:space="0" w:color="auto"/>
            </w:tcBorders>
            <w:noWrap/>
            <w:vAlign w:val="center"/>
            <w:hideMark/>
          </w:tcPr>
          <w:p w14:paraId="69FF56A8"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2.6</w:t>
            </w:r>
          </w:p>
        </w:tc>
        <w:tc>
          <w:tcPr>
            <w:tcW w:w="589" w:type="pct"/>
            <w:tcBorders>
              <w:top w:val="nil"/>
              <w:left w:val="nil"/>
              <w:bottom w:val="single" w:sz="4" w:space="0" w:color="auto"/>
              <w:right w:val="single" w:sz="4" w:space="0" w:color="auto"/>
            </w:tcBorders>
            <w:noWrap/>
            <w:vAlign w:val="center"/>
            <w:hideMark/>
          </w:tcPr>
          <w:p w14:paraId="03AC4C5E"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70.1</w:t>
            </w:r>
          </w:p>
        </w:tc>
        <w:tc>
          <w:tcPr>
            <w:tcW w:w="586" w:type="pct"/>
            <w:tcBorders>
              <w:top w:val="nil"/>
              <w:left w:val="nil"/>
              <w:bottom w:val="single" w:sz="4" w:space="0" w:color="auto"/>
              <w:right w:val="single" w:sz="4" w:space="0" w:color="auto"/>
            </w:tcBorders>
            <w:noWrap/>
            <w:vAlign w:val="center"/>
            <w:hideMark/>
          </w:tcPr>
          <w:p w14:paraId="03FA63C1"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5.4</w:t>
            </w:r>
          </w:p>
        </w:tc>
      </w:tr>
      <w:tr w:rsidR="0025441C" w:rsidRPr="00AF6295" w14:paraId="7FE49A6A" w14:textId="77777777" w:rsidTr="001A573D">
        <w:trPr>
          <w:trHeight w:val="264"/>
        </w:trPr>
        <w:tc>
          <w:tcPr>
            <w:tcW w:w="2259" w:type="pct"/>
            <w:tcBorders>
              <w:top w:val="nil"/>
              <w:left w:val="single" w:sz="4" w:space="0" w:color="auto"/>
              <w:bottom w:val="single" w:sz="4" w:space="0" w:color="auto"/>
              <w:right w:val="single" w:sz="4" w:space="0" w:color="auto"/>
            </w:tcBorders>
            <w:noWrap/>
            <w:vAlign w:val="center"/>
            <w:hideMark/>
          </w:tcPr>
          <w:p w14:paraId="7FF5203B" w14:textId="77777777" w:rsidR="0025441C" w:rsidRPr="00AF6295" w:rsidRDefault="0025441C" w:rsidP="00AF6295">
            <w:pPr>
              <w:spacing w:line="240" w:lineRule="auto"/>
              <w:rPr>
                <w:rFonts w:ascii="Times New Roman" w:hAnsi="Times New Roman" w:cs="Times New Roman"/>
                <w:sz w:val="20"/>
                <w:szCs w:val="20"/>
                <w:lang w:eastAsia="en-GB"/>
              </w:rPr>
            </w:pPr>
            <w:r w:rsidRPr="00AF6295">
              <w:rPr>
                <w:rFonts w:ascii="Times New Roman" w:hAnsi="Times New Roman" w:cs="Times New Roman"/>
                <w:sz w:val="20"/>
                <w:szCs w:val="20"/>
                <w:lang w:eastAsia="en-GB"/>
              </w:rPr>
              <w:t xml:space="preserve">Polyethylene (geomembrane) </w:t>
            </w:r>
          </w:p>
        </w:tc>
        <w:tc>
          <w:tcPr>
            <w:tcW w:w="757" w:type="pct"/>
            <w:tcBorders>
              <w:top w:val="nil"/>
              <w:left w:val="nil"/>
              <w:bottom w:val="single" w:sz="4" w:space="0" w:color="auto"/>
              <w:right w:val="single" w:sz="4" w:space="0" w:color="auto"/>
            </w:tcBorders>
            <w:noWrap/>
            <w:vAlign w:val="center"/>
            <w:hideMark/>
          </w:tcPr>
          <w:p w14:paraId="79E262A7"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24.1</w:t>
            </w:r>
          </w:p>
        </w:tc>
        <w:tc>
          <w:tcPr>
            <w:tcW w:w="809" w:type="pct"/>
            <w:tcBorders>
              <w:top w:val="nil"/>
              <w:left w:val="nil"/>
              <w:bottom w:val="single" w:sz="4" w:space="0" w:color="auto"/>
              <w:right w:val="single" w:sz="4" w:space="0" w:color="auto"/>
            </w:tcBorders>
            <w:noWrap/>
            <w:vAlign w:val="center"/>
            <w:hideMark/>
          </w:tcPr>
          <w:p w14:paraId="7CEF9E2B"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1.2</w:t>
            </w:r>
          </w:p>
        </w:tc>
        <w:tc>
          <w:tcPr>
            <w:tcW w:w="589" w:type="pct"/>
            <w:tcBorders>
              <w:top w:val="nil"/>
              <w:left w:val="nil"/>
              <w:bottom w:val="single" w:sz="4" w:space="0" w:color="auto"/>
              <w:right w:val="single" w:sz="4" w:space="0" w:color="auto"/>
            </w:tcBorders>
            <w:noWrap/>
            <w:vAlign w:val="center"/>
            <w:hideMark/>
          </w:tcPr>
          <w:p w14:paraId="0F93E16B"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81.7</w:t>
            </w:r>
          </w:p>
        </w:tc>
        <w:tc>
          <w:tcPr>
            <w:tcW w:w="586" w:type="pct"/>
            <w:tcBorders>
              <w:top w:val="nil"/>
              <w:left w:val="nil"/>
              <w:bottom w:val="single" w:sz="4" w:space="0" w:color="auto"/>
              <w:right w:val="single" w:sz="4" w:space="0" w:color="auto"/>
            </w:tcBorders>
            <w:noWrap/>
            <w:vAlign w:val="center"/>
            <w:hideMark/>
          </w:tcPr>
          <w:p w14:paraId="373B7AD9"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6.8</w:t>
            </w:r>
          </w:p>
        </w:tc>
      </w:tr>
      <w:tr w:rsidR="0025441C" w:rsidRPr="00AF6295" w14:paraId="3E807850" w14:textId="77777777" w:rsidTr="001A573D">
        <w:trPr>
          <w:trHeight w:val="264"/>
        </w:trPr>
        <w:tc>
          <w:tcPr>
            <w:tcW w:w="2259" w:type="pct"/>
            <w:tcBorders>
              <w:top w:val="nil"/>
              <w:left w:val="single" w:sz="4" w:space="0" w:color="auto"/>
              <w:bottom w:val="single" w:sz="4" w:space="0" w:color="auto"/>
              <w:right w:val="single" w:sz="4" w:space="0" w:color="auto"/>
            </w:tcBorders>
            <w:noWrap/>
            <w:vAlign w:val="center"/>
            <w:hideMark/>
          </w:tcPr>
          <w:p w14:paraId="0004CE92" w14:textId="77777777" w:rsidR="0025441C" w:rsidRPr="00AF6295" w:rsidRDefault="0025441C" w:rsidP="00AF6295">
            <w:pPr>
              <w:spacing w:line="240" w:lineRule="auto"/>
              <w:rPr>
                <w:rFonts w:ascii="Times New Roman" w:hAnsi="Times New Roman" w:cs="Times New Roman"/>
                <w:sz w:val="20"/>
                <w:szCs w:val="20"/>
                <w:lang w:eastAsia="en-GB"/>
              </w:rPr>
            </w:pPr>
            <w:r w:rsidRPr="00AF6295">
              <w:rPr>
                <w:rFonts w:ascii="Times New Roman" w:hAnsi="Times New Roman" w:cs="Times New Roman"/>
                <w:sz w:val="20"/>
                <w:szCs w:val="20"/>
                <w:lang w:eastAsia="en-GB"/>
              </w:rPr>
              <w:t xml:space="preserve">Polystyrene (geogrid) </w:t>
            </w:r>
          </w:p>
        </w:tc>
        <w:tc>
          <w:tcPr>
            <w:tcW w:w="757" w:type="pct"/>
            <w:tcBorders>
              <w:top w:val="nil"/>
              <w:left w:val="nil"/>
              <w:bottom w:val="single" w:sz="4" w:space="0" w:color="auto"/>
              <w:right w:val="single" w:sz="4" w:space="0" w:color="auto"/>
            </w:tcBorders>
            <w:noWrap/>
            <w:vAlign w:val="center"/>
            <w:hideMark/>
          </w:tcPr>
          <w:p w14:paraId="53756678"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0.2</w:t>
            </w:r>
          </w:p>
        </w:tc>
        <w:tc>
          <w:tcPr>
            <w:tcW w:w="809" w:type="pct"/>
            <w:tcBorders>
              <w:top w:val="nil"/>
              <w:left w:val="nil"/>
              <w:bottom w:val="single" w:sz="4" w:space="0" w:color="auto"/>
              <w:right w:val="single" w:sz="4" w:space="0" w:color="auto"/>
            </w:tcBorders>
            <w:noWrap/>
            <w:vAlign w:val="center"/>
            <w:hideMark/>
          </w:tcPr>
          <w:p w14:paraId="59E8E29C"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0.0</w:t>
            </w:r>
          </w:p>
        </w:tc>
        <w:tc>
          <w:tcPr>
            <w:tcW w:w="589" w:type="pct"/>
            <w:tcBorders>
              <w:top w:val="nil"/>
              <w:left w:val="nil"/>
              <w:bottom w:val="single" w:sz="4" w:space="0" w:color="auto"/>
              <w:right w:val="single" w:sz="4" w:space="0" w:color="auto"/>
            </w:tcBorders>
            <w:noWrap/>
            <w:vAlign w:val="center"/>
            <w:hideMark/>
          </w:tcPr>
          <w:p w14:paraId="564A5A48"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0.7</w:t>
            </w:r>
          </w:p>
        </w:tc>
        <w:tc>
          <w:tcPr>
            <w:tcW w:w="586" w:type="pct"/>
            <w:tcBorders>
              <w:top w:val="nil"/>
              <w:left w:val="nil"/>
              <w:bottom w:val="single" w:sz="4" w:space="0" w:color="auto"/>
              <w:right w:val="single" w:sz="4" w:space="0" w:color="auto"/>
            </w:tcBorders>
            <w:noWrap/>
            <w:vAlign w:val="center"/>
            <w:hideMark/>
          </w:tcPr>
          <w:p w14:paraId="7D764D4D"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0.1</w:t>
            </w:r>
          </w:p>
        </w:tc>
      </w:tr>
      <w:tr w:rsidR="0025441C" w:rsidRPr="00AF6295" w14:paraId="0D61170F" w14:textId="77777777" w:rsidTr="001A573D">
        <w:trPr>
          <w:trHeight w:val="264"/>
        </w:trPr>
        <w:tc>
          <w:tcPr>
            <w:tcW w:w="2259" w:type="pct"/>
            <w:tcBorders>
              <w:top w:val="nil"/>
              <w:left w:val="single" w:sz="4" w:space="0" w:color="auto"/>
              <w:bottom w:val="single" w:sz="4" w:space="0" w:color="auto"/>
              <w:right w:val="single" w:sz="4" w:space="0" w:color="auto"/>
            </w:tcBorders>
            <w:noWrap/>
            <w:vAlign w:val="center"/>
            <w:hideMark/>
          </w:tcPr>
          <w:p w14:paraId="619459EB" w14:textId="77777777" w:rsidR="0025441C" w:rsidRPr="00AF6295" w:rsidRDefault="0025441C" w:rsidP="00AF6295">
            <w:pPr>
              <w:spacing w:line="240" w:lineRule="auto"/>
              <w:rPr>
                <w:rFonts w:ascii="Times New Roman" w:hAnsi="Times New Roman" w:cs="Times New Roman"/>
                <w:sz w:val="20"/>
                <w:szCs w:val="20"/>
                <w:lang w:eastAsia="en-GB"/>
              </w:rPr>
            </w:pPr>
            <w:r w:rsidRPr="00AF6295">
              <w:rPr>
                <w:rFonts w:ascii="Times New Roman" w:hAnsi="Times New Roman" w:cs="Times New Roman"/>
                <w:sz w:val="20"/>
                <w:szCs w:val="20"/>
                <w:lang w:eastAsia="en-GB"/>
              </w:rPr>
              <w:t xml:space="preserve">Lean concrete </w:t>
            </w:r>
          </w:p>
        </w:tc>
        <w:tc>
          <w:tcPr>
            <w:tcW w:w="757" w:type="pct"/>
            <w:tcBorders>
              <w:top w:val="nil"/>
              <w:left w:val="nil"/>
              <w:bottom w:val="single" w:sz="4" w:space="0" w:color="auto"/>
              <w:right w:val="single" w:sz="4" w:space="0" w:color="auto"/>
            </w:tcBorders>
            <w:noWrap/>
            <w:vAlign w:val="center"/>
            <w:hideMark/>
          </w:tcPr>
          <w:p w14:paraId="134A89CE"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9.9</w:t>
            </w:r>
          </w:p>
        </w:tc>
        <w:tc>
          <w:tcPr>
            <w:tcW w:w="809" w:type="pct"/>
            <w:tcBorders>
              <w:top w:val="nil"/>
              <w:left w:val="nil"/>
              <w:bottom w:val="single" w:sz="4" w:space="0" w:color="auto"/>
              <w:right w:val="single" w:sz="4" w:space="0" w:color="auto"/>
            </w:tcBorders>
            <w:noWrap/>
            <w:vAlign w:val="center"/>
            <w:hideMark/>
          </w:tcPr>
          <w:p w14:paraId="2D9559DC"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1.7</w:t>
            </w:r>
          </w:p>
        </w:tc>
        <w:tc>
          <w:tcPr>
            <w:tcW w:w="589" w:type="pct"/>
            <w:tcBorders>
              <w:top w:val="nil"/>
              <w:left w:val="nil"/>
              <w:bottom w:val="single" w:sz="4" w:space="0" w:color="auto"/>
              <w:right w:val="single" w:sz="4" w:space="0" w:color="auto"/>
            </w:tcBorders>
            <w:noWrap/>
            <w:vAlign w:val="center"/>
            <w:hideMark/>
          </w:tcPr>
          <w:p w14:paraId="55A52556"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25.3</w:t>
            </w:r>
          </w:p>
        </w:tc>
        <w:tc>
          <w:tcPr>
            <w:tcW w:w="586" w:type="pct"/>
            <w:tcBorders>
              <w:top w:val="nil"/>
              <w:left w:val="nil"/>
              <w:bottom w:val="single" w:sz="4" w:space="0" w:color="auto"/>
              <w:right w:val="single" w:sz="4" w:space="0" w:color="auto"/>
            </w:tcBorders>
            <w:noWrap/>
            <w:vAlign w:val="center"/>
            <w:hideMark/>
          </w:tcPr>
          <w:p w14:paraId="3B963AF8"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7.3</w:t>
            </w:r>
          </w:p>
        </w:tc>
      </w:tr>
      <w:tr w:rsidR="0025441C" w:rsidRPr="00AF6295" w14:paraId="6EF7F711" w14:textId="77777777" w:rsidTr="001A573D">
        <w:trPr>
          <w:trHeight w:val="264"/>
        </w:trPr>
        <w:tc>
          <w:tcPr>
            <w:tcW w:w="2259" w:type="pct"/>
            <w:tcBorders>
              <w:top w:val="nil"/>
              <w:left w:val="single" w:sz="4" w:space="0" w:color="auto"/>
              <w:bottom w:val="single" w:sz="4" w:space="0" w:color="auto"/>
              <w:right w:val="single" w:sz="4" w:space="0" w:color="auto"/>
            </w:tcBorders>
            <w:noWrap/>
            <w:vAlign w:val="center"/>
            <w:hideMark/>
          </w:tcPr>
          <w:p w14:paraId="60BE618E" w14:textId="77777777" w:rsidR="0025441C" w:rsidRPr="00AF6295" w:rsidRDefault="0025441C" w:rsidP="00AF6295">
            <w:pPr>
              <w:spacing w:line="240" w:lineRule="auto"/>
              <w:rPr>
                <w:rFonts w:ascii="Times New Roman" w:hAnsi="Times New Roman" w:cs="Times New Roman"/>
                <w:sz w:val="20"/>
                <w:szCs w:val="20"/>
                <w:lang w:eastAsia="en-GB"/>
              </w:rPr>
            </w:pPr>
            <w:r w:rsidRPr="00AF6295">
              <w:rPr>
                <w:rFonts w:ascii="Times New Roman" w:hAnsi="Times New Roman" w:cs="Times New Roman"/>
                <w:sz w:val="20"/>
                <w:szCs w:val="20"/>
                <w:lang w:eastAsia="en-GB"/>
              </w:rPr>
              <w:t xml:space="preserve">Structural concrete </w:t>
            </w:r>
          </w:p>
        </w:tc>
        <w:tc>
          <w:tcPr>
            <w:tcW w:w="757" w:type="pct"/>
            <w:tcBorders>
              <w:top w:val="nil"/>
              <w:left w:val="nil"/>
              <w:bottom w:val="single" w:sz="4" w:space="0" w:color="auto"/>
              <w:right w:val="single" w:sz="4" w:space="0" w:color="auto"/>
            </w:tcBorders>
            <w:noWrap/>
            <w:vAlign w:val="center"/>
            <w:hideMark/>
          </w:tcPr>
          <w:p w14:paraId="02B16CE4"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52.0</w:t>
            </w:r>
          </w:p>
        </w:tc>
        <w:tc>
          <w:tcPr>
            <w:tcW w:w="809" w:type="pct"/>
            <w:tcBorders>
              <w:top w:val="nil"/>
              <w:left w:val="nil"/>
              <w:bottom w:val="single" w:sz="4" w:space="0" w:color="auto"/>
              <w:right w:val="single" w:sz="4" w:space="0" w:color="auto"/>
            </w:tcBorders>
            <w:noWrap/>
            <w:vAlign w:val="center"/>
            <w:hideMark/>
          </w:tcPr>
          <w:p w14:paraId="6BAB144F"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7.2</w:t>
            </w:r>
          </w:p>
        </w:tc>
        <w:tc>
          <w:tcPr>
            <w:tcW w:w="589" w:type="pct"/>
            <w:tcBorders>
              <w:top w:val="nil"/>
              <w:left w:val="nil"/>
              <w:bottom w:val="single" w:sz="4" w:space="0" w:color="auto"/>
              <w:right w:val="single" w:sz="4" w:space="0" w:color="auto"/>
            </w:tcBorders>
            <w:noWrap/>
            <w:vAlign w:val="center"/>
            <w:hideMark/>
          </w:tcPr>
          <w:p w14:paraId="1D36FE5C"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121.4</w:t>
            </w:r>
          </w:p>
        </w:tc>
        <w:tc>
          <w:tcPr>
            <w:tcW w:w="586" w:type="pct"/>
            <w:tcBorders>
              <w:top w:val="nil"/>
              <w:left w:val="nil"/>
              <w:bottom w:val="single" w:sz="4" w:space="0" w:color="auto"/>
              <w:right w:val="single" w:sz="4" w:space="0" w:color="auto"/>
            </w:tcBorders>
            <w:noWrap/>
            <w:vAlign w:val="center"/>
            <w:hideMark/>
          </w:tcPr>
          <w:p w14:paraId="61C8C9F0"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38.2</w:t>
            </w:r>
          </w:p>
        </w:tc>
      </w:tr>
      <w:tr w:rsidR="0025441C" w:rsidRPr="00AF6295" w14:paraId="32EF7A6A" w14:textId="77777777" w:rsidTr="001A573D">
        <w:trPr>
          <w:trHeight w:val="264"/>
        </w:trPr>
        <w:tc>
          <w:tcPr>
            <w:tcW w:w="2259" w:type="pct"/>
            <w:tcBorders>
              <w:top w:val="nil"/>
              <w:left w:val="single" w:sz="4" w:space="0" w:color="auto"/>
              <w:bottom w:val="single" w:sz="4" w:space="0" w:color="auto"/>
              <w:right w:val="single" w:sz="4" w:space="0" w:color="auto"/>
            </w:tcBorders>
            <w:noWrap/>
            <w:vAlign w:val="center"/>
            <w:hideMark/>
          </w:tcPr>
          <w:p w14:paraId="39CE432F" w14:textId="77777777" w:rsidR="0025441C" w:rsidRPr="00AF6295" w:rsidRDefault="0025441C" w:rsidP="00AF6295">
            <w:pPr>
              <w:spacing w:line="240" w:lineRule="auto"/>
              <w:rPr>
                <w:rFonts w:ascii="Times New Roman" w:hAnsi="Times New Roman" w:cs="Times New Roman"/>
                <w:sz w:val="20"/>
                <w:szCs w:val="20"/>
                <w:lang w:eastAsia="en-GB"/>
              </w:rPr>
            </w:pPr>
            <w:r w:rsidRPr="00AF6295">
              <w:rPr>
                <w:rFonts w:ascii="Times New Roman" w:hAnsi="Times New Roman" w:cs="Times New Roman"/>
                <w:sz w:val="20"/>
                <w:szCs w:val="20"/>
                <w:lang w:eastAsia="en-GB"/>
              </w:rPr>
              <w:t xml:space="preserve">Cement-sand mortar (masonry) </w:t>
            </w:r>
          </w:p>
        </w:tc>
        <w:tc>
          <w:tcPr>
            <w:tcW w:w="757" w:type="pct"/>
            <w:tcBorders>
              <w:top w:val="nil"/>
              <w:left w:val="nil"/>
              <w:bottom w:val="single" w:sz="4" w:space="0" w:color="auto"/>
              <w:right w:val="single" w:sz="4" w:space="0" w:color="auto"/>
            </w:tcBorders>
            <w:noWrap/>
            <w:vAlign w:val="center"/>
            <w:hideMark/>
          </w:tcPr>
          <w:p w14:paraId="38F42D3A"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13.4</w:t>
            </w:r>
          </w:p>
        </w:tc>
        <w:tc>
          <w:tcPr>
            <w:tcW w:w="809" w:type="pct"/>
            <w:tcBorders>
              <w:top w:val="nil"/>
              <w:left w:val="nil"/>
              <w:bottom w:val="single" w:sz="4" w:space="0" w:color="auto"/>
              <w:right w:val="single" w:sz="4" w:space="0" w:color="auto"/>
            </w:tcBorders>
            <w:noWrap/>
            <w:vAlign w:val="center"/>
            <w:hideMark/>
          </w:tcPr>
          <w:p w14:paraId="0A77EB08"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2.0</w:t>
            </w:r>
          </w:p>
        </w:tc>
        <w:tc>
          <w:tcPr>
            <w:tcW w:w="589" w:type="pct"/>
            <w:tcBorders>
              <w:top w:val="nil"/>
              <w:left w:val="nil"/>
              <w:bottom w:val="single" w:sz="4" w:space="0" w:color="auto"/>
              <w:right w:val="single" w:sz="4" w:space="0" w:color="auto"/>
            </w:tcBorders>
            <w:noWrap/>
            <w:vAlign w:val="center"/>
            <w:hideMark/>
          </w:tcPr>
          <w:p w14:paraId="35804708"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34.6</w:t>
            </w:r>
          </w:p>
        </w:tc>
        <w:tc>
          <w:tcPr>
            <w:tcW w:w="586" w:type="pct"/>
            <w:tcBorders>
              <w:top w:val="nil"/>
              <w:left w:val="nil"/>
              <w:bottom w:val="single" w:sz="4" w:space="0" w:color="auto"/>
              <w:right w:val="single" w:sz="4" w:space="0" w:color="auto"/>
            </w:tcBorders>
            <w:noWrap/>
            <w:vAlign w:val="center"/>
            <w:hideMark/>
          </w:tcPr>
          <w:p w14:paraId="1531CF6E"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9.5</w:t>
            </w:r>
          </w:p>
        </w:tc>
      </w:tr>
      <w:tr w:rsidR="0025441C" w:rsidRPr="00AF6295" w14:paraId="634ED69C" w14:textId="77777777" w:rsidTr="001A573D">
        <w:trPr>
          <w:trHeight w:val="264"/>
        </w:trPr>
        <w:tc>
          <w:tcPr>
            <w:tcW w:w="2259" w:type="pct"/>
            <w:tcBorders>
              <w:top w:val="nil"/>
              <w:left w:val="single" w:sz="4" w:space="0" w:color="auto"/>
              <w:bottom w:val="single" w:sz="4" w:space="0" w:color="auto"/>
              <w:right w:val="single" w:sz="4" w:space="0" w:color="auto"/>
            </w:tcBorders>
            <w:noWrap/>
            <w:vAlign w:val="center"/>
            <w:hideMark/>
          </w:tcPr>
          <w:p w14:paraId="28380AFA" w14:textId="77777777" w:rsidR="0025441C" w:rsidRPr="00AF6295" w:rsidRDefault="0025441C" w:rsidP="00AF6295">
            <w:pPr>
              <w:spacing w:line="240" w:lineRule="auto"/>
              <w:rPr>
                <w:rFonts w:ascii="Times New Roman" w:hAnsi="Times New Roman" w:cs="Times New Roman"/>
                <w:sz w:val="20"/>
                <w:szCs w:val="20"/>
                <w:lang w:eastAsia="en-GB"/>
              </w:rPr>
            </w:pPr>
            <w:r w:rsidRPr="00AF6295">
              <w:rPr>
                <w:rFonts w:ascii="Times New Roman" w:hAnsi="Times New Roman" w:cs="Times New Roman"/>
                <w:sz w:val="20"/>
                <w:szCs w:val="20"/>
                <w:lang w:eastAsia="en-GB"/>
              </w:rPr>
              <w:t xml:space="preserve">Crushing Malone stones </w:t>
            </w:r>
          </w:p>
        </w:tc>
        <w:tc>
          <w:tcPr>
            <w:tcW w:w="757" w:type="pct"/>
            <w:tcBorders>
              <w:top w:val="nil"/>
              <w:left w:val="nil"/>
              <w:bottom w:val="single" w:sz="4" w:space="0" w:color="auto"/>
              <w:right w:val="single" w:sz="4" w:space="0" w:color="auto"/>
            </w:tcBorders>
            <w:noWrap/>
            <w:vAlign w:val="center"/>
            <w:hideMark/>
          </w:tcPr>
          <w:p w14:paraId="0909E3D4"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0.1</w:t>
            </w:r>
          </w:p>
        </w:tc>
        <w:tc>
          <w:tcPr>
            <w:tcW w:w="809" w:type="pct"/>
            <w:tcBorders>
              <w:top w:val="nil"/>
              <w:left w:val="nil"/>
              <w:bottom w:val="single" w:sz="4" w:space="0" w:color="auto"/>
              <w:right w:val="single" w:sz="4" w:space="0" w:color="auto"/>
            </w:tcBorders>
            <w:noWrap/>
            <w:vAlign w:val="center"/>
            <w:hideMark/>
          </w:tcPr>
          <w:p w14:paraId="5B75E8AC"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0.0</w:t>
            </w:r>
          </w:p>
        </w:tc>
        <w:tc>
          <w:tcPr>
            <w:tcW w:w="589" w:type="pct"/>
            <w:tcBorders>
              <w:top w:val="nil"/>
              <w:left w:val="nil"/>
              <w:bottom w:val="single" w:sz="4" w:space="0" w:color="auto"/>
              <w:right w:val="single" w:sz="4" w:space="0" w:color="auto"/>
            </w:tcBorders>
            <w:noWrap/>
            <w:vAlign w:val="center"/>
            <w:hideMark/>
          </w:tcPr>
          <w:p w14:paraId="556BF237"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0.7</w:t>
            </w:r>
          </w:p>
        </w:tc>
        <w:tc>
          <w:tcPr>
            <w:tcW w:w="586" w:type="pct"/>
            <w:tcBorders>
              <w:top w:val="nil"/>
              <w:left w:val="nil"/>
              <w:bottom w:val="single" w:sz="4" w:space="0" w:color="auto"/>
              <w:right w:val="single" w:sz="4" w:space="0" w:color="auto"/>
            </w:tcBorders>
            <w:noWrap/>
            <w:vAlign w:val="center"/>
            <w:hideMark/>
          </w:tcPr>
          <w:p w14:paraId="2937F8C1"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0.3</w:t>
            </w:r>
          </w:p>
        </w:tc>
      </w:tr>
      <w:tr w:rsidR="0025441C" w:rsidRPr="00AF6295" w14:paraId="14AF717B" w14:textId="77777777" w:rsidTr="001A573D">
        <w:trPr>
          <w:trHeight w:val="264"/>
        </w:trPr>
        <w:tc>
          <w:tcPr>
            <w:tcW w:w="2259" w:type="pct"/>
            <w:tcBorders>
              <w:top w:val="nil"/>
              <w:left w:val="single" w:sz="4" w:space="0" w:color="auto"/>
              <w:bottom w:val="single" w:sz="4" w:space="0" w:color="auto"/>
              <w:right w:val="single" w:sz="4" w:space="0" w:color="auto"/>
            </w:tcBorders>
            <w:noWrap/>
            <w:vAlign w:val="center"/>
            <w:hideMark/>
          </w:tcPr>
          <w:p w14:paraId="628BF7FC" w14:textId="77777777" w:rsidR="0025441C" w:rsidRPr="00AF6295" w:rsidRDefault="0025441C" w:rsidP="00AF6295">
            <w:pPr>
              <w:spacing w:line="240" w:lineRule="auto"/>
              <w:rPr>
                <w:rFonts w:ascii="Times New Roman" w:hAnsi="Times New Roman" w:cs="Times New Roman"/>
                <w:sz w:val="20"/>
                <w:szCs w:val="20"/>
                <w:lang w:eastAsia="en-GB"/>
              </w:rPr>
            </w:pPr>
            <w:r w:rsidRPr="00AF6295">
              <w:rPr>
                <w:rFonts w:ascii="Times New Roman" w:hAnsi="Times New Roman" w:cs="Times New Roman"/>
                <w:sz w:val="20"/>
                <w:szCs w:val="20"/>
                <w:lang w:eastAsia="en-GB"/>
              </w:rPr>
              <w:t xml:space="preserve">Reinforcement </w:t>
            </w:r>
          </w:p>
        </w:tc>
        <w:tc>
          <w:tcPr>
            <w:tcW w:w="757" w:type="pct"/>
            <w:tcBorders>
              <w:top w:val="nil"/>
              <w:left w:val="nil"/>
              <w:bottom w:val="single" w:sz="4" w:space="0" w:color="auto"/>
              <w:right w:val="single" w:sz="4" w:space="0" w:color="auto"/>
            </w:tcBorders>
            <w:noWrap/>
            <w:vAlign w:val="center"/>
            <w:hideMark/>
          </w:tcPr>
          <w:p w14:paraId="2EB56C2B"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1.3</w:t>
            </w:r>
          </w:p>
        </w:tc>
        <w:tc>
          <w:tcPr>
            <w:tcW w:w="809" w:type="pct"/>
            <w:tcBorders>
              <w:top w:val="nil"/>
              <w:left w:val="nil"/>
              <w:bottom w:val="single" w:sz="4" w:space="0" w:color="auto"/>
              <w:right w:val="single" w:sz="4" w:space="0" w:color="auto"/>
            </w:tcBorders>
            <w:noWrap/>
            <w:vAlign w:val="center"/>
            <w:hideMark/>
          </w:tcPr>
          <w:p w14:paraId="01037D80"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2.1</w:t>
            </w:r>
          </w:p>
        </w:tc>
        <w:tc>
          <w:tcPr>
            <w:tcW w:w="589" w:type="pct"/>
            <w:tcBorders>
              <w:top w:val="nil"/>
              <w:left w:val="nil"/>
              <w:bottom w:val="single" w:sz="4" w:space="0" w:color="auto"/>
              <w:right w:val="single" w:sz="4" w:space="0" w:color="auto"/>
            </w:tcBorders>
            <w:noWrap/>
            <w:vAlign w:val="center"/>
            <w:hideMark/>
          </w:tcPr>
          <w:p w14:paraId="7DF23CBC"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5.7</w:t>
            </w:r>
          </w:p>
        </w:tc>
        <w:tc>
          <w:tcPr>
            <w:tcW w:w="586" w:type="pct"/>
            <w:tcBorders>
              <w:top w:val="nil"/>
              <w:left w:val="nil"/>
              <w:bottom w:val="single" w:sz="4" w:space="0" w:color="auto"/>
              <w:right w:val="single" w:sz="4" w:space="0" w:color="auto"/>
            </w:tcBorders>
            <w:noWrap/>
            <w:vAlign w:val="center"/>
            <w:hideMark/>
          </w:tcPr>
          <w:p w14:paraId="51110311"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2.8</w:t>
            </w:r>
          </w:p>
        </w:tc>
      </w:tr>
      <w:tr w:rsidR="0025441C" w:rsidRPr="00AF6295" w14:paraId="5F21E5D9" w14:textId="77777777" w:rsidTr="001A573D">
        <w:trPr>
          <w:trHeight w:val="264"/>
        </w:trPr>
        <w:tc>
          <w:tcPr>
            <w:tcW w:w="2259" w:type="pct"/>
            <w:tcBorders>
              <w:top w:val="nil"/>
              <w:left w:val="single" w:sz="4" w:space="0" w:color="auto"/>
              <w:bottom w:val="single" w:sz="4" w:space="0" w:color="auto"/>
              <w:right w:val="single" w:sz="4" w:space="0" w:color="auto"/>
            </w:tcBorders>
            <w:noWrap/>
            <w:vAlign w:val="center"/>
            <w:hideMark/>
          </w:tcPr>
          <w:p w14:paraId="29A1280B" w14:textId="77777777" w:rsidR="0025441C" w:rsidRPr="00AF6295" w:rsidRDefault="0025441C" w:rsidP="00AF6295">
            <w:pPr>
              <w:spacing w:line="240" w:lineRule="auto"/>
              <w:rPr>
                <w:rFonts w:ascii="Times New Roman" w:hAnsi="Times New Roman" w:cs="Times New Roman"/>
                <w:sz w:val="20"/>
                <w:szCs w:val="20"/>
                <w:lang w:eastAsia="en-GB"/>
              </w:rPr>
            </w:pPr>
            <w:r w:rsidRPr="00AF6295">
              <w:rPr>
                <w:rFonts w:ascii="Times New Roman" w:hAnsi="Times New Roman" w:cs="Times New Roman"/>
                <w:sz w:val="20"/>
                <w:szCs w:val="20"/>
                <w:lang w:eastAsia="en-GB"/>
              </w:rPr>
              <w:t xml:space="preserve">Skeleton (for the access bridges) </w:t>
            </w:r>
          </w:p>
        </w:tc>
        <w:tc>
          <w:tcPr>
            <w:tcW w:w="757" w:type="pct"/>
            <w:tcBorders>
              <w:top w:val="nil"/>
              <w:left w:val="nil"/>
              <w:bottom w:val="single" w:sz="4" w:space="0" w:color="auto"/>
              <w:right w:val="single" w:sz="4" w:space="0" w:color="auto"/>
            </w:tcBorders>
            <w:noWrap/>
            <w:vAlign w:val="center"/>
            <w:hideMark/>
          </w:tcPr>
          <w:p w14:paraId="2689F5DB"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1.0</w:t>
            </w:r>
          </w:p>
        </w:tc>
        <w:tc>
          <w:tcPr>
            <w:tcW w:w="809" w:type="pct"/>
            <w:tcBorders>
              <w:top w:val="nil"/>
              <w:left w:val="nil"/>
              <w:bottom w:val="single" w:sz="4" w:space="0" w:color="auto"/>
              <w:right w:val="single" w:sz="4" w:space="0" w:color="auto"/>
            </w:tcBorders>
            <w:noWrap/>
            <w:vAlign w:val="center"/>
            <w:hideMark/>
          </w:tcPr>
          <w:p w14:paraId="15A98D75"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4.0</w:t>
            </w:r>
          </w:p>
        </w:tc>
        <w:tc>
          <w:tcPr>
            <w:tcW w:w="589" w:type="pct"/>
            <w:tcBorders>
              <w:top w:val="nil"/>
              <w:left w:val="nil"/>
              <w:bottom w:val="single" w:sz="4" w:space="0" w:color="auto"/>
              <w:right w:val="single" w:sz="4" w:space="0" w:color="auto"/>
            </w:tcBorders>
            <w:noWrap/>
            <w:vAlign w:val="center"/>
            <w:hideMark/>
          </w:tcPr>
          <w:p w14:paraId="24A46C24"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5.0</w:t>
            </w:r>
          </w:p>
        </w:tc>
        <w:tc>
          <w:tcPr>
            <w:tcW w:w="586" w:type="pct"/>
            <w:tcBorders>
              <w:top w:val="nil"/>
              <w:left w:val="nil"/>
              <w:bottom w:val="single" w:sz="4" w:space="0" w:color="auto"/>
              <w:right w:val="single" w:sz="4" w:space="0" w:color="auto"/>
            </w:tcBorders>
            <w:noWrap/>
            <w:vAlign w:val="center"/>
            <w:hideMark/>
          </w:tcPr>
          <w:p w14:paraId="52D5621D"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3.3</w:t>
            </w:r>
          </w:p>
        </w:tc>
      </w:tr>
      <w:tr w:rsidR="0025441C" w:rsidRPr="00AF6295" w14:paraId="11A01216" w14:textId="77777777" w:rsidTr="001A573D">
        <w:trPr>
          <w:trHeight w:val="264"/>
        </w:trPr>
        <w:tc>
          <w:tcPr>
            <w:tcW w:w="2259" w:type="pct"/>
            <w:tcBorders>
              <w:top w:val="nil"/>
              <w:left w:val="single" w:sz="4" w:space="0" w:color="auto"/>
              <w:bottom w:val="single" w:sz="4" w:space="0" w:color="auto"/>
              <w:right w:val="single" w:sz="4" w:space="0" w:color="auto"/>
            </w:tcBorders>
            <w:noWrap/>
            <w:vAlign w:val="center"/>
            <w:hideMark/>
          </w:tcPr>
          <w:p w14:paraId="327BA494" w14:textId="77777777" w:rsidR="0025441C" w:rsidRPr="00AF6295" w:rsidRDefault="0025441C" w:rsidP="00AF6295">
            <w:pPr>
              <w:spacing w:line="240" w:lineRule="auto"/>
              <w:rPr>
                <w:rFonts w:ascii="Times New Roman" w:hAnsi="Times New Roman" w:cs="Times New Roman"/>
                <w:sz w:val="20"/>
                <w:szCs w:val="20"/>
                <w:lang w:eastAsia="en-GB"/>
              </w:rPr>
            </w:pPr>
            <w:r w:rsidRPr="00AF6295">
              <w:rPr>
                <w:rFonts w:ascii="Times New Roman" w:hAnsi="Times New Roman" w:cs="Times New Roman"/>
                <w:sz w:val="20"/>
                <w:szCs w:val="20"/>
                <w:lang w:eastAsia="en-GB"/>
              </w:rPr>
              <w:t xml:space="preserve">Diesel (to destroy the roots and diesel spraying) </w:t>
            </w:r>
          </w:p>
        </w:tc>
        <w:tc>
          <w:tcPr>
            <w:tcW w:w="757" w:type="pct"/>
            <w:tcBorders>
              <w:top w:val="nil"/>
              <w:left w:val="nil"/>
              <w:bottom w:val="single" w:sz="4" w:space="0" w:color="auto"/>
              <w:right w:val="single" w:sz="4" w:space="0" w:color="auto"/>
            </w:tcBorders>
            <w:noWrap/>
            <w:vAlign w:val="center"/>
            <w:hideMark/>
          </w:tcPr>
          <w:p w14:paraId="4C658713"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0.0</w:t>
            </w:r>
          </w:p>
        </w:tc>
        <w:tc>
          <w:tcPr>
            <w:tcW w:w="809" w:type="pct"/>
            <w:tcBorders>
              <w:top w:val="nil"/>
              <w:left w:val="nil"/>
              <w:bottom w:val="single" w:sz="4" w:space="0" w:color="auto"/>
              <w:right w:val="single" w:sz="4" w:space="0" w:color="auto"/>
            </w:tcBorders>
            <w:noWrap/>
            <w:vAlign w:val="center"/>
            <w:hideMark/>
          </w:tcPr>
          <w:p w14:paraId="6DFBBE6A"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0.0</w:t>
            </w:r>
          </w:p>
        </w:tc>
        <w:tc>
          <w:tcPr>
            <w:tcW w:w="589" w:type="pct"/>
            <w:tcBorders>
              <w:top w:val="nil"/>
              <w:left w:val="nil"/>
              <w:bottom w:val="single" w:sz="4" w:space="0" w:color="auto"/>
              <w:right w:val="single" w:sz="4" w:space="0" w:color="auto"/>
            </w:tcBorders>
            <w:noWrap/>
            <w:vAlign w:val="center"/>
            <w:hideMark/>
          </w:tcPr>
          <w:p w14:paraId="6DC4D287"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0.5</w:t>
            </w:r>
          </w:p>
        </w:tc>
        <w:tc>
          <w:tcPr>
            <w:tcW w:w="586" w:type="pct"/>
            <w:tcBorders>
              <w:top w:val="nil"/>
              <w:left w:val="nil"/>
              <w:bottom w:val="single" w:sz="4" w:space="0" w:color="auto"/>
              <w:right w:val="single" w:sz="4" w:space="0" w:color="auto"/>
            </w:tcBorders>
            <w:noWrap/>
            <w:vAlign w:val="center"/>
            <w:hideMark/>
          </w:tcPr>
          <w:p w14:paraId="32CD8625"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0.1</w:t>
            </w:r>
          </w:p>
        </w:tc>
      </w:tr>
      <w:tr w:rsidR="0025441C" w:rsidRPr="00AF6295" w14:paraId="273B67CF" w14:textId="77777777" w:rsidTr="001A573D">
        <w:trPr>
          <w:trHeight w:val="264"/>
        </w:trPr>
        <w:tc>
          <w:tcPr>
            <w:tcW w:w="2259" w:type="pct"/>
            <w:tcBorders>
              <w:top w:val="nil"/>
              <w:left w:val="single" w:sz="4" w:space="0" w:color="auto"/>
              <w:bottom w:val="single" w:sz="4" w:space="0" w:color="auto"/>
              <w:right w:val="single" w:sz="4" w:space="0" w:color="auto"/>
            </w:tcBorders>
            <w:noWrap/>
            <w:vAlign w:val="center"/>
            <w:hideMark/>
          </w:tcPr>
          <w:p w14:paraId="44E284E6" w14:textId="77777777" w:rsidR="0025441C" w:rsidRPr="00AF6295" w:rsidRDefault="0025441C" w:rsidP="00AF6295">
            <w:pPr>
              <w:spacing w:line="240" w:lineRule="auto"/>
              <w:rPr>
                <w:rFonts w:ascii="Times New Roman" w:hAnsi="Times New Roman" w:cs="Times New Roman"/>
                <w:sz w:val="20"/>
                <w:szCs w:val="20"/>
                <w:lang w:eastAsia="en-GB"/>
              </w:rPr>
            </w:pPr>
            <w:r w:rsidRPr="00AF6295">
              <w:rPr>
                <w:rFonts w:ascii="Times New Roman" w:hAnsi="Times New Roman" w:cs="Times New Roman"/>
                <w:sz w:val="20"/>
                <w:szCs w:val="20"/>
                <w:lang w:eastAsia="en-GB"/>
              </w:rPr>
              <w:t xml:space="preserve">Rubble placing </w:t>
            </w:r>
          </w:p>
        </w:tc>
        <w:tc>
          <w:tcPr>
            <w:tcW w:w="757" w:type="pct"/>
            <w:tcBorders>
              <w:top w:val="nil"/>
              <w:left w:val="nil"/>
              <w:bottom w:val="single" w:sz="4" w:space="0" w:color="auto"/>
              <w:right w:val="single" w:sz="4" w:space="0" w:color="auto"/>
            </w:tcBorders>
            <w:noWrap/>
            <w:vAlign w:val="center"/>
            <w:hideMark/>
          </w:tcPr>
          <w:p w14:paraId="41113A28"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0.3</w:t>
            </w:r>
          </w:p>
        </w:tc>
        <w:tc>
          <w:tcPr>
            <w:tcW w:w="809" w:type="pct"/>
            <w:tcBorders>
              <w:top w:val="nil"/>
              <w:left w:val="nil"/>
              <w:bottom w:val="single" w:sz="4" w:space="0" w:color="auto"/>
              <w:right w:val="single" w:sz="4" w:space="0" w:color="auto"/>
            </w:tcBorders>
            <w:noWrap/>
            <w:vAlign w:val="center"/>
            <w:hideMark/>
          </w:tcPr>
          <w:p w14:paraId="4CF0D8C3"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0.2</w:t>
            </w:r>
          </w:p>
        </w:tc>
        <w:tc>
          <w:tcPr>
            <w:tcW w:w="589" w:type="pct"/>
            <w:tcBorders>
              <w:top w:val="nil"/>
              <w:left w:val="nil"/>
              <w:bottom w:val="single" w:sz="4" w:space="0" w:color="auto"/>
              <w:right w:val="single" w:sz="4" w:space="0" w:color="auto"/>
            </w:tcBorders>
            <w:noWrap/>
            <w:vAlign w:val="center"/>
            <w:hideMark/>
          </w:tcPr>
          <w:p w14:paraId="4EB88E93"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2.1</w:t>
            </w:r>
          </w:p>
        </w:tc>
        <w:tc>
          <w:tcPr>
            <w:tcW w:w="586" w:type="pct"/>
            <w:tcBorders>
              <w:top w:val="nil"/>
              <w:left w:val="nil"/>
              <w:bottom w:val="single" w:sz="4" w:space="0" w:color="auto"/>
              <w:right w:val="single" w:sz="4" w:space="0" w:color="auto"/>
            </w:tcBorders>
            <w:noWrap/>
            <w:vAlign w:val="center"/>
            <w:hideMark/>
          </w:tcPr>
          <w:p w14:paraId="19428029"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0.6</w:t>
            </w:r>
          </w:p>
        </w:tc>
      </w:tr>
      <w:tr w:rsidR="0025441C" w:rsidRPr="00AF6295" w14:paraId="3D064D20" w14:textId="77777777" w:rsidTr="001A573D">
        <w:trPr>
          <w:trHeight w:val="264"/>
        </w:trPr>
        <w:tc>
          <w:tcPr>
            <w:tcW w:w="2259" w:type="pct"/>
            <w:tcBorders>
              <w:top w:val="nil"/>
              <w:left w:val="single" w:sz="4" w:space="0" w:color="auto"/>
              <w:bottom w:val="single" w:sz="4" w:space="0" w:color="auto"/>
              <w:right w:val="single" w:sz="4" w:space="0" w:color="auto"/>
            </w:tcBorders>
            <w:noWrap/>
            <w:vAlign w:val="center"/>
            <w:hideMark/>
          </w:tcPr>
          <w:p w14:paraId="2D0A2B8B" w14:textId="77777777" w:rsidR="0025441C" w:rsidRPr="00AF6295" w:rsidRDefault="0025441C" w:rsidP="00AF6295">
            <w:pPr>
              <w:spacing w:line="240" w:lineRule="auto"/>
              <w:rPr>
                <w:rFonts w:ascii="Times New Roman" w:hAnsi="Times New Roman" w:cs="Times New Roman"/>
                <w:sz w:val="20"/>
                <w:szCs w:val="20"/>
                <w:lang w:eastAsia="en-GB"/>
              </w:rPr>
            </w:pPr>
            <w:r w:rsidRPr="00AF6295">
              <w:rPr>
                <w:rFonts w:ascii="Times New Roman" w:hAnsi="Times New Roman" w:cs="Times New Roman"/>
                <w:sz w:val="20"/>
                <w:szCs w:val="20"/>
                <w:lang w:eastAsia="en-GB"/>
              </w:rPr>
              <w:t xml:space="preserve">Diesel fuel (for machinery) </w:t>
            </w:r>
          </w:p>
        </w:tc>
        <w:tc>
          <w:tcPr>
            <w:tcW w:w="757" w:type="pct"/>
            <w:tcBorders>
              <w:top w:val="nil"/>
              <w:left w:val="nil"/>
              <w:bottom w:val="single" w:sz="4" w:space="0" w:color="auto"/>
              <w:right w:val="single" w:sz="4" w:space="0" w:color="auto"/>
            </w:tcBorders>
            <w:noWrap/>
            <w:vAlign w:val="center"/>
            <w:hideMark/>
          </w:tcPr>
          <w:p w14:paraId="7A3547F0"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445.6</w:t>
            </w:r>
          </w:p>
        </w:tc>
        <w:tc>
          <w:tcPr>
            <w:tcW w:w="809" w:type="pct"/>
            <w:tcBorders>
              <w:top w:val="nil"/>
              <w:left w:val="nil"/>
              <w:bottom w:val="single" w:sz="4" w:space="0" w:color="auto"/>
              <w:right w:val="single" w:sz="4" w:space="0" w:color="auto"/>
            </w:tcBorders>
            <w:noWrap/>
            <w:vAlign w:val="center"/>
            <w:hideMark/>
          </w:tcPr>
          <w:p w14:paraId="6915B739"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57.1</w:t>
            </w:r>
          </w:p>
        </w:tc>
        <w:tc>
          <w:tcPr>
            <w:tcW w:w="589" w:type="pct"/>
            <w:tcBorders>
              <w:top w:val="nil"/>
              <w:left w:val="nil"/>
              <w:bottom w:val="single" w:sz="4" w:space="0" w:color="auto"/>
              <w:right w:val="single" w:sz="4" w:space="0" w:color="auto"/>
            </w:tcBorders>
            <w:noWrap/>
            <w:vAlign w:val="center"/>
            <w:hideMark/>
          </w:tcPr>
          <w:p w14:paraId="0122FB6C"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3403.3</w:t>
            </w:r>
          </w:p>
        </w:tc>
        <w:tc>
          <w:tcPr>
            <w:tcW w:w="586" w:type="pct"/>
            <w:tcBorders>
              <w:top w:val="nil"/>
              <w:left w:val="nil"/>
              <w:bottom w:val="single" w:sz="4" w:space="0" w:color="auto"/>
              <w:right w:val="single" w:sz="4" w:space="0" w:color="auto"/>
            </w:tcBorders>
            <w:noWrap/>
            <w:vAlign w:val="center"/>
            <w:hideMark/>
          </w:tcPr>
          <w:p w14:paraId="36141F6C"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781.9</w:t>
            </w:r>
          </w:p>
        </w:tc>
      </w:tr>
      <w:tr w:rsidR="0025441C" w:rsidRPr="00AF6295" w14:paraId="695F64F2" w14:textId="77777777" w:rsidTr="001A573D">
        <w:trPr>
          <w:trHeight w:val="264"/>
        </w:trPr>
        <w:tc>
          <w:tcPr>
            <w:tcW w:w="2259" w:type="pct"/>
            <w:tcBorders>
              <w:top w:val="nil"/>
              <w:left w:val="single" w:sz="4" w:space="0" w:color="auto"/>
              <w:bottom w:val="single" w:sz="4" w:space="0" w:color="auto"/>
              <w:right w:val="single" w:sz="4" w:space="0" w:color="auto"/>
            </w:tcBorders>
            <w:noWrap/>
            <w:vAlign w:val="center"/>
            <w:hideMark/>
          </w:tcPr>
          <w:p w14:paraId="35C9903B" w14:textId="77777777" w:rsidR="0025441C" w:rsidRPr="00AF6295" w:rsidRDefault="0025441C" w:rsidP="00AF6295">
            <w:pPr>
              <w:spacing w:line="240" w:lineRule="auto"/>
              <w:rPr>
                <w:rFonts w:ascii="Times New Roman" w:hAnsi="Times New Roman" w:cs="Times New Roman"/>
                <w:sz w:val="20"/>
                <w:szCs w:val="20"/>
                <w:lang w:eastAsia="en-GB"/>
              </w:rPr>
            </w:pPr>
            <w:r w:rsidRPr="00AF6295">
              <w:rPr>
                <w:rFonts w:ascii="Times New Roman" w:hAnsi="Times New Roman" w:cs="Times New Roman"/>
                <w:sz w:val="20"/>
                <w:szCs w:val="20"/>
                <w:lang w:eastAsia="en-GB"/>
              </w:rPr>
              <w:t xml:space="preserve">Generator power consumption (for sewing sealing layers) </w:t>
            </w:r>
          </w:p>
        </w:tc>
        <w:tc>
          <w:tcPr>
            <w:tcW w:w="757" w:type="pct"/>
            <w:tcBorders>
              <w:top w:val="nil"/>
              <w:left w:val="nil"/>
              <w:bottom w:val="single" w:sz="4" w:space="0" w:color="auto"/>
              <w:right w:val="single" w:sz="4" w:space="0" w:color="auto"/>
            </w:tcBorders>
            <w:noWrap/>
            <w:vAlign w:val="center"/>
            <w:hideMark/>
          </w:tcPr>
          <w:p w14:paraId="10AEE57A"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0.3</w:t>
            </w:r>
          </w:p>
        </w:tc>
        <w:tc>
          <w:tcPr>
            <w:tcW w:w="809" w:type="pct"/>
            <w:tcBorders>
              <w:top w:val="nil"/>
              <w:left w:val="nil"/>
              <w:bottom w:val="single" w:sz="4" w:space="0" w:color="auto"/>
              <w:right w:val="single" w:sz="4" w:space="0" w:color="auto"/>
            </w:tcBorders>
            <w:noWrap/>
            <w:vAlign w:val="center"/>
            <w:hideMark/>
          </w:tcPr>
          <w:p w14:paraId="20A63C15"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0.0</w:t>
            </w:r>
          </w:p>
        </w:tc>
        <w:tc>
          <w:tcPr>
            <w:tcW w:w="589" w:type="pct"/>
            <w:tcBorders>
              <w:top w:val="nil"/>
              <w:left w:val="nil"/>
              <w:bottom w:val="single" w:sz="4" w:space="0" w:color="auto"/>
              <w:right w:val="single" w:sz="4" w:space="0" w:color="auto"/>
            </w:tcBorders>
            <w:noWrap/>
            <w:vAlign w:val="center"/>
            <w:hideMark/>
          </w:tcPr>
          <w:p w14:paraId="245BC567"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3.1</w:t>
            </w:r>
          </w:p>
        </w:tc>
        <w:tc>
          <w:tcPr>
            <w:tcW w:w="586" w:type="pct"/>
            <w:tcBorders>
              <w:top w:val="nil"/>
              <w:left w:val="nil"/>
              <w:bottom w:val="single" w:sz="4" w:space="0" w:color="auto"/>
              <w:right w:val="single" w:sz="4" w:space="0" w:color="auto"/>
            </w:tcBorders>
            <w:noWrap/>
            <w:vAlign w:val="center"/>
            <w:hideMark/>
          </w:tcPr>
          <w:p w14:paraId="6FB0B6BD"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0.7</w:t>
            </w:r>
          </w:p>
        </w:tc>
      </w:tr>
      <w:tr w:rsidR="0025441C" w:rsidRPr="00AF6295" w14:paraId="4EC64545" w14:textId="77777777" w:rsidTr="001A573D">
        <w:trPr>
          <w:trHeight w:val="264"/>
        </w:trPr>
        <w:tc>
          <w:tcPr>
            <w:tcW w:w="2259" w:type="pct"/>
            <w:tcBorders>
              <w:top w:val="nil"/>
              <w:left w:val="single" w:sz="4" w:space="0" w:color="auto"/>
              <w:bottom w:val="single" w:sz="4" w:space="0" w:color="auto"/>
              <w:right w:val="single" w:sz="4" w:space="0" w:color="auto"/>
            </w:tcBorders>
            <w:noWrap/>
            <w:vAlign w:val="center"/>
            <w:hideMark/>
          </w:tcPr>
          <w:p w14:paraId="0BB09486" w14:textId="77777777" w:rsidR="0025441C" w:rsidRPr="00AF6295" w:rsidRDefault="0025441C" w:rsidP="00AF6295">
            <w:pPr>
              <w:spacing w:line="240" w:lineRule="auto"/>
              <w:rPr>
                <w:rFonts w:ascii="Times New Roman" w:hAnsi="Times New Roman" w:cs="Times New Roman"/>
                <w:sz w:val="20"/>
                <w:szCs w:val="20"/>
                <w:lang w:eastAsia="en-GB"/>
              </w:rPr>
            </w:pPr>
            <w:r w:rsidRPr="00AF6295">
              <w:rPr>
                <w:rFonts w:ascii="Times New Roman" w:hAnsi="Times New Roman" w:cs="Times New Roman"/>
                <w:sz w:val="20"/>
                <w:szCs w:val="20"/>
                <w:lang w:eastAsia="en-GB"/>
              </w:rPr>
              <w:t>Transportation</w:t>
            </w:r>
          </w:p>
        </w:tc>
        <w:tc>
          <w:tcPr>
            <w:tcW w:w="757" w:type="pct"/>
            <w:tcBorders>
              <w:top w:val="nil"/>
              <w:left w:val="nil"/>
              <w:bottom w:val="single" w:sz="4" w:space="0" w:color="auto"/>
              <w:right w:val="single" w:sz="4" w:space="0" w:color="auto"/>
            </w:tcBorders>
            <w:noWrap/>
            <w:vAlign w:val="center"/>
            <w:hideMark/>
          </w:tcPr>
          <w:p w14:paraId="103E8EC8"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34.5</w:t>
            </w:r>
          </w:p>
        </w:tc>
        <w:tc>
          <w:tcPr>
            <w:tcW w:w="809" w:type="pct"/>
            <w:tcBorders>
              <w:top w:val="nil"/>
              <w:left w:val="nil"/>
              <w:bottom w:val="single" w:sz="4" w:space="0" w:color="auto"/>
              <w:right w:val="single" w:sz="4" w:space="0" w:color="auto"/>
            </w:tcBorders>
            <w:noWrap/>
            <w:vAlign w:val="center"/>
            <w:hideMark/>
          </w:tcPr>
          <w:p w14:paraId="4AF847AD"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13.2</w:t>
            </w:r>
          </w:p>
        </w:tc>
        <w:tc>
          <w:tcPr>
            <w:tcW w:w="589" w:type="pct"/>
            <w:tcBorders>
              <w:top w:val="nil"/>
              <w:left w:val="nil"/>
              <w:bottom w:val="single" w:sz="4" w:space="0" w:color="auto"/>
              <w:right w:val="single" w:sz="4" w:space="0" w:color="auto"/>
            </w:tcBorders>
            <w:noWrap/>
            <w:vAlign w:val="center"/>
            <w:hideMark/>
          </w:tcPr>
          <w:p w14:paraId="31E29A74"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152.3</w:t>
            </w:r>
          </w:p>
        </w:tc>
        <w:tc>
          <w:tcPr>
            <w:tcW w:w="586" w:type="pct"/>
            <w:tcBorders>
              <w:top w:val="nil"/>
              <w:left w:val="nil"/>
              <w:bottom w:val="single" w:sz="4" w:space="0" w:color="auto"/>
              <w:right w:val="single" w:sz="4" w:space="0" w:color="auto"/>
            </w:tcBorders>
            <w:noWrap/>
            <w:vAlign w:val="center"/>
            <w:hideMark/>
          </w:tcPr>
          <w:p w14:paraId="5D4C2F7A"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35.0</w:t>
            </w:r>
          </w:p>
        </w:tc>
      </w:tr>
      <w:tr w:rsidR="0025441C" w:rsidRPr="00AF6295" w14:paraId="1119EA76" w14:textId="77777777" w:rsidTr="001A573D">
        <w:trPr>
          <w:trHeight w:val="209"/>
        </w:trPr>
        <w:tc>
          <w:tcPr>
            <w:tcW w:w="2259" w:type="pct"/>
            <w:tcBorders>
              <w:top w:val="nil"/>
              <w:left w:val="single" w:sz="4" w:space="0" w:color="auto"/>
              <w:bottom w:val="single" w:sz="4" w:space="0" w:color="auto"/>
              <w:right w:val="single" w:sz="4" w:space="0" w:color="auto"/>
            </w:tcBorders>
            <w:noWrap/>
            <w:vAlign w:val="center"/>
            <w:hideMark/>
          </w:tcPr>
          <w:p w14:paraId="275C3BC3" w14:textId="77777777" w:rsidR="0025441C" w:rsidRPr="00AF6295" w:rsidRDefault="0025441C" w:rsidP="00AF6295">
            <w:pPr>
              <w:spacing w:line="240" w:lineRule="auto"/>
              <w:rPr>
                <w:rFonts w:ascii="Times New Roman" w:hAnsi="Times New Roman" w:cs="Times New Roman"/>
                <w:sz w:val="20"/>
                <w:szCs w:val="20"/>
                <w:lang w:eastAsia="en-GB"/>
              </w:rPr>
            </w:pPr>
            <w:r w:rsidRPr="00AF6295">
              <w:rPr>
                <w:rFonts w:ascii="Times New Roman" w:hAnsi="Times New Roman" w:cs="Times New Roman"/>
                <w:sz w:val="20"/>
                <w:szCs w:val="20"/>
                <w:lang w:eastAsia="en-GB"/>
              </w:rPr>
              <w:t>Total, allocated by year (assumed lifetime = 80 years)</w:t>
            </w:r>
          </w:p>
        </w:tc>
        <w:tc>
          <w:tcPr>
            <w:tcW w:w="757" w:type="pct"/>
            <w:tcBorders>
              <w:top w:val="nil"/>
              <w:left w:val="nil"/>
              <w:bottom w:val="single" w:sz="4" w:space="0" w:color="auto"/>
              <w:right w:val="single" w:sz="4" w:space="0" w:color="auto"/>
            </w:tcBorders>
            <w:noWrap/>
            <w:vAlign w:val="center"/>
            <w:hideMark/>
          </w:tcPr>
          <w:p w14:paraId="186D7D90"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6.1</w:t>
            </w:r>
          </w:p>
        </w:tc>
        <w:tc>
          <w:tcPr>
            <w:tcW w:w="809" w:type="pct"/>
            <w:tcBorders>
              <w:top w:val="nil"/>
              <w:left w:val="nil"/>
              <w:bottom w:val="single" w:sz="4" w:space="0" w:color="auto"/>
              <w:right w:val="single" w:sz="4" w:space="0" w:color="auto"/>
            </w:tcBorders>
            <w:noWrap/>
            <w:vAlign w:val="center"/>
            <w:hideMark/>
          </w:tcPr>
          <w:p w14:paraId="3B76A8FF"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0.9</w:t>
            </w:r>
          </w:p>
        </w:tc>
        <w:tc>
          <w:tcPr>
            <w:tcW w:w="589" w:type="pct"/>
            <w:tcBorders>
              <w:top w:val="nil"/>
              <w:left w:val="nil"/>
              <w:bottom w:val="single" w:sz="4" w:space="0" w:color="auto"/>
              <w:right w:val="single" w:sz="4" w:space="0" w:color="auto"/>
            </w:tcBorders>
            <w:noWrap/>
            <w:vAlign w:val="center"/>
            <w:hideMark/>
          </w:tcPr>
          <w:p w14:paraId="523E1481"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39.4</w:t>
            </w:r>
          </w:p>
        </w:tc>
        <w:tc>
          <w:tcPr>
            <w:tcW w:w="586" w:type="pct"/>
            <w:tcBorders>
              <w:top w:val="nil"/>
              <w:left w:val="nil"/>
              <w:bottom w:val="single" w:sz="4" w:space="0" w:color="auto"/>
              <w:right w:val="single" w:sz="4" w:space="0" w:color="auto"/>
            </w:tcBorders>
            <w:noWrap/>
            <w:vAlign w:val="center"/>
            <w:hideMark/>
          </w:tcPr>
          <w:p w14:paraId="32A578D9" w14:textId="77777777" w:rsidR="0025441C" w:rsidRPr="00AF6295" w:rsidRDefault="0025441C" w:rsidP="00820CB0">
            <w:pPr>
              <w:spacing w:line="240" w:lineRule="auto"/>
              <w:jc w:val="right"/>
              <w:rPr>
                <w:rFonts w:ascii="Times New Roman" w:hAnsi="Times New Roman" w:cs="Times New Roman"/>
                <w:sz w:val="20"/>
                <w:szCs w:val="20"/>
                <w:lang w:eastAsia="en-GB"/>
              </w:rPr>
            </w:pPr>
            <w:r w:rsidRPr="00AF6295">
              <w:rPr>
                <w:rFonts w:ascii="Times New Roman" w:hAnsi="Times New Roman" w:cs="Times New Roman"/>
                <w:sz w:val="20"/>
                <w:szCs w:val="20"/>
                <w:lang w:eastAsia="en-GB"/>
              </w:rPr>
              <w:t>9.0</w:t>
            </w:r>
          </w:p>
        </w:tc>
      </w:tr>
    </w:tbl>
    <w:p w14:paraId="044F220F" w14:textId="77777777" w:rsidR="00243D32" w:rsidRDefault="00243D32" w:rsidP="00AF6295">
      <w:pPr>
        <w:pStyle w:val="TextMonsanto"/>
        <w:spacing w:line="480" w:lineRule="auto"/>
        <w:rPr>
          <w:rFonts w:ascii="Times New Roman" w:hAnsi="Times New Roman" w:cs="Times New Roman"/>
        </w:rPr>
      </w:pPr>
    </w:p>
    <w:p w14:paraId="728D8C54" w14:textId="77777777" w:rsidR="00C2563C" w:rsidRDefault="00C2563C" w:rsidP="00AF6295">
      <w:pPr>
        <w:pStyle w:val="TextMonsanto"/>
        <w:spacing w:line="480" w:lineRule="auto"/>
        <w:rPr>
          <w:rFonts w:ascii="Times New Roman" w:hAnsi="Times New Roman" w:cs="Times New Roman"/>
        </w:rPr>
      </w:pPr>
    </w:p>
    <w:p w14:paraId="1DAA4B91" w14:textId="77777777" w:rsidR="00C2563C" w:rsidRDefault="00C2563C" w:rsidP="00AF6295">
      <w:pPr>
        <w:pStyle w:val="TextMonsanto"/>
        <w:spacing w:line="480" w:lineRule="auto"/>
        <w:rPr>
          <w:rFonts w:ascii="Times New Roman" w:hAnsi="Times New Roman" w:cs="Times New Roman"/>
        </w:rPr>
      </w:pPr>
    </w:p>
    <w:p w14:paraId="7D7AB684" w14:textId="77777777" w:rsidR="00C2563C" w:rsidRDefault="00C2563C" w:rsidP="00AF6295">
      <w:pPr>
        <w:pStyle w:val="TextMonsanto"/>
        <w:spacing w:line="480" w:lineRule="auto"/>
        <w:rPr>
          <w:rFonts w:ascii="Times New Roman" w:hAnsi="Times New Roman" w:cs="Times New Roman"/>
        </w:rPr>
      </w:pPr>
    </w:p>
    <w:p w14:paraId="3A7AFA1E" w14:textId="77777777" w:rsidR="00C2563C" w:rsidRDefault="00C2563C" w:rsidP="00AF6295">
      <w:pPr>
        <w:pStyle w:val="TextMonsanto"/>
        <w:spacing w:line="480" w:lineRule="auto"/>
        <w:rPr>
          <w:rFonts w:ascii="Times New Roman" w:hAnsi="Times New Roman" w:cs="Times New Roman"/>
        </w:rPr>
      </w:pPr>
    </w:p>
    <w:p w14:paraId="39D060AF" w14:textId="77777777" w:rsidR="00C2563C" w:rsidRDefault="00C2563C" w:rsidP="00AF6295">
      <w:pPr>
        <w:pStyle w:val="TextMonsanto"/>
        <w:spacing w:line="480" w:lineRule="auto"/>
        <w:rPr>
          <w:rFonts w:ascii="Times New Roman" w:hAnsi="Times New Roman" w:cs="Times New Roman"/>
        </w:rPr>
      </w:pPr>
    </w:p>
    <w:p w14:paraId="54219750" w14:textId="77777777" w:rsidR="00C2563C" w:rsidRDefault="00C2563C" w:rsidP="00AF6295">
      <w:pPr>
        <w:pStyle w:val="TextMonsanto"/>
        <w:spacing w:line="480" w:lineRule="auto"/>
        <w:rPr>
          <w:rFonts w:ascii="Times New Roman" w:hAnsi="Times New Roman" w:cs="Times New Roman"/>
        </w:rPr>
      </w:pPr>
    </w:p>
    <w:p w14:paraId="55A9D9FC" w14:textId="77777777" w:rsidR="00C2563C" w:rsidRDefault="00C2563C" w:rsidP="00AF6295">
      <w:pPr>
        <w:pStyle w:val="TextMonsanto"/>
        <w:spacing w:line="480" w:lineRule="auto"/>
        <w:rPr>
          <w:rFonts w:ascii="Times New Roman" w:hAnsi="Times New Roman" w:cs="Times New Roman"/>
        </w:rPr>
      </w:pPr>
    </w:p>
    <w:p w14:paraId="4E7FE763" w14:textId="77777777" w:rsidR="00C2563C" w:rsidRDefault="00C2563C" w:rsidP="00AF6295">
      <w:pPr>
        <w:pStyle w:val="TextMonsanto"/>
        <w:spacing w:line="480" w:lineRule="auto"/>
        <w:rPr>
          <w:rFonts w:ascii="Times New Roman" w:hAnsi="Times New Roman" w:cs="Times New Roman"/>
        </w:rPr>
      </w:pPr>
    </w:p>
    <w:p w14:paraId="613FB7F2" w14:textId="1FE36B9A" w:rsidR="00C0187E" w:rsidRPr="00C0187E" w:rsidRDefault="00C2563C" w:rsidP="00C0187E">
      <w:pPr>
        <w:pStyle w:val="TextMonsanto"/>
        <w:spacing w:line="480" w:lineRule="auto"/>
        <w:rPr>
          <w:rFonts w:ascii="Times New Roman" w:hAnsi="Times New Roman" w:cs="Times New Roman"/>
          <w:b/>
          <w:bCs/>
          <w:sz w:val="24"/>
          <w:szCs w:val="24"/>
        </w:rPr>
      </w:pPr>
      <w:r w:rsidRPr="00C2563C">
        <w:rPr>
          <w:rFonts w:ascii="Times New Roman" w:hAnsi="Times New Roman" w:cs="Times New Roman"/>
          <w:b/>
          <w:bCs/>
          <w:sz w:val="24"/>
          <w:szCs w:val="24"/>
        </w:rPr>
        <w:lastRenderedPageBreak/>
        <w:t>Reference</w:t>
      </w:r>
    </w:p>
    <w:p w14:paraId="6480B7C6" w14:textId="77777777" w:rsidR="00C0187E" w:rsidRPr="00EA59DF" w:rsidRDefault="00C0187E" w:rsidP="00C0187E">
      <w:pPr>
        <w:spacing w:line="480" w:lineRule="auto"/>
        <w:ind w:left="851" w:hanging="851"/>
        <w:rPr>
          <w:rFonts w:ascii="Times New Roman" w:hAnsi="Times New Roman" w:cs="Times New Roman"/>
        </w:rPr>
      </w:pPr>
      <w:r w:rsidRPr="00C0187E">
        <w:rPr>
          <w:rFonts w:ascii="Times New Roman" w:hAnsi="Times New Roman" w:cs="Times New Roman"/>
          <w:lang w:val="it-IT"/>
        </w:rPr>
        <w:t xml:space="preserve">Arias-Arévalo, P., Pacheco-Valdés, N., &amp; García-Lozano, A. (2025). </w:t>
      </w:r>
      <w:r w:rsidRPr="00EA59DF">
        <w:rPr>
          <w:rFonts w:ascii="Times New Roman" w:hAnsi="Times New Roman" w:cs="Times New Roman"/>
        </w:rPr>
        <w:t>“With or without payment I conserve”: The fabric of intrinsic, instrumental and relational values in payments for ecosystem services. Journal of Environmental Management, 387, 125744. https://doi.org/10.1016/J.JENVMAN.2025.125744</w:t>
      </w:r>
    </w:p>
    <w:p w14:paraId="3917003F" w14:textId="77777777" w:rsidR="00C0187E" w:rsidRPr="008736B6" w:rsidRDefault="00C0187E" w:rsidP="00C2563C">
      <w:pPr>
        <w:spacing w:line="480" w:lineRule="auto"/>
        <w:ind w:left="851" w:hanging="851"/>
        <w:rPr>
          <w:rFonts w:ascii="Times New Roman" w:hAnsi="Times New Roman" w:cs="Times New Roman"/>
          <w:lang w:val="it-IT"/>
        </w:rPr>
      </w:pPr>
      <w:proofErr w:type="spellStart"/>
      <w:r w:rsidRPr="00EA59DF">
        <w:rPr>
          <w:rFonts w:ascii="Times New Roman" w:hAnsi="Times New Roman" w:cs="Times New Roman"/>
        </w:rPr>
        <w:t>Baiano</w:t>
      </w:r>
      <w:proofErr w:type="spellEnd"/>
      <w:r w:rsidRPr="00EA59DF">
        <w:rPr>
          <w:rFonts w:ascii="Times New Roman" w:hAnsi="Times New Roman" w:cs="Times New Roman"/>
        </w:rPr>
        <w:t xml:space="preserve">, A. (2021). An Overview on Sustainability in the Wine Production Chain. </w:t>
      </w:r>
      <w:r w:rsidRPr="008736B6">
        <w:rPr>
          <w:rFonts w:ascii="Times New Roman" w:hAnsi="Times New Roman" w:cs="Times New Roman"/>
          <w:lang w:val="it-IT"/>
        </w:rPr>
        <w:t>Beverages 2021, Vol. 7, Page 15, 7(1), 15. https://doi.org/10.3390/BEVERAGES7010015</w:t>
      </w:r>
    </w:p>
    <w:p w14:paraId="42713825" w14:textId="77777777" w:rsidR="00C0187E" w:rsidRPr="008736B6" w:rsidRDefault="00C0187E" w:rsidP="00C0187E">
      <w:pPr>
        <w:spacing w:line="480" w:lineRule="auto"/>
        <w:ind w:left="851" w:hanging="851"/>
        <w:rPr>
          <w:rFonts w:ascii="Times New Roman" w:hAnsi="Times New Roman" w:cs="Times New Roman"/>
          <w:lang w:val="it-IT"/>
        </w:rPr>
      </w:pPr>
      <w:r w:rsidRPr="00C0187E">
        <w:rPr>
          <w:rFonts w:ascii="Times New Roman" w:hAnsi="Times New Roman" w:cs="Times New Roman"/>
          <w:lang w:val="it-IT"/>
        </w:rPr>
        <w:t xml:space="preserve">Bruzzese, S., Brun, F., Galati, A., Borsellino, V., Mirabella, C., Brunori, A., &amp; Blanc, S. (2025). </w:t>
      </w:r>
      <w:r w:rsidRPr="00EA59DF">
        <w:rPr>
          <w:rFonts w:ascii="Times New Roman" w:hAnsi="Times New Roman" w:cs="Times New Roman"/>
        </w:rPr>
        <w:t xml:space="preserve">Examining the adoption of PEFC chain of custody certification in the Italian forest-based industry: An empirical study on motivations and impacts. </w:t>
      </w:r>
      <w:r w:rsidRPr="008736B6">
        <w:rPr>
          <w:rFonts w:ascii="Times New Roman" w:hAnsi="Times New Roman" w:cs="Times New Roman"/>
          <w:lang w:val="it-IT"/>
        </w:rPr>
        <w:t xml:space="preserve">Forest Policy and </w:t>
      </w:r>
      <w:proofErr w:type="spellStart"/>
      <w:r w:rsidRPr="008736B6">
        <w:rPr>
          <w:rFonts w:ascii="Times New Roman" w:hAnsi="Times New Roman" w:cs="Times New Roman"/>
          <w:lang w:val="it-IT"/>
        </w:rPr>
        <w:t>Economics</w:t>
      </w:r>
      <w:proofErr w:type="spellEnd"/>
      <w:r w:rsidRPr="008736B6">
        <w:rPr>
          <w:rFonts w:ascii="Times New Roman" w:hAnsi="Times New Roman" w:cs="Times New Roman"/>
          <w:lang w:val="it-IT"/>
        </w:rPr>
        <w:t>, 170, 103385. https://doi.org/10.1016/J.FORPOL.2024.103385</w:t>
      </w:r>
    </w:p>
    <w:p w14:paraId="0C83B352" w14:textId="77777777" w:rsidR="00C0187E" w:rsidRDefault="00C0187E" w:rsidP="00C2563C">
      <w:pPr>
        <w:spacing w:line="480" w:lineRule="auto"/>
        <w:ind w:left="851" w:hanging="851"/>
        <w:rPr>
          <w:rFonts w:ascii="Times New Roman" w:hAnsi="Times New Roman" w:cs="Times New Roman"/>
        </w:rPr>
      </w:pPr>
      <w:r w:rsidRPr="00EA59DF">
        <w:rPr>
          <w:rFonts w:ascii="Times New Roman" w:hAnsi="Times New Roman" w:cs="Times New Roman"/>
          <w:lang w:val="it-IT"/>
        </w:rPr>
        <w:t xml:space="preserve">Ceccacci, A., </w:t>
      </w:r>
      <w:proofErr w:type="spellStart"/>
      <w:r w:rsidRPr="00EA59DF">
        <w:rPr>
          <w:rFonts w:ascii="Times New Roman" w:hAnsi="Times New Roman" w:cs="Times New Roman"/>
          <w:lang w:val="it-IT"/>
        </w:rPr>
        <w:t>Camanzi</w:t>
      </w:r>
      <w:proofErr w:type="spellEnd"/>
      <w:r w:rsidRPr="00EA59DF">
        <w:rPr>
          <w:rFonts w:ascii="Times New Roman" w:hAnsi="Times New Roman" w:cs="Times New Roman"/>
          <w:lang w:val="it-IT"/>
        </w:rPr>
        <w:t xml:space="preserve">, L., Rota, C., Fiorentini, R., &amp; </w:t>
      </w:r>
      <w:proofErr w:type="spellStart"/>
      <w:r w:rsidRPr="00EA59DF">
        <w:rPr>
          <w:rFonts w:ascii="Times New Roman" w:hAnsi="Times New Roman" w:cs="Times New Roman"/>
          <w:lang w:val="it-IT"/>
        </w:rPr>
        <w:t>Malorgio</w:t>
      </w:r>
      <w:proofErr w:type="spellEnd"/>
      <w:r w:rsidRPr="00EA59DF">
        <w:rPr>
          <w:rFonts w:ascii="Times New Roman" w:hAnsi="Times New Roman" w:cs="Times New Roman"/>
          <w:lang w:val="it-IT"/>
        </w:rPr>
        <w:t xml:space="preserve">, G. (2025). </w:t>
      </w:r>
      <w:r w:rsidRPr="00EA59DF">
        <w:rPr>
          <w:rFonts w:ascii="Times New Roman" w:hAnsi="Times New Roman" w:cs="Times New Roman"/>
        </w:rPr>
        <w:t xml:space="preserve">Enhancing wineries’ sustainability through territorial certifications: A case study in Emilia-Romagna, Italy. International Journal of Wine Business Research, 37(1), 87–112. </w:t>
      </w:r>
      <w:hyperlink r:id="rId21" w:history="1">
        <w:r w:rsidRPr="002B620E">
          <w:rPr>
            <w:rStyle w:val="Hyperlink"/>
            <w:rFonts w:ascii="Times New Roman" w:hAnsi="Times New Roman" w:cs="Times New Roman"/>
          </w:rPr>
          <w:t>https://doi.org/10.1108/IJWBR-03-2024-0009</w:t>
        </w:r>
      </w:hyperlink>
    </w:p>
    <w:p w14:paraId="3382F608" w14:textId="77777777" w:rsidR="00C0187E" w:rsidRPr="00EA59DF" w:rsidRDefault="00C0187E" w:rsidP="00C0187E">
      <w:pPr>
        <w:spacing w:line="480" w:lineRule="auto"/>
        <w:ind w:left="851" w:hanging="851"/>
        <w:rPr>
          <w:rFonts w:ascii="Times New Roman" w:hAnsi="Times New Roman" w:cs="Times New Roman"/>
        </w:rPr>
      </w:pPr>
      <w:r w:rsidRPr="00EA59DF">
        <w:rPr>
          <w:rFonts w:ascii="Times New Roman" w:hAnsi="Times New Roman" w:cs="Times New Roman"/>
        </w:rPr>
        <w:t xml:space="preserve">Díaz, S., Pascual, U., </w:t>
      </w:r>
      <w:proofErr w:type="spellStart"/>
      <w:r w:rsidRPr="00EA59DF">
        <w:rPr>
          <w:rFonts w:ascii="Times New Roman" w:hAnsi="Times New Roman" w:cs="Times New Roman"/>
        </w:rPr>
        <w:t>Stenseke</w:t>
      </w:r>
      <w:proofErr w:type="spellEnd"/>
      <w:r w:rsidRPr="00EA59DF">
        <w:rPr>
          <w:rFonts w:ascii="Times New Roman" w:hAnsi="Times New Roman" w:cs="Times New Roman"/>
        </w:rPr>
        <w:t>, M., Martín-López, B., Watson, R. T., Molnár, Z., … Shirayama, Y. (2018). An inclusive approach to assess nature’s contributions to people. Science, 359(6373), 270–272.</w:t>
      </w:r>
    </w:p>
    <w:p w14:paraId="42254EF2" w14:textId="77777777" w:rsidR="00C0187E" w:rsidRPr="00EA59DF" w:rsidRDefault="00C0187E" w:rsidP="00C0187E">
      <w:pPr>
        <w:spacing w:line="480" w:lineRule="auto"/>
        <w:ind w:left="851" w:hanging="851"/>
        <w:rPr>
          <w:rFonts w:ascii="Times New Roman" w:hAnsi="Times New Roman" w:cs="Times New Roman"/>
        </w:rPr>
      </w:pPr>
      <w:r w:rsidRPr="00EA59DF">
        <w:rPr>
          <w:rFonts w:ascii="Times New Roman" w:hAnsi="Times New Roman" w:cs="Times New Roman"/>
        </w:rPr>
        <w:t>Folkersen, M. V. (2018). Ecosystem valuation: Changing discourse in a time of climate change. Ecosystem Services, 29, 1–12. https://doi.org/10.1016/J.ECOSER.2017.11.008</w:t>
      </w:r>
    </w:p>
    <w:p w14:paraId="2C52830A" w14:textId="77777777" w:rsidR="00C0187E" w:rsidRPr="008736B6" w:rsidRDefault="00C0187E" w:rsidP="00C2563C">
      <w:pPr>
        <w:spacing w:line="480" w:lineRule="auto"/>
        <w:ind w:left="851" w:hanging="851"/>
        <w:rPr>
          <w:rFonts w:ascii="Times New Roman" w:hAnsi="Times New Roman" w:cs="Times New Roman"/>
        </w:rPr>
      </w:pPr>
      <w:r w:rsidRPr="008736B6">
        <w:rPr>
          <w:rFonts w:ascii="Times New Roman" w:hAnsi="Times New Roman" w:cs="Times New Roman"/>
        </w:rPr>
        <w:t xml:space="preserve">Garcia, L., </w:t>
      </w:r>
      <w:proofErr w:type="spellStart"/>
      <w:r w:rsidRPr="008736B6">
        <w:rPr>
          <w:rFonts w:ascii="Times New Roman" w:hAnsi="Times New Roman" w:cs="Times New Roman"/>
        </w:rPr>
        <w:t>Celette</w:t>
      </w:r>
      <w:proofErr w:type="spellEnd"/>
      <w:r w:rsidRPr="008736B6">
        <w:rPr>
          <w:rFonts w:ascii="Times New Roman" w:hAnsi="Times New Roman" w:cs="Times New Roman"/>
        </w:rPr>
        <w:t xml:space="preserve">, F., Gary, C., </w:t>
      </w:r>
      <w:proofErr w:type="spellStart"/>
      <w:r w:rsidRPr="008736B6">
        <w:rPr>
          <w:rFonts w:ascii="Times New Roman" w:hAnsi="Times New Roman" w:cs="Times New Roman"/>
        </w:rPr>
        <w:t>Ripoche</w:t>
      </w:r>
      <w:proofErr w:type="spellEnd"/>
      <w:r w:rsidRPr="008736B6">
        <w:rPr>
          <w:rFonts w:ascii="Times New Roman" w:hAnsi="Times New Roman" w:cs="Times New Roman"/>
        </w:rPr>
        <w:t xml:space="preserve">, A., Valdés-Gómez, H., &amp; </w:t>
      </w:r>
      <w:proofErr w:type="spellStart"/>
      <w:r w:rsidRPr="008736B6">
        <w:rPr>
          <w:rFonts w:ascii="Times New Roman" w:hAnsi="Times New Roman" w:cs="Times New Roman"/>
        </w:rPr>
        <w:t>Metay</w:t>
      </w:r>
      <w:proofErr w:type="spellEnd"/>
      <w:r w:rsidRPr="008736B6">
        <w:rPr>
          <w:rFonts w:ascii="Times New Roman" w:hAnsi="Times New Roman" w:cs="Times New Roman"/>
        </w:rPr>
        <w:t xml:space="preserve">, A. (2018). </w:t>
      </w:r>
      <w:r w:rsidRPr="00EA59DF">
        <w:rPr>
          <w:rFonts w:ascii="Times New Roman" w:hAnsi="Times New Roman" w:cs="Times New Roman"/>
        </w:rPr>
        <w:t xml:space="preserve">Management of service crops for the provision of ecosystem services in vineyards: A review. </w:t>
      </w:r>
      <w:r w:rsidRPr="008736B6">
        <w:rPr>
          <w:rFonts w:ascii="Times New Roman" w:hAnsi="Times New Roman" w:cs="Times New Roman"/>
        </w:rPr>
        <w:t>Agriculture, Ecosystems &amp; Environment, 251, 158–170. https://doi.org/10.1016/J.AGEE.2017.09.030</w:t>
      </w:r>
    </w:p>
    <w:p w14:paraId="7479EA66" w14:textId="77777777" w:rsidR="00C0187E" w:rsidRDefault="00C0187E" w:rsidP="00C0187E">
      <w:pPr>
        <w:spacing w:line="480" w:lineRule="auto"/>
        <w:ind w:left="851" w:hanging="851"/>
        <w:rPr>
          <w:rFonts w:ascii="Times New Roman" w:hAnsi="Times New Roman" w:cs="Times New Roman"/>
        </w:rPr>
      </w:pPr>
      <w:r w:rsidRPr="00EA59DF">
        <w:rPr>
          <w:rFonts w:ascii="Times New Roman" w:hAnsi="Times New Roman" w:cs="Times New Roman"/>
        </w:rPr>
        <w:t>Jaung, W., Bull, G. Q., Sumaila, U. R., Markum, &amp; Putzel, L. (2018). Estimating water user demand for certification of forest watershed services. Journal of Environmental Management, 212, 469–478.</w:t>
      </w:r>
    </w:p>
    <w:p w14:paraId="04224E1C" w14:textId="77777777" w:rsidR="00C0187E" w:rsidRPr="00EA59DF" w:rsidRDefault="00C0187E" w:rsidP="00C0187E">
      <w:pPr>
        <w:spacing w:line="480" w:lineRule="auto"/>
        <w:ind w:left="851" w:hanging="851"/>
        <w:rPr>
          <w:rFonts w:ascii="Times New Roman" w:hAnsi="Times New Roman" w:cs="Times New Roman"/>
        </w:rPr>
      </w:pPr>
      <w:r w:rsidRPr="00EA59DF">
        <w:rPr>
          <w:rFonts w:ascii="Times New Roman" w:hAnsi="Times New Roman" w:cs="Times New Roman"/>
        </w:rPr>
        <w:t>Jiang, Y., &amp; Ding, X. (2025). Exploring the nexus between ecosystem services and economic sustainability: A stakeholder perspective. Corporate Social Responsibility and Environmental Management.</w:t>
      </w:r>
    </w:p>
    <w:p w14:paraId="331B2FCF" w14:textId="77777777" w:rsidR="00C0187E" w:rsidRPr="00EA59DF" w:rsidRDefault="00C0187E" w:rsidP="00C2563C">
      <w:pPr>
        <w:spacing w:line="480" w:lineRule="auto"/>
        <w:ind w:left="851" w:hanging="851"/>
        <w:rPr>
          <w:rFonts w:ascii="Times New Roman" w:hAnsi="Times New Roman" w:cs="Times New Roman"/>
        </w:rPr>
      </w:pPr>
      <w:r w:rsidRPr="008736B6">
        <w:rPr>
          <w:rFonts w:ascii="Times New Roman" w:hAnsi="Times New Roman" w:cs="Times New Roman"/>
        </w:rPr>
        <w:t xml:space="preserve">Laurent, B., Nicolas, B., Stéphane, M., Laure, P., Charlotte, C., … </w:t>
      </w:r>
      <w:proofErr w:type="spellStart"/>
      <w:r w:rsidRPr="008736B6">
        <w:rPr>
          <w:rFonts w:ascii="Times New Roman" w:hAnsi="Times New Roman" w:cs="Times New Roman"/>
        </w:rPr>
        <w:t>Nùria</w:t>
      </w:r>
      <w:proofErr w:type="spellEnd"/>
      <w:r w:rsidRPr="008736B6">
        <w:rPr>
          <w:rFonts w:ascii="Times New Roman" w:hAnsi="Times New Roman" w:cs="Times New Roman"/>
        </w:rPr>
        <w:t xml:space="preserve">, R. (2025). </w:t>
      </w:r>
      <w:r w:rsidRPr="00EA59DF">
        <w:rPr>
          <w:rFonts w:ascii="Times New Roman" w:hAnsi="Times New Roman" w:cs="Times New Roman"/>
        </w:rPr>
        <w:t>Viticulture in Iron Age and Roman southeastern France: A reconstruction based on charcoal and seed-fruit data compared to archaeological evidence and wine yields modelling. Journal of Archaeological Science: Reports, 61. https://doi.org/10.1016/J.JASREP.2024.104952</w:t>
      </w:r>
    </w:p>
    <w:p w14:paraId="3505F569" w14:textId="77777777" w:rsidR="00C0187E" w:rsidRPr="00EA59DF" w:rsidRDefault="00C0187E" w:rsidP="00C0187E">
      <w:pPr>
        <w:spacing w:line="480" w:lineRule="auto"/>
        <w:ind w:left="851" w:hanging="851"/>
        <w:rPr>
          <w:rFonts w:ascii="Times New Roman" w:hAnsi="Times New Roman" w:cs="Times New Roman"/>
        </w:rPr>
      </w:pPr>
      <w:r w:rsidRPr="00EA59DF">
        <w:rPr>
          <w:rFonts w:ascii="Times New Roman" w:hAnsi="Times New Roman" w:cs="Times New Roman"/>
        </w:rPr>
        <w:lastRenderedPageBreak/>
        <w:t>Miltenberger, O., Jospe, C., &amp; Pittman, J. (2021). The good is never perfect: Why the current flaws of voluntary carbon markets are services, not barriers to successful climate change action. Frontiers in Climate, 3, 686516. https://doi.org/10.3389/FCLIM.2021.686516</w:t>
      </w:r>
    </w:p>
    <w:p w14:paraId="40A4957C" w14:textId="77777777" w:rsidR="00C0187E" w:rsidRPr="00EA59DF" w:rsidRDefault="00C0187E" w:rsidP="00C2563C">
      <w:pPr>
        <w:spacing w:line="480" w:lineRule="auto"/>
        <w:ind w:left="851" w:hanging="851"/>
        <w:rPr>
          <w:rFonts w:ascii="Times New Roman" w:hAnsi="Times New Roman" w:cs="Times New Roman"/>
        </w:rPr>
      </w:pPr>
      <w:r w:rsidRPr="00EA59DF">
        <w:rPr>
          <w:rFonts w:ascii="Times New Roman" w:hAnsi="Times New Roman" w:cs="Times New Roman"/>
        </w:rPr>
        <w:t>Moscovici, D., &amp; Reed, A. (2018). Comparing wine sustainability certifications around the world: history, status and opportunity. Journal of Wine Research, 29(1), 1–25. https://doi.org/10.1080/09571264.2018.1433138;PAGE:STRING:ARTICLE/CHAPTER</w:t>
      </w:r>
    </w:p>
    <w:p w14:paraId="050795CF" w14:textId="77777777" w:rsidR="00C0187E" w:rsidRPr="008736B6" w:rsidRDefault="00C0187E" w:rsidP="00C2563C">
      <w:pPr>
        <w:spacing w:line="480" w:lineRule="auto"/>
        <w:ind w:left="851" w:hanging="851"/>
        <w:rPr>
          <w:rFonts w:ascii="Times New Roman" w:hAnsi="Times New Roman" w:cs="Times New Roman"/>
        </w:rPr>
      </w:pPr>
      <w:r w:rsidRPr="00C0187E">
        <w:rPr>
          <w:rFonts w:ascii="Times New Roman" w:hAnsi="Times New Roman" w:cs="Times New Roman"/>
          <w:lang w:val="it-IT"/>
        </w:rPr>
        <w:t xml:space="preserve">Orlandella, I., </w:t>
      </w:r>
      <w:proofErr w:type="spellStart"/>
      <w:r w:rsidRPr="00C0187E">
        <w:rPr>
          <w:rFonts w:ascii="Times New Roman" w:hAnsi="Times New Roman" w:cs="Times New Roman"/>
          <w:lang w:val="it-IT"/>
        </w:rPr>
        <w:t>Cicolin</w:t>
      </w:r>
      <w:proofErr w:type="spellEnd"/>
      <w:r w:rsidRPr="00C0187E">
        <w:rPr>
          <w:rFonts w:ascii="Times New Roman" w:hAnsi="Times New Roman" w:cs="Times New Roman"/>
          <w:lang w:val="it-IT"/>
        </w:rPr>
        <w:t xml:space="preserve">, M., Tuninetti, M., &amp; Fiore, S. (2025). </w:t>
      </w:r>
      <w:r w:rsidRPr="00EA59DF">
        <w:rPr>
          <w:rFonts w:ascii="Times New Roman" w:hAnsi="Times New Roman" w:cs="Times New Roman"/>
        </w:rPr>
        <w:t xml:space="preserve">Environmental footprints of red wine production in Piedmont, Italy. </w:t>
      </w:r>
      <w:r w:rsidRPr="008736B6">
        <w:rPr>
          <w:rFonts w:ascii="Times New Roman" w:hAnsi="Times New Roman" w:cs="Times New Roman"/>
        </w:rPr>
        <w:t>Sustainability, 17(13), 5760. https://doi.org/10.3390/SU17135760</w:t>
      </w:r>
    </w:p>
    <w:p w14:paraId="0F0ADEEC" w14:textId="77777777" w:rsidR="00C0187E" w:rsidRPr="00EA59DF" w:rsidRDefault="00C0187E" w:rsidP="00C0187E">
      <w:pPr>
        <w:spacing w:line="480" w:lineRule="auto"/>
        <w:ind w:left="851" w:hanging="851"/>
        <w:rPr>
          <w:rFonts w:ascii="Times New Roman" w:hAnsi="Times New Roman" w:cs="Times New Roman"/>
        </w:rPr>
      </w:pPr>
      <w:r w:rsidRPr="00EA59DF">
        <w:rPr>
          <w:rFonts w:ascii="Times New Roman" w:hAnsi="Times New Roman" w:cs="Times New Roman"/>
        </w:rPr>
        <w:t>Payen, F. T., Sykes, A., Aitkenhead, M., Alexander, P., Moran, D., &amp; MacLeod, M. (2021). Soil organic carbon sequestration rates in vineyard agroecosystems under different soil management practices: A meta-analysis. Journal of Cleaner Production, 290, 125736. https://doi.org/10.1016/J.JCLEPRO.2020.125736</w:t>
      </w:r>
    </w:p>
    <w:p w14:paraId="2F16CA78" w14:textId="77777777" w:rsidR="00C0187E" w:rsidRPr="00C0187E" w:rsidRDefault="00C0187E" w:rsidP="00C0187E">
      <w:pPr>
        <w:spacing w:line="480" w:lineRule="auto"/>
        <w:ind w:left="851" w:hanging="851"/>
        <w:rPr>
          <w:rFonts w:ascii="Times New Roman" w:hAnsi="Times New Roman" w:cs="Times New Roman"/>
        </w:rPr>
      </w:pPr>
      <w:r w:rsidRPr="008736B6">
        <w:rPr>
          <w:rFonts w:ascii="Times New Roman" w:hAnsi="Times New Roman" w:cs="Times New Roman"/>
        </w:rPr>
        <w:t xml:space="preserve">Pinto, T., Machado, T., Nicolau, D., Oliveira, N. G., &amp; Vaz, A. S. (2024). </w:t>
      </w:r>
      <w:r w:rsidRPr="00EA59DF">
        <w:rPr>
          <w:rFonts w:ascii="Times New Roman" w:hAnsi="Times New Roman" w:cs="Times New Roman"/>
        </w:rPr>
        <w:t xml:space="preserve">Accounting for nature contributions to people in corporate sustainability: The case of a waste management company in Portugal. </w:t>
      </w:r>
      <w:r w:rsidRPr="00C0187E">
        <w:rPr>
          <w:rFonts w:ascii="Times New Roman" w:hAnsi="Times New Roman" w:cs="Times New Roman"/>
        </w:rPr>
        <w:t>Corporate Social Responsibility and Environmental Management, 31, 2619–2628.</w:t>
      </w:r>
    </w:p>
    <w:p w14:paraId="1862230E" w14:textId="77777777" w:rsidR="00C0187E" w:rsidRPr="00EA59DF" w:rsidRDefault="00C0187E" w:rsidP="00C2563C">
      <w:pPr>
        <w:spacing w:line="480" w:lineRule="auto"/>
        <w:ind w:left="851" w:hanging="851"/>
        <w:rPr>
          <w:rFonts w:ascii="Times New Roman" w:hAnsi="Times New Roman" w:cs="Times New Roman"/>
        </w:rPr>
      </w:pPr>
      <w:r w:rsidRPr="00EA59DF">
        <w:rPr>
          <w:rFonts w:ascii="Times New Roman" w:hAnsi="Times New Roman" w:cs="Times New Roman"/>
        </w:rPr>
        <w:t>Rugani, B., &amp; Lamastra, L. (2023). A common framework for sustainability indicators in the wine sector: Dream or reality? Current Opinion in Environmental Science &amp; Health, 31, 100408.</w:t>
      </w:r>
    </w:p>
    <w:p w14:paraId="07E7922D" w14:textId="77777777" w:rsidR="00C0187E" w:rsidRPr="00EA59DF" w:rsidRDefault="00C0187E" w:rsidP="00C2563C">
      <w:pPr>
        <w:spacing w:line="480" w:lineRule="auto"/>
        <w:ind w:left="851" w:hanging="851"/>
        <w:rPr>
          <w:rFonts w:ascii="Times New Roman" w:hAnsi="Times New Roman" w:cs="Times New Roman"/>
        </w:rPr>
      </w:pPr>
      <w:r w:rsidRPr="008736B6">
        <w:rPr>
          <w:rFonts w:ascii="Times New Roman" w:hAnsi="Times New Roman" w:cs="Times New Roman"/>
        </w:rPr>
        <w:t xml:space="preserve">Ruggeri, G., Corsi, S., &amp; Mazzocchi, C. (2024). </w:t>
      </w:r>
      <w:r w:rsidRPr="00EA59DF">
        <w:rPr>
          <w:rFonts w:ascii="Times New Roman" w:hAnsi="Times New Roman" w:cs="Times New Roman"/>
        </w:rPr>
        <w:t>A bibliometric analysis of wine economics and business research: Insights, trends, and future directions. International Journal of Wine Business Research, 36(1), 14–39. https://doi.org/10.1108/IJWBR-06-2023-0032</w:t>
      </w:r>
    </w:p>
    <w:p w14:paraId="59DF83C4" w14:textId="77777777" w:rsidR="00C0187E" w:rsidRPr="00EA59DF" w:rsidRDefault="00C0187E" w:rsidP="00C0187E">
      <w:pPr>
        <w:spacing w:line="480" w:lineRule="auto"/>
        <w:ind w:left="851" w:hanging="851"/>
        <w:rPr>
          <w:rFonts w:ascii="Times New Roman" w:hAnsi="Times New Roman" w:cs="Times New Roman"/>
        </w:rPr>
      </w:pPr>
      <w:proofErr w:type="spellStart"/>
      <w:r w:rsidRPr="00C0187E">
        <w:rPr>
          <w:rFonts w:ascii="Times New Roman" w:hAnsi="Times New Roman" w:cs="Times New Roman"/>
        </w:rPr>
        <w:t>Savilaakso</w:t>
      </w:r>
      <w:proofErr w:type="spellEnd"/>
      <w:r w:rsidRPr="00C0187E">
        <w:rPr>
          <w:rFonts w:ascii="Times New Roman" w:hAnsi="Times New Roman" w:cs="Times New Roman"/>
        </w:rPr>
        <w:t xml:space="preserve">, S., and </w:t>
      </w:r>
      <w:proofErr w:type="spellStart"/>
      <w:r w:rsidRPr="00C0187E">
        <w:rPr>
          <w:rFonts w:ascii="Times New Roman" w:hAnsi="Times New Roman" w:cs="Times New Roman"/>
        </w:rPr>
        <w:t>Guariguata</w:t>
      </w:r>
      <w:proofErr w:type="spellEnd"/>
      <w:r w:rsidRPr="00C0187E">
        <w:rPr>
          <w:rFonts w:ascii="Times New Roman" w:hAnsi="Times New Roman" w:cs="Times New Roman"/>
        </w:rPr>
        <w:t>, M. R. (2017). Challenges for developing Forest Stewardship Council certification for ecosystem services: How to enhance local adoption? Ecosystem Services, 28, 55-66.</w:t>
      </w:r>
    </w:p>
    <w:p w14:paraId="6ECED19D" w14:textId="77777777" w:rsidR="00C0187E" w:rsidRPr="00EA59DF" w:rsidRDefault="00C0187E" w:rsidP="00C2563C">
      <w:pPr>
        <w:spacing w:line="480" w:lineRule="auto"/>
        <w:ind w:left="851" w:hanging="851"/>
        <w:rPr>
          <w:rFonts w:ascii="Times New Roman" w:hAnsi="Times New Roman" w:cs="Times New Roman"/>
        </w:rPr>
      </w:pPr>
      <w:proofErr w:type="spellStart"/>
      <w:r w:rsidRPr="00EA59DF">
        <w:rPr>
          <w:rFonts w:ascii="Times New Roman" w:hAnsi="Times New Roman" w:cs="Times New Roman"/>
        </w:rPr>
        <w:t>Wolkovich</w:t>
      </w:r>
      <w:proofErr w:type="spellEnd"/>
      <w:r w:rsidRPr="00EA59DF">
        <w:rPr>
          <w:rFonts w:ascii="Times New Roman" w:hAnsi="Times New Roman" w:cs="Times New Roman"/>
        </w:rPr>
        <w:t>, E. M., Rouleau-Desrochers, C., García de Cortázar-</w:t>
      </w:r>
      <w:proofErr w:type="spellStart"/>
      <w:r w:rsidRPr="00EA59DF">
        <w:rPr>
          <w:rFonts w:ascii="Times New Roman" w:hAnsi="Times New Roman" w:cs="Times New Roman"/>
        </w:rPr>
        <w:t>Atuari</w:t>
      </w:r>
      <w:proofErr w:type="spellEnd"/>
      <w:r w:rsidRPr="00EA59DF">
        <w:rPr>
          <w:rFonts w:ascii="Times New Roman" w:hAnsi="Times New Roman" w:cs="Times New Roman"/>
        </w:rPr>
        <w:t>, I., Walker, M. A., &amp; Lacombe, T. (2025). Building a more predictive model of terroir for the Anthropocene. Plants People Planet. https://doi.org/10.1002/PPP3.70055</w:t>
      </w:r>
    </w:p>
    <w:p w14:paraId="0F4C64F5" w14:textId="77777777" w:rsidR="00C0187E" w:rsidRPr="00C2563C" w:rsidRDefault="00C0187E" w:rsidP="00C2563C">
      <w:pPr>
        <w:spacing w:line="480" w:lineRule="auto"/>
        <w:ind w:left="851" w:hanging="851"/>
        <w:rPr>
          <w:rFonts w:ascii="Times New Roman" w:hAnsi="Times New Roman" w:cs="Times New Roman"/>
        </w:rPr>
      </w:pPr>
      <w:r w:rsidRPr="00EA59DF">
        <w:rPr>
          <w:rFonts w:ascii="Times New Roman" w:hAnsi="Times New Roman" w:cs="Times New Roman"/>
        </w:rPr>
        <w:t xml:space="preserve">Zielonka, N. B., Shutt, J. D., Butler, S. J., &amp; Dicks, L. V. (2024). Management practices, and not surrounding habitats, drive bird and arthropod biodiversity within vineyards. </w:t>
      </w:r>
      <w:proofErr w:type="spellStart"/>
      <w:r w:rsidRPr="00EA59DF">
        <w:rPr>
          <w:rFonts w:ascii="Times New Roman" w:hAnsi="Times New Roman" w:cs="Times New Roman"/>
          <w:lang w:val="it-IT"/>
        </w:rPr>
        <w:t>Agriculture</w:t>
      </w:r>
      <w:proofErr w:type="spellEnd"/>
      <w:r w:rsidRPr="00EA59DF">
        <w:rPr>
          <w:rFonts w:ascii="Times New Roman" w:hAnsi="Times New Roman" w:cs="Times New Roman"/>
          <w:lang w:val="it-IT"/>
        </w:rPr>
        <w:t xml:space="preserve">, </w:t>
      </w:r>
      <w:proofErr w:type="spellStart"/>
      <w:r w:rsidRPr="00EA59DF">
        <w:rPr>
          <w:rFonts w:ascii="Times New Roman" w:hAnsi="Times New Roman" w:cs="Times New Roman"/>
          <w:lang w:val="it-IT"/>
        </w:rPr>
        <w:t>Ecosystems</w:t>
      </w:r>
      <w:proofErr w:type="spellEnd"/>
      <w:r w:rsidRPr="00EA59DF">
        <w:rPr>
          <w:rFonts w:ascii="Times New Roman" w:hAnsi="Times New Roman" w:cs="Times New Roman"/>
          <w:lang w:val="it-IT"/>
        </w:rPr>
        <w:t xml:space="preserve"> &amp; Environment, 367, 108982. </w:t>
      </w:r>
      <w:hyperlink r:id="rId22" w:history="1">
        <w:r w:rsidRPr="00C2563C">
          <w:rPr>
            <w:rStyle w:val="Hyperlink"/>
            <w:rFonts w:ascii="Times New Roman" w:hAnsi="Times New Roman" w:cs="Times New Roman"/>
          </w:rPr>
          <w:t>https://doi.org/10.1016/J.AGEE.2024.108982</w:t>
        </w:r>
      </w:hyperlink>
    </w:p>
    <w:p w14:paraId="2B5C4B0F" w14:textId="77777777" w:rsidR="00C2563C" w:rsidRPr="000A76CF" w:rsidRDefault="00C2563C" w:rsidP="00C2563C">
      <w:pPr>
        <w:spacing w:line="480" w:lineRule="auto"/>
        <w:ind w:left="851" w:hanging="851"/>
      </w:pPr>
    </w:p>
    <w:p w14:paraId="6430AEFA" w14:textId="77777777" w:rsidR="00C2563C" w:rsidRPr="00C2563C" w:rsidRDefault="00C2563C" w:rsidP="00AF6295">
      <w:pPr>
        <w:pStyle w:val="TextMonsanto"/>
        <w:spacing w:line="480" w:lineRule="auto"/>
        <w:rPr>
          <w:rFonts w:ascii="Times New Roman" w:hAnsi="Times New Roman" w:cs="Times New Roman"/>
          <w:b/>
          <w:bCs/>
          <w:sz w:val="24"/>
          <w:szCs w:val="24"/>
          <w:lang w:val="en-GB"/>
        </w:rPr>
      </w:pPr>
    </w:p>
    <w:sectPr w:rsidR="00C2563C" w:rsidRPr="00C2563C" w:rsidSect="00A02F82">
      <w:pgSz w:w="11906" w:h="16838" w:code="9"/>
      <w:pgMar w:top="1134" w:right="1134" w:bottom="1134" w:left="1134"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CC47F" w14:textId="77777777" w:rsidR="00065577" w:rsidRDefault="00065577" w:rsidP="000B16AC">
      <w:pPr>
        <w:spacing w:line="240" w:lineRule="auto"/>
      </w:pPr>
      <w:r>
        <w:separator/>
      </w:r>
    </w:p>
  </w:endnote>
  <w:endnote w:type="continuationSeparator" w:id="0">
    <w:p w14:paraId="3828E569" w14:textId="77777777" w:rsidR="00065577" w:rsidRDefault="00065577" w:rsidP="000B16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Calibri"/>
    <w:panose1 w:val="05010000000000000000"/>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Cond">
    <w:charset w:val="00"/>
    <w:family w:val="swiss"/>
    <w:pitch w:val="variable"/>
    <w:sig w:usb0="0000028F"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319A1" w14:textId="77777777" w:rsidR="00065577" w:rsidRDefault="00065577" w:rsidP="000B16AC">
      <w:pPr>
        <w:spacing w:line="240" w:lineRule="auto"/>
      </w:pPr>
      <w:r>
        <w:separator/>
      </w:r>
    </w:p>
  </w:footnote>
  <w:footnote w:type="continuationSeparator" w:id="0">
    <w:p w14:paraId="06E4B09A" w14:textId="77777777" w:rsidR="00065577" w:rsidRDefault="00065577" w:rsidP="000B16AC">
      <w:pPr>
        <w:spacing w:line="240" w:lineRule="auto"/>
      </w:pPr>
      <w:r>
        <w:continuationSeparator/>
      </w:r>
    </w:p>
  </w:footnote>
  <w:footnote w:id="1">
    <w:p w14:paraId="388192D1" w14:textId="276E9EE7" w:rsidR="005A5C33" w:rsidRPr="005A5C33" w:rsidRDefault="005A5C33">
      <w:pPr>
        <w:pStyle w:val="FootnoteText"/>
        <w:rPr>
          <w:rFonts w:ascii="Times New Roman" w:hAnsi="Times New Roman" w:cs="Times New Roman"/>
          <w:lang w:val="en-GB"/>
        </w:rPr>
      </w:pPr>
      <w:r w:rsidRPr="005A5C33">
        <w:rPr>
          <w:rStyle w:val="FootnoteReference"/>
          <w:rFonts w:ascii="Times New Roman" w:hAnsi="Times New Roman" w:cs="Times New Roman"/>
        </w:rPr>
        <w:footnoteRef/>
      </w:r>
      <w:r w:rsidRPr="005A5C33">
        <w:rPr>
          <w:rFonts w:ascii="Times New Roman" w:hAnsi="Times New Roman" w:cs="Times New Roman"/>
          <w:lang w:val="en-GB"/>
        </w:rPr>
        <w:t xml:space="preserve"> Hauschild et al., eds., 2018, Life Cycle Assessment - Theory and Practice. Springer International Publishing AG, Cham, Switzerland</w:t>
      </w:r>
      <w:r>
        <w:rPr>
          <w:rFonts w:ascii="Times New Roman" w:hAnsi="Times New Roman" w:cs="Times New Roman"/>
          <w:lang w:val="en-GB"/>
        </w:rPr>
        <w:t>.</w:t>
      </w:r>
    </w:p>
  </w:footnote>
  <w:footnote w:id="2">
    <w:p w14:paraId="1C558111" w14:textId="70F1A23F" w:rsidR="00C64F34" w:rsidRPr="00AE3A16" w:rsidRDefault="008D6EFE" w:rsidP="008D6EFE">
      <w:pPr>
        <w:pStyle w:val="FootnoteText"/>
        <w:rPr>
          <w:lang w:val="en-GB"/>
        </w:rPr>
      </w:pPr>
      <w:r w:rsidRPr="008D6EFE">
        <w:rPr>
          <w:rStyle w:val="FootnoteReference"/>
          <w:rFonts w:ascii="Times New Roman" w:hAnsi="Times New Roman" w:cs="Times New Roman"/>
        </w:rPr>
        <w:footnoteRef/>
      </w:r>
      <w:r w:rsidRPr="008D6EFE">
        <w:rPr>
          <w:rFonts w:ascii="Times New Roman" w:hAnsi="Times New Roman" w:cs="Times New Roman"/>
          <w:lang w:val="en-GB"/>
        </w:rPr>
        <w:t xml:space="preserve"> Broad scientific consensus nowadays exists on the causes that drive climate change at the global scale, which generates </w:t>
      </w:r>
      <w:proofErr w:type="gramStart"/>
      <w:r w:rsidRPr="008D6EFE">
        <w:rPr>
          <w:rFonts w:ascii="Times New Roman" w:hAnsi="Times New Roman" w:cs="Times New Roman"/>
          <w:lang w:val="en-GB"/>
        </w:rPr>
        <w:t>more or less tangible</w:t>
      </w:r>
      <w:proofErr w:type="gramEnd"/>
      <w:r w:rsidRPr="008D6EFE">
        <w:rPr>
          <w:rFonts w:ascii="Times New Roman" w:hAnsi="Times New Roman" w:cs="Times New Roman"/>
          <w:lang w:val="en-GB"/>
        </w:rPr>
        <w:t xml:space="preserve"> effects at regional scales through climate disruption and extreme weather events, desertification, rising sea levels, loss of biodiversity, and the spread of diseases. In this sense, climate change can be defined as the change in global temperature caused by increased greenhouse effect due to the release of specific greenhouse gases by human activities. It represents probably the most significant environmental impact generated by human production processes </w:t>
      </w:r>
      <w:proofErr w:type="gramStart"/>
      <w:r w:rsidRPr="008D6EFE">
        <w:rPr>
          <w:rFonts w:ascii="Times New Roman" w:hAnsi="Times New Roman" w:cs="Times New Roman"/>
          <w:lang w:val="en-GB"/>
        </w:rPr>
        <w:t>and also</w:t>
      </w:r>
      <w:proofErr w:type="gramEnd"/>
      <w:r w:rsidRPr="008D6EFE">
        <w:rPr>
          <w:rFonts w:ascii="Times New Roman" w:hAnsi="Times New Roman" w:cs="Times New Roman"/>
          <w:lang w:val="en-GB"/>
        </w:rPr>
        <w:t xml:space="preserve"> one of the most difficult to manage and address because of its wide scope and multitude of cascade effects. In LCA, the climate change impact characterization model uses emission factors developed by the United Nations Intergovernmental Panel on Climate Change, or IPCC. Those are expressed in terms of Global Warming Potential (GWP) over a time horizon of several years, the most common of which is 100 years (GWP</w:t>
      </w:r>
      <w:r w:rsidRPr="008D6EFE">
        <w:rPr>
          <w:rFonts w:ascii="Times New Roman" w:hAnsi="Times New Roman" w:cs="Times New Roman"/>
          <w:vertAlign w:val="subscript"/>
          <w:lang w:val="en-GB"/>
        </w:rPr>
        <w:t>100</w:t>
      </w:r>
      <w:r w:rsidRPr="008D6EFE">
        <w:rPr>
          <w:rFonts w:ascii="Times New Roman" w:hAnsi="Times New Roman" w:cs="Times New Roman"/>
          <w:lang w:val="en-GB"/>
        </w:rPr>
        <w:t>).</w:t>
      </w:r>
    </w:p>
  </w:footnote>
  <w:footnote w:id="3">
    <w:p w14:paraId="70F46E03" w14:textId="74399446" w:rsidR="00192558" w:rsidRPr="00572EAA" w:rsidRDefault="00192558">
      <w:pPr>
        <w:pStyle w:val="FootnoteText"/>
        <w:rPr>
          <w:rFonts w:ascii="Times New Roman" w:hAnsi="Times New Roman" w:cs="Times New Roman"/>
          <w:lang w:val="en-GB"/>
        </w:rPr>
      </w:pPr>
      <w:r w:rsidRPr="0085110F">
        <w:rPr>
          <w:rStyle w:val="FootnoteReference"/>
          <w:rFonts w:ascii="Times New Roman" w:hAnsi="Times New Roman" w:cs="Times New Roman"/>
        </w:rPr>
        <w:footnoteRef/>
      </w:r>
      <w:r w:rsidRPr="00572EAA">
        <w:rPr>
          <w:rFonts w:ascii="Times New Roman" w:hAnsi="Times New Roman" w:cs="Times New Roman"/>
          <w:lang w:val="en-GB"/>
        </w:rPr>
        <w:t xml:space="preserve"> </w:t>
      </w:r>
      <w:r w:rsidR="00570601">
        <w:rPr>
          <w:rFonts w:ascii="Times New Roman" w:hAnsi="Times New Roman" w:cs="Times New Roman"/>
          <w:lang w:val="en-GB"/>
        </w:rPr>
        <w:t xml:space="preserve"> </w:t>
      </w:r>
      <w:hyperlink r:id="rId1" w:history="1">
        <w:r w:rsidRPr="00572EAA">
          <w:rPr>
            <w:rStyle w:val="Hyperlink"/>
            <w:rFonts w:ascii="Times New Roman" w:hAnsi="Times New Roman" w:cs="Times New Roman"/>
            <w:lang w:val="en-GB"/>
          </w:rPr>
          <w:t>https://eplca.jrc.ec.europa.eu/LCDN/developerEF.html</w:t>
        </w:r>
      </w:hyperlink>
      <w:r w:rsidR="00572EAA" w:rsidRPr="00572EAA">
        <w:rPr>
          <w:rFonts w:ascii="Times New Roman" w:hAnsi="Times New Roman" w:cs="Times New Roman"/>
          <w:lang w:val="en-GB"/>
        </w:rPr>
        <w:t xml:space="preserve"> (s</w:t>
      </w:r>
      <w:r w:rsidR="00572EAA">
        <w:rPr>
          <w:rFonts w:ascii="Times New Roman" w:hAnsi="Times New Roman" w:cs="Times New Roman"/>
          <w:lang w:val="en-GB"/>
        </w:rPr>
        <w:t>ee additional information in Section 1.3)</w:t>
      </w:r>
      <w:r w:rsidR="00FA4B85">
        <w:rPr>
          <w:rFonts w:ascii="Times New Roman" w:hAnsi="Times New Roman" w:cs="Times New Roman"/>
          <w:lang w:val="en-GB"/>
        </w:rPr>
        <w:t xml:space="preserve">; last access </w:t>
      </w:r>
      <w:proofErr w:type="gramStart"/>
      <w:r w:rsidR="00FA4B85">
        <w:rPr>
          <w:rFonts w:ascii="Times New Roman" w:hAnsi="Times New Roman" w:cs="Times New Roman"/>
          <w:lang w:val="en-GB"/>
        </w:rPr>
        <w:t>on</w:t>
      </w:r>
      <w:proofErr w:type="gramEnd"/>
      <w:r w:rsidR="00570601">
        <w:rPr>
          <w:rFonts w:ascii="Times New Roman" w:hAnsi="Times New Roman" w:cs="Times New Roman"/>
          <w:lang w:val="en-GB"/>
        </w:rPr>
        <w:t xml:space="preserve"> August 2025</w:t>
      </w:r>
    </w:p>
  </w:footnote>
  <w:footnote w:id="4">
    <w:p w14:paraId="14CD6620" w14:textId="5FFA356B" w:rsidR="0085110F" w:rsidRPr="0085110F" w:rsidRDefault="0085110F">
      <w:pPr>
        <w:pStyle w:val="FootnoteText"/>
        <w:rPr>
          <w:rFonts w:ascii="Times New Roman" w:hAnsi="Times New Roman" w:cs="Times New Roman"/>
          <w:lang w:val="en-GB"/>
        </w:rPr>
      </w:pPr>
      <w:r w:rsidRPr="0085110F">
        <w:rPr>
          <w:rStyle w:val="FootnoteReference"/>
          <w:rFonts w:ascii="Times New Roman" w:hAnsi="Times New Roman" w:cs="Times New Roman"/>
        </w:rPr>
        <w:footnoteRef/>
      </w:r>
      <w:r w:rsidRPr="0085110F">
        <w:rPr>
          <w:rFonts w:ascii="Times New Roman" w:hAnsi="Times New Roman" w:cs="Times New Roman"/>
          <w:lang w:val="en-GB"/>
        </w:rPr>
        <w:t xml:space="preserve"> </w:t>
      </w:r>
      <w:r w:rsidR="00570601">
        <w:rPr>
          <w:rFonts w:ascii="Times New Roman" w:hAnsi="Times New Roman" w:cs="Times New Roman"/>
          <w:lang w:val="en-GB"/>
        </w:rPr>
        <w:t xml:space="preserve"> </w:t>
      </w:r>
      <w:hyperlink r:id="rId2" w:history="1">
        <w:r w:rsidRPr="0085110F">
          <w:rPr>
            <w:rStyle w:val="Hyperlink"/>
            <w:rFonts w:ascii="Times New Roman" w:hAnsi="Times New Roman" w:cs="Times New Roman"/>
            <w:lang w:val="en-GB"/>
          </w:rPr>
          <w:t>https://www.universiteitleiden.nl/en/research/research-output/science/cml-ia-characterisation-factors</w:t>
        </w:r>
      </w:hyperlink>
      <w:r w:rsidR="00FA4B85">
        <w:rPr>
          <w:rFonts w:ascii="Times New Roman" w:hAnsi="Times New Roman" w:cs="Times New Roman"/>
          <w:lang w:val="en-GB"/>
        </w:rPr>
        <w:t xml:space="preserve">; last access </w:t>
      </w:r>
      <w:proofErr w:type="gramStart"/>
      <w:r w:rsidR="00FA4B85">
        <w:rPr>
          <w:rFonts w:ascii="Times New Roman" w:hAnsi="Times New Roman" w:cs="Times New Roman"/>
          <w:lang w:val="en-GB"/>
        </w:rPr>
        <w:t>on</w:t>
      </w:r>
      <w:proofErr w:type="gramEnd"/>
      <w:r w:rsidR="00570601">
        <w:rPr>
          <w:rFonts w:ascii="Times New Roman" w:hAnsi="Times New Roman" w:cs="Times New Roman"/>
          <w:lang w:val="en-GB"/>
        </w:rPr>
        <w:t xml:space="preserve"> August 2025</w:t>
      </w:r>
    </w:p>
  </w:footnote>
  <w:footnote w:id="5">
    <w:p w14:paraId="66472207" w14:textId="1CE02A9B" w:rsidR="0085110F" w:rsidRPr="0085110F" w:rsidRDefault="0085110F">
      <w:pPr>
        <w:pStyle w:val="FootnoteText"/>
        <w:rPr>
          <w:lang w:val="en-GB"/>
        </w:rPr>
      </w:pPr>
      <w:r w:rsidRPr="0085110F">
        <w:rPr>
          <w:rStyle w:val="FootnoteReference"/>
          <w:rFonts w:ascii="Times New Roman" w:hAnsi="Times New Roman" w:cs="Times New Roman"/>
        </w:rPr>
        <w:footnoteRef/>
      </w:r>
      <w:r w:rsidRPr="0085110F">
        <w:rPr>
          <w:rFonts w:ascii="Times New Roman" w:hAnsi="Times New Roman" w:cs="Times New Roman"/>
          <w:lang w:val="en-GB"/>
        </w:rPr>
        <w:t xml:space="preserve"> </w:t>
      </w:r>
      <w:r w:rsidR="00570601">
        <w:rPr>
          <w:rFonts w:ascii="Times New Roman" w:hAnsi="Times New Roman" w:cs="Times New Roman"/>
          <w:lang w:val="en-GB"/>
        </w:rPr>
        <w:t xml:space="preserve"> </w:t>
      </w:r>
      <w:hyperlink r:id="rId3" w:history="1">
        <w:r w:rsidRPr="0085110F">
          <w:rPr>
            <w:rStyle w:val="Hyperlink"/>
            <w:rFonts w:ascii="Times New Roman" w:hAnsi="Times New Roman" w:cs="Times New Roman"/>
            <w:lang w:val="en-GB"/>
          </w:rPr>
          <w:t>https://www.rivm.nl/en/life-cycle-assessment-lca/recipe</w:t>
        </w:r>
      </w:hyperlink>
      <w:r w:rsidR="00FA4B85">
        <w:rPr>
          <w:rFonts w:ascii="Times New Roman" w:hAnsi="Times New Roman" w:cs="Times New Roman"/>
          <w:lang w:val="en-GB"/>
        </w:rPr>
        <w:t xml:space="preserve">; last access </w:t>
      </w:r>
      <w:proofErr w:type="gramStart"/>
      <w:r w:rsidR="00FA4B85">
        <w:rPr>
          <w:rFonts w:ascii="Times New Roman" w:hAnsi="Times New Roman" w:cs="Times New Roman"/>
          <w:lang w:val="en-GB"/>
        </w:rPr>
        <w:t>on</w:t>
      </w:r>
      <w:proofErr w:type="gramEnd"/>
      <w:r w:rsidR="00570601">
        <w:rPr>
          <w:rFonts w:ascii="Times New Roman" w:hAnsi="Times New Roman" w:cs="Times New Roman"/>
          <w:lang w:val="en-GB"/>
        </w:rPr>
        <w:t xml:space="preserve"> August 2025</w:t>
      </w:r>
    </w:p>
  </w:footnote>
  <w:footnote w:id="6">
    <w:p w14:paraId="1774B79B" w14:textId="5ECF42E4" w:rsidR="00572EAA" w:rsidRPr="00570601" w:rsidRDefault="00572EAA" w:rsidP="00572EAA">
      <w:pPr>
        <w:pStyle w:val="FootnoteText"/>
        <w:rPr>
          <w:rFonts w:ascii="Times New Roman" w:hAnsi="Times New Roman" w:cs="Times New Roman"/>
          <w:lang w:val="en-GB"/>
        </w:rPr>
      </w:pPr>
      <w:r w:rsidRPr="00C14A81">
        <w:rPr>
          <w:rStyle w:val="FootnoteReference"/>
          <w:rFonts w:ascii="Times New Roman" w:hAnsi="Times New Roman" w:cs="Times New Roman"/>
        </w:rPr>
        <w:footnoteRef/>
      </w:r>
      <w:r w:rsidRPr="00C14A81">
        <w:rPr>
          <w:rFonts w:ascii="Times New Roman" w:hAnsi="Times New Roman" w:cs="Times New Roman"/>
          <w:lang w:val="en-GB"/>
        </w:rPr>
        <w:t xml:space="preserve"> </w:t>
      </w:r>
      <w:r w:rsidR="00570601">
        <w:rPr>
          <w:rFonts w:ascii="Times New Roman" w:hAnsi="Times New Roman" w:cs="Times New Roman"/>
          <w:lang w:val="en-GB"/>
        </w:rPr>
        <w:t xml:space="preserve"> </w:t>
      </w:r>
      <w:hyperlink r:id="rId4" w:history="1">
        <w:r w:rsidRPr="00570601">
          <w:rPr>
            <w:rStyle w:val="Hyperlink"/>
            <w:rFonts w:ascii="Times New Roman" w:hAnsi="Times New Roman" w:cs="Times New Roman"/>
            <w:lang w:val="en-GB"/>
          </w:rPr>
          <w:t>https://www.openlca.org/download/</w:t>
        </w:r>
      </w:hyperlink>
      <w:r w:rsidR="00FA4B85">
        <w:rPr>
          <w:rFonts w:ascii="Times New Roman" w:hAnsi="Times New Roman" w:cs="Times New Roman"/>
          <w:lang w:val="en-GB"/>
        </w:rPr>
        <w:t xml:space="preserve">; last access </w:t>
      </w:r>
      <w:proofErr w:type="gramStart"/>
      <w:r w:rsidR="00FA4B85">
        <w:rPr>
          <w:rFonts w:ascii="Times New Roman" w:hAnsi="Times New Roman" w:cs="Times New Roman"/>
          <w:lang w:val="en-GB"/>
        </w:rPr>
        <w:t>on</w:t>
      </w:r>
      <w:proofErr w:type="gramEnd"/>
      <w:r w:rsidR="00570601" w:rsidRPr="00570601">
        <w:rPr>
          <w:rFonts w:ascii="Times New Roman" w:hAnsi="Times New Roman" w:cs="Times New Roman"/>
          <w:lang w:val="en-GB"/>
        </w:rPr>
        <w:t xml:space="preserve"> August 2025</w:t>
      </w:r>
    </w:p>
  </w:footnote>
  <w:footnote w:id="7">
    <w:p w14:paraId="6CCF0557" w14:textId="504602B6" w:rsidR="00243D32" w:rsidRPr="00570601" w:rsidRDefault="00243D32">
      <w:pPr>
        <w:pStyle w:val="FootnoteText"/>
        <w:rPr>
          <w:rFonts w:ascii="Times New Roman" w:hAnsi="Times New Roman" w:cs="Times New Roman"/>
          <w:color w:val="000000" w:themeColor="text1"/>
          <w:lang w:val="en-GB"/>
        </w:rPr>
      </w:pPr>
      <w:r w:rsidRPr="00C14A81">
        <w:rPr>
          <w:rStyle w:val="FootnoteReference"/>
          <w:rFonts w:ascii="Times New Roman" w:hAnsi="Times New Roman" w:cs="Times New Roman"/>
        </w:rPr>
        <w:footnoteRef/>
      </w:r>
      <w:r w:rsidRPr="00C14A81">
        <w:rPr>
          <w:rFonts w:ascii="Times New Roman" w:hAnsi="Times New Roman" w:cs="Times New Roman"/>
          <w:lang w:val="en-GB"/>
        </w:rPr>
        <w:t xml:space="preserve"> </w:t>
      </w:r>
      <w:r w:rsidR="00570601">
        <w:rPr>
          <w:rFonts w:ascii="Times New Roman" w:hAnsi="Times New Roman" w:cs="Times New Roman"/>
          <w:lang w:val="en-GB"/>
        </w:rPr>
        <w:t xml:space="preserve"> </w:t>
      </w:r>
      <w:hyperlink r:id="rId5" w:history="1">
        <w:r w:rsidRPr="00570601">
          <w:rPr>
            <w:rStyle w:val="Hyperlink"/>
            <w:rFonts w:ascii="Times New Roman" w:hAnsi="Times New Roman" w:cs="Times New Roman"/>
            <w:lang w:val="en-GB"/>
          </w:rPr>
          <w:t>https://www.equalitas.it/en/</w:t>
        </w:r>
      </w:hyperlink>
      <w:r w:rsidR="00570601" w:rsidRPr="00570601">
        <w:rPr>
          <w:rFonts w:ascii="Times New Roman" w:hAnsi="Times New Roman" w:cs="Times New Roman"/>
          <w:lang w:val="en-GB"/>
        </w:rPr>
        <w:t xml:space="preserve">; last access </w:t>
      </w:r>
      <w:proofErr w:type="gramStart"/>
      <w:r w:rsidR="00570601" w:rsidRPr="00570601">
        <w:rPr>
          <w:rFonts w:ascii="Times New Roman" w:hAnsi="Times New Roman" w:cs="Times New Roman"/>
          <w:lang w:val="en-GB"/>
        </w:rPr>
        <w:t>on</w:t>
      </w:r>
      <w:proofErr w:type="gramEnd"/>
      <w:r w:rsidR="00570601" w:rsidRPr="00570601">
        <w:rPr>
          <w:rFonts w:ascii="Times New Roman" w:hAnsi="Times New Roman" w:cs="Times New Roman"/>
          <w:lang w:val="en-GB"/>
        </w:rPr>
        <w:t xml:space="preserve"> August 2025</w:t>
      </w:r>
    </w:p>
  </w:footnote>
  <w:footnote w:id="8">
    <w:p w14:paraId="299D4615" w14:textId="4923CC1C" w:rsidR="000B16AC" w:rsidRPr="008D6EFE" w:rsidRDefault="000B16AC" w:rsidP="000B16AC">
      <w:pPr>
        <w:spacing w:line="240" w:lineRule="auto"/>
        <w:rPr>
          <w:rFonts w:ascii="Times New Roman" w:hAnsi="Times New Roman" w:cs="Times New Roman"/>
          <w:sz w:val="20"/>
          <w:szCs w:val="20"/>
        </w:rPr>
      </w:pPr>
      <w:r w:rsidRPr="008D6EFE">
        <w:rPr>
          <w:rStyle w:val="FootnoteReference"/>
          <w:rFonts w:ascii="Times New Roman" w:hAnsi="Times New Roman" w:cs="Times New Roman"/>
          <w:sz w:val="20"/>
          <w:szCs w:val="20"/>
        </w:rPr>
        <w:footnoteRef/>
      </w:r>
      <w:r w:rsidRPr="008D6EFE">
        <w:rPr>
          <w:rFonts w:ascii="Times New Roman" w:hAnsi="Times New Roman" w:cs="Times New Roman"/>
          <w:sz w:val="20"/>
          <w:szCs w:val="20"/>
        </w:rPr>
        <w:t xml:space="preserve"> ISO 14064:2018-1, Greenhouse gases — Part 1: Specification with guidance at the organization level for quantification and reporting of greenhouse gas emissions and removals (</w:t>
      </w:r>
      <w:hyperlink r:id="rId6" w:history="1">
        <w:r w:rsidRPr="00570601">
          <w:rPr>
            <w:rStyle w:val="Hyperlink"/>
            <w:rFonts w:ascii="Times New Roman" w:hAnsi="Times New Roman" w:cs="Times New Roman"/>
            <w:color w:val="0563C1"/>
            <w:sz w:val="20"/>
            <w:szCs w:val="20"/>
          </w:rPr>
          <w:t>https://www.iso.org/standard/66453.html</w:t>
        </w:r>
      </w:hyperlink>
      <w:r w:rsidR="00570601" w:rsidRPr="00570601">
        <w:rPr>
          <w:rFonts w:ascii="Times New Roman" w:hAnsi="Times New Roman" w:cs="Times New Roman"/>
          <w:sz w:val="20"/>
          <w:szCs w:val="20"/>
        </w:rPr>
        <w:t>; last access on August 2025</w:t>
      </w:r>
      <w:r w:rsidRPr="008D6EFE">
        <w:rPr>
          <w:rFonts w:ascii="Times New Roman" w:hAnsi="Times New Roman" w:cs="Times New Roman"/>
          <w:sz w:val="20"/>
          <w:szCs w:val="20"/>
        </w:rPr>
        <w:t>).</w:t>
      </w:r>
    </w:p>
  </w:footnote>
  <w:footnote w:id="9">
    <w:p w14:paraId="11966228" w14:textId="4200BEA3" w:rsidR="000B16AC" w:rsidRPr="008D6EFE" w:rsidRDefault="000B16AC" w:rsidP="000B16AC">
      <w:pPr>
        <w:spacing w:line="240" w:lineRule="auto"/>
        <w:rPr>
          <w:rFonts w:ascii="Times New Roman" w:hAnsi="Times New Roman" w:cs="Times New Roman"/>
          <w:sz w:val="20"/>
          <w:szCs w:val="20"/>
        </w:rPr>
      </w:pPr>
      <w:r w:rsidRPr="008D6EFE">
        <w:rPr>
          <w:rStyle w:val="FootnoteReference"/>
          <w:rFonts w:ascii="Times New Roman" w:hAnsi="Times New Roman" w:cs="Times New Roman"/>
          <w:sz w:val="20"/>
          <w:szCs w:val="20"/>
        </w:rPr>
        <w:footnoteRef/>
      </w:r>
      <w:r w:rsidRPr="008D6EFE">
        <w:rPr>
          <w:rFonts w:ascii="Times New Roman" w:hAnsi="Times New Roman" w:cs="Times New Roman"/>
          <w:sz w:val="20"/>
          <w:szCs w:val="20"/>
        </w:rPr>
        <w:t xml:space="preserve"> OIV General principles for the communication related to the carbon footprint for </w:t>
      </w:r>
      <w:r w:rsidR="00DA0C5F" w:rsidRPr="008D6EFE">
        <w:rPr>
          <w:rFonts w:ascii="Times New Roman" w:hAnsi="Times New Roman" w:cs="Times New Roman"/>
          <w:sz w:val="20"/>
          <w:szCs w:val="20"/>
        </w:rPr>
        <w:t>enterprises</w:t>
      </w:r>
      <w:r w:rsidRPr="008D6EFE">
        <w:rPr>
          <w:rFonts w:ascii="Times New Roman" w:hAnsi="Times New Roman" w:cs="Times New Roman"/>
          <w:sz w:val="20"/>
          <w:szCs w:val="20"/>
        </w:rPr>
        <w:t xml:space="preserve">/organisations and products in the grape vine and wine sector, </w:t>
      </w:r>
      <w:hyperlink r:id="rId7" w:history="1">
        <w:r w:rsidRPr="00570601">
          <w:rPr>
            <w:rFonts w:ascii="Times New Roman" w:hAnsi="Times New Roman" w:cs="Times New Roman"/>
            <w:color w:val="0563C1"/>
            <w:sz w:val="20"/>
            <w:szCs w:val="20"/>
            <w:u w:val="single"/>
          </w:rPr>
          <w:t>https://www.oiv.int/node/2847</w:t>
        </w:r>
      </w:hyperlink>
      <w:r w:rsidR="00570601" w:rsidRPr="00570601">
        <w:rPr>
          <w:rFonts w:ascii="Times New Roman" w:hAnsi="Times New Roman" w:cs="Times New Roman"/>
          <w:sz w:val="20"/>
          <w:szCs w:val="20"/>
        </w:rPr>
        <w:t xml:space="preserve"> </w:t>
      </w:r>
      <w:r w:rsidR="00570601">
        <w:rPr>
          <w:rFonts w:ascii="Times New Roman" w:hAnsi="Times New Roman" w:cs="Times New Roman"/>
          <w:sz w:val="20"/>
          <w:szCs w:val="20"/>
        </w:rPr>
        <w:t>(</w:t>
      </w:r>
      <w:r w:rsidR="00570601" w:rsidRPr="00570601">
        <w:rPr>
          <w:rFonts w:ascii="Times New Roman" w:hAnsi="Times New Roman" w:cs="Times New Roman"/>
          <w:sz w:val="20"/>
          <w:szCs w:val="20"/>
        </w:rPr>
        <w:t>last access on August 2025).</w:t>
      </w:r>
    </w:p>
  </w:footnote>
  <w:footnote w:id="10">
    <w:p w14:paraId="514059CB" w14:textId="3861E746" w:rsidR="000B16AC" w:rsidRPr="00570601" w:rsidRDefault="000B16AC" w:rsidP="000B16AC">
      <w:pPr>
        <w:spacing w:line="240" w:lineRule="auto"/>
        <w:rPr>
          <w:rFonts w:ascii="Times New Roman" w:hAnsi="Times New Roman" w:cs="Times New Roman"/>
          <w:sz w:val="20"/>
          <w:szCs w:val="20"/>
        </w:rPr>
      </w:pPr>
      <w:r w:rsidRPr="008D6EFE">
        <w:rPr>
          <w:rStyle w:val="FootnoteReference"/>
          <w:rFonts w:ascii="Times New Roman" w:hAnsi="Times New Roman" w:cs="Times New Roman"/>
          <w:sz w:val="20"/>
          <w:szCs w:val="20"/>
        </w:rPr>
        <w:footnoteRef/>
      </w:r>
      <w:r w:rsidRPr="008D6EFE">
        <w:rPr>
          <w:rFonts w:ascii="Times New Roman" w:hAnsi="Times New Roman" w:cs="Times New Roman"/>
          <w:sz w:val="20"/>
          <w:szCs w:val="20"/>
        </w:rPr>
        <w:t xml:space="preserve"> The IPCC 2021 AR6 indicator was used to calculate the Carbon Footprint in this study. This includes characterization factors updated to 2021 and collected from the latest IPCC Assessment Report (</w:t>
      </w:r>
      <w:r w:rsidRPr="008D6EFE">
        <w:rPr>
          <w:rFonts w:ascii="Times New Roman" w:hAnsi="Times New Roman" w:cs="Times New Roman"/>
          <w:i/>
          <w:iCs/>
          <w:sz w:val="20"/>
          <w:szCs w:val="20"/>
        </w:rPr>
        <w:t>IPCC, 2021, Climate Change 2021 - The Physical Science Basis. Contribution of Working Group I to the Sixth Assessment Report of the Intergovernmental Panel on Climate Change [Masson-Delmotte et al. (eds.)], Cambridge University Press, Cambridge, United Kingdom and New York, NY, USA, 2391 pp</w:t>
      </w:r>
      <w:r w:rsidRPr="00DA0C5F">
        <w:rPr>
          <w:rFonts w:ascii="Times New Roman" w:hAnsi="Times New Roman" w:cs="Times New Roman"/>
          <w:i/>
          <w:iCs/>
          <w:sz w:val="18"/>
          <w:szCs w:val="18"/>
        </w:rPr>
        <w:t>.</w:t>
      </w:r>
      <w:r w:rsidRPr="00DA0C5F">
        <w:rPr>
          <w:rFonts w:ascii="Times New Roman" w:hAnsi="Times New Roman" w:cs="Times New Roman"/>
          <w:sz w:val="18"/>
          <w:szCs w:val="18"/>
        </w:rPr>
        <w:t xml:space="preserve">, </w:t>
      </w:r>
      <w:hyperlink r:id="rId8" w:history="1">
        <w:r w:rsidR="00DA0C5F" w:rsidRPr="00DA0C5F">
          <w:rPr>
            <w:rStyle w:val="Hyperlink"/>
            <w:rFonts w:ascii="Times New Roman" w:hAnsi="Times New Roman" w:cs="Times New Roman"/>
            <w:sz w:val="20"/>
            <w:szCs w:val="20"/>
          </w:rPr>
          <w:t>https://www.ipcc.ch/report/ar6/wg1/downloads/report/IPCC_AR6_WGI_FullReport.pdf</w:t>
        </w:r>
      </w:hyperlink>
      <w:r w:rsidR="00570601" w:rsidRPr="00570601">
        <w:rPr>
          <w:rFonts w:ascii="Times New Roman" w:hAnsi="Times New Roman" w:cs="Times New Roman"/>
          <w:sz w:val="20"/>
          <w:szCs w:val="20"/>
        </w:rPr>
        <w:t>; last access on August 2025</w:t>
      </w:r>
      <w:r w:rsidRPr="00570601">
        <w:rPr>
          <w:rFonts w:ascii="Times New Roman" w:hAnsi="Times New Roman" w:cs="Times New Roman"/>
          <w:sz w:val="20"/>
          <w:szCs w:val="20"/>
        </w:rPr>
        <w:t>).</w:t>
      </w:r>
    </w:p>
  </w:footnote>
  <w:footnote w:id="11">
    <w:p w14:paraId="1D8E3092" w14:textId="51684934" w:rsidR="004B405F" w:rsidRPr="00B96108" w:rsidRDefault="004B405F">
      <w:pPr>
        <w:pStyle w:val="FootnoteText"/>
        <w:rPr>
          <w:rFonts w:ascii="Times New Roman" w:hAnsi="Times New Roman" w:cs="Times New Roman"/>
          <w:lang w:val="en-GB"/>
        </w:rPr>
      </w:pPr>
      <w:r w:rsidRPr="007C6132">
        <w:rPr>
          <w:rStyle w:val="FootnoteReference"/>
          <w:rFonts w:ascii="Times New Roman" w:hAnsi="Times New Roman" w:cs="Times New Roman"/>
        </w:rPr>
        <w:footnoteRef/>
      </w:r>
      <w:r w:rsidRPr="007C6132">
        <w:rPr>
          <w:rFonts w:ascii="Times New Roman" w:hAnsi="Times New Roman" w:cs="Times New Roman"/>
        </w:rPr>
        <w:t xml:space="preserve"> EQUALITAS</w:t>
      </w:r>
      <w:r w:rsidR="007C6132" w:rsidRPr="007C6132">
        <w:rPr>
          <w:rFonts w:ascii="Times New Roman" w:hAnsi="Times New Roman" w:cs="Times New Roman"/>
        </w:rPr>
        <w:t xml:space="preserve"> (2021). </w:t>
      </w:r>
      <w:r w:rsidRPr="007C6132">
        <w:rPr>
          <w:rFonts w:ascii="Times New Roman" w:hAnsi="Times New Roman" w:cs="Times New Roman"/>
        </w:rPr>
        <w:t>Regolamento applicativo dello standard sostenibilità della filiera vitivinicola: organizzazioni, prodotti, denominazioni di origine (SOPD)</w:t>
      </w:r>
      <w:r w:rsidR="007C6132" w:rsidRPr="007C6132">
        <w:rPr>
          <w:rFonts w:ascii="Times New Roman" w:hAnsi="Times New Roman" w:cs="Times New Roman"/>
        </w:rPr>
        <w:t xml:space="preserve">; versione 4 dello standard. </w:t>
      </w:r>
      <w:r w:rsidR="007C6132" w:rsidRPr="00B96108">
        <w:rPr>
          <w:rFonts w:ascii="Times New Roman" w:hAnsi="Times New Roman" w:cs="Times New Roman"/>
          <w:lang w:val="en-GB"/>
        </w:rPr>
        <w:t>REG_SOPD_002_20210801</w:t>
      </w:r>
      <w:r w:rsidR="00607D37" w:rsidRPr="00B96108">
        <w:rPr>
          <w:rFonts w:ascii="Times New Roman" w:hAnsi="Times New Roman" w:cs="Times New Roman"/>
          <w:lang w:val="en-GB"/>
        </w:rPr>
        <w:t>.</w:t>
      </w:r>
    </w:p>
  </w:footnote>
  <w:footnote w:id="12">
    <w:p w14:paraId="2CC1A29B" w14:textId="77777777" w:rsidR="000B16AC" w:rsidRPr="008D6EFE" w:rsidRDefault="000B16AC" w:rsidP="000B16AC">
      <w:pPr>
        <w:spacing w:line="240" w:lineRule="auto"/>
        <w:rPr>
          <w:rFonts w:ascii="Times New Roman" w:hAnsi="Times New Roman" w:cs="Times New Roman"/>
          <w:sz w:val="20"/>
          <w:szCs w:val="20"/>
        </w:rPr>
      </w:pPr>
      <w:r w:rsidRPr="008D6EFE">
        <w:rPr>
          <w:rStyle w:val="FootnoteReference"/>
          <w:rFonts w:ascii="Times New Roman" w:hAnsi="Times New Roman" w:cs="Times New Roman"/>
          <w:sz w:val="20"/>
          <w:szCs w:val="20"/>
        </w:rPr>
        <w:footnoteRef/>
      </w:r>
      <w:r w:rsidRPr="008D6EFE">
        <w:rPr>
          <w:rFonts w:ascii="Times New Roman" w:hAnsi="Times New Roman" w:cs="Times New Roman"/>
          <w:sz w:val="20"/>
          <w:szCs w:val="20"/>
        </w:rPr>
        <w:t xml:space="preserve"> In LCA, </w:t>
      </w:r>
      <w:r w:rsidRPr="008D6EFE">
        <w:rPr>
          <w:rFonts w:ascii="Times New Roman" w:hAnsi="Times New Roman" w:cs="Times New Roman"/>
          <w:i/>
          <w:iCs/>
          <w:sz w:val="20"/>
          <w:szCs w:val="20"/>
        </w:rPr>
        <w:t xml:space="preserve">foreground </w:t>
      </w:r>
      <w:r w:rsidRPr="008D6EFE">
        <w:rPr>
          <w:rFonts w:ascii="Times New Roman" w:hAnsi="Times New Roman" w:cs="Times New Roman"/>
          <w:sz w:val="20"/>
          <w:szCs w:val="20"/>
        </w:rPr>
        <w:t xml:space="preserve">(i.e., first-level) data are all those consumption and production data necessary to describe the system under study (e.g., amount of diesel consumed by the tractor; quantity of grapes produced, etc.). In contrast, </w:t>
      </w:r>
      <w:r w:rsidRPr="008D6EFE">
        <w:rPr>
          <w:rFonts w:ascii="Times New Roman" w:hAnsi="Times New Roman" w:cs="Times New Roman"/>
          <w:i/>
          <w:iCs/>
          <w:sz w:val="20"/>
          <w:szCs w:val="20"/>
        </w:rPr>
        <w:t>background</w:t>
      </w:r>
      <w:r w:rsidRPr="008D6EFE">
        <w:rPr>
          <w:rFonts w:ascii="Times New Roman" w:hAnsi="Times New Roman" w:cs="Times New Roman"/>
          <w:sz w:val="20"/>
          <w:szCs w:val="20"/>
        </w:rPr>
        <w:t xml:space="preserve"> (i.e., second-level) data refer to the production inputs and outputs of the many upstream and downstream activities in the production chain (e.g., input and output data for the production of the diesel fuel consumed at the foreground level).</w:t>
      </w:r>
    </w:p>
  </w:footnote>
  <w:footnote w:id="13">
    <w:p w14:paraId="1B87D054" w14:textId="77777777" w:rsidR="000B16AC" w:rsidRPr="008C3716" w:rsidRDefault="000B16AC" w:rsidP="000B16AC">
      <w:pPr>
        <w:pStyle w:val="FootnoteText"/>
        <w:rPr>
          <w:rFonts w:ascii="Times New Roman" w:hAnsi="Times New Roman" w:cs="Times New Roman"/>
          <w:lang w:val="en-GB"/>
        </w:rPr>
      </w:pPr>
      <w:r w:rsidRPr="008C3716">
        <w:rPr>
          <w:rStyle w:val="FootnoteReference"/>
          <w:rFonts w:ascii="Times New Roman" w:hAnsi="Times New Roman" w:cs="Times New Roman"/>
        </w:rPr>
        <w:footnoteRef/>
      </w:r>
      <w:r w:rsidRPr="008C3716">
        <w:rPr>
          <w:rFonts w:ascii="Times New Roman" w:hAnsi="Times New Roman" w:cs="Times New Roman"/>
          <w:lang w:val="en-GB"/>
        </w:rPr>
        <w:t xml:space="preserve"> Font Vivanco, D. (2020). The role of services and capital in footprint modelling. The International Journal of Life Cycle Assessment, 25, 280-293; Jiang, M., Wang, R., Wood, R., Rasul, K., Zhu, B., &amp; </w:t>
      </w:r>
      <w:proofErr w:type="spellStart"/>
      <w:r w:rsidRPr="008C3716">
        <w:rPr>
          <w:rFonts w:ascii="Times New Roman" w:hAnsi="Times New Roman" w:cs="Times New Roman"/>
          <w:lang w:val="en-GB"/>
        </w:rPr>
        <w:t>Hertwich</w:t>
      </w:r>
      <w:proofErr w:type="spellEnd"/>
      <w:r w:rsidRPr="008C3716">
        <w:rPr>
          <w:rFonts w:ascii="Times New Roman" w:hAnsi="Times New Roman" w:cs="Times New Roman"/>
          <w:lang w:val="en-GB"/>
        </w:rPr>
        <w:t>, E. (2023). Material and carbon footprints of machinery capital. Environmental Science &amp; Technology, 57(50), 21124-21135.</w:t>
      </w:r>
    </w:p>
  </w:footnote>
  <w:footnote w:id="14">
    <w:p w14:paraId="444FECF3" w14:textId="4CD136DB" w:rsidR="000B16AC" w:rsidRPr="002377A8" w:rsidRDefault="000B16AC" w:rsidP="000B16AC">
      <w:pPr>
        <w:spacing w:line="240" w:lineRule="auto"/>
        <w:rPr>
          <w:rFonts w:ascii="Times New Roman" w:hAnsi="Times New Roman" w:cs="Times New Roman"/>
          <w:sz w:val="20"/>
          <w:szCs w:val="20"/>
        </w:rPr>
      </w:pPr>
      <w:r w:rsidRPr="002377A8">
        <w:rPr>
          <w:rStyle w:val="FootnoteReference"/>
          <w:rFonts w:ascii="Times New Roman" w:hAnsi="Times New Roman" w:cs="Times New Roman"/>
          <w:sz w:val="20"/>
          <w:szCs w:val="20"/>
        </w:rPr>
        <w:footnoteRef/>
      </w:r>
      <w:r w:rsidRPr="002377A8">
        <w:rPr>
          <w:rFonts w:ascii="Times New Roman" w:hAnsi="Times New Roman" w:cs="Times New Roman"/>
          <w:sz w:val="20"/>
          <w:szCs w:val="20"/>
        </w:rPr>
        <w:t xml:space="preserve"> ISO 14046:2014, Environmental management — Water footprint — Principles, requirements and guidelines (</w:t>
      </w:r>
      <w:hyperlink r:id="rId9" w:history="1">
        <w:r w:rsidRPr="00570601">
          <w:rPr>
            <w:rFonts w:ascii="Times New Roman" w:hAnsi="Times New Roman" w:cs="Times New Roman"/>
            <w:color w:val="0563C1"/>
            <w:sz w:val="20"/>
            <w:szCs w:val="20"/>
            <w:u w:val="single"/>
          </w:rPr>
          <w:t>https://www.iso.org/standard/43263.html</w:t>
        </w:r>
      </w:hyperlink>
      <w:r w:rsidR="00570601" w:rsidRPr="00570601">
        <w:rPr>
          <w:rFonts w:ascii="Times New Roman" w:hAnsi="Times New Roman" w:cs="Times New Roman"/>
          <w:sz w:val="20"/>
          <w:szCs w:val="20"/>
        </w:rPr>
        <w:t>; last access on August 2025</w:t>
      </w:r>
      <w:r w:rsidRPr="002377A8">
        <w:rPr>
          <w:rFonts w:ascii="Times New Roman" w:hAnsi="Times New Roman" w:cs="Times New Roman"/>
          <w:sz w:val="20"/>
          <w:szCs w:val="20"/>
          <w:u w:val="single"/>
        </w:rPr>
        <w:t>)</w:t>
      </w:r>
      <w:r w:rsidRPr="002377A8">
        <w:rPr>
          <w:rFonts w:ascii="Times New Roman" w:hAnsi="Times New Roman" w:cs="Times New Roman"/>
          <w:sz w:val="20"/>
          <w:szCs w:val="20"/>
        </w:rPr>
        <w:t>.</w:t>
      </w:r>
    </w:p>
  </w:footnote>
  <w:footnote w:id="15">
    <w:p w14:paraId="4941F63A" w14:textId="6A8ADDF3" w:rsidR="000B16AC" w:rsidRPr="002377A8" w:rsidRDefault="000B16AC" w:rsidP="000B16AC">
      <w:pPr>
        <w:spacing w:line="240" w:lineRule="auto"/>
        <w:rPr>
          <w:rFonts w:ascii="Times New Roman" w:hAnsi="Times New Roman" w:cs="Times New Roman"/>
          <w:sz w:val="20"/>
          <w:szCs w:val="20"/>
        </w:rPr>
      </w:pPr>
      <w:r w:rsidRPr="002377A8">
        <w:rPr>
          <w:rStyle w:val="FootnoteReference"/>
          <w:rFonts w:ascii="Times New Roman" w:hAnsi="Times New Roman" w:cs="Times New Roman"/>
          <w:sz w:val="20"/>
          <w:szCs w:val="20"/>
        </w:rPr>
        <w:footnoteRef/>
      </w:r>
      <w:r w:rsidRPr="002377A8">
        <w:rPr>
          <w:rFonts w:ascii="Times New Roman" w:hAnsi="Times New Roman" w:cs="Times New Roman"/>
          <w:sz w:val="20"/>
          <w:szCs w:val="20"/>
        </w:rPr>
        <w:t xml:space="preserve"> In calculating the WF according to the traditional method promoted by the Water Footprint Network, it is possible to distinguish between three types of water consumption (</w:t>
      </w:r>
      <w:hyperlink r:id="rId10" w:history="1">
        <w:r w:rsidRPr="00570601">
          <w:rPr>
            <w:rStyle w:val="Hyperlink"/>
            <w:rFonts w:ascii="Times New Roman" w:hAnsi="Times New Roman" w:cs="Times New Roman"/>
            <w:color w:val="0563C1"/>
            <w:sz w:val="20"/>
            <w:szCs w:val="20"/>
          </w:rPr>
          <w:t>https://waterfootprint.org/</w:t>
        </w:r>
      </w:hyperlink>
      <w:r w:rsidR="00570601" w:rsidRPr="00570601">
        <w:rPr>
          <w:rFonts w:ascii="Times New Roman" w:hAnsi="Times New Roman" w:cs="Times New Roman"/>
          <w:sz w:val="20"/>
          <w:szCs w:val="20"/>
        </w:rPr>
        <w:t>; last access on August 2025</w:t>
      </w:r>
      <w:r w:rsidRPr="002377A8">
        <w:rPr>
          <w:rFonts w:ascii="Times New Roman" w:hAnsi="Times New Roman" w:cs="Times New Roman"/>
          <w:sz w:val="20"/>
          <w:szCs w:val="20"/>
        </w:rPr>
        <w:t xml:space="preserve">): (1) </w:t>
      </w:r>
      <w:r w:rsidRPr="002377A8">
        <w:rPr>
          <w:rFonts w:ascii="Times New Roman" w:hAnsi="Times New Roman" w:cs="Times New Roman"/>
          <w:i/>
          <w:iCs/>
          <w:sz w:val="20"/>
          <w:szCs w:val="20"/>
        </w:rPr>
        <w:t>blue</w:t>
      </w:r>
      <w:r w:rsidRPr="002377A8">
        <w:rPr>
          <w:rFonts w:ascii="Times New Roman" w:hAnsi="Times New Roman" w:cs="Times New Roman"/>
          <w:sz w:val="20"/>
          <w:szCs w:val="20"/>
        </w:rPr>
        <w:t xml:space="preserve"> water, which is water withdrawn from surface and groundwater supplies intended for use in agricultural, domestic and industrial operations. It is the amount of freshwater that does not return downstream to the same point in the production process where it was withdrawn, or if returns there it does at different times; (2) </w:t>
      </w:r>
      <w:r w:rsidRPr="002377A8">
        <w:rPr>
          <w:rFonts w:ascii="Times New Roman" w:hAnsi="Times New Roman" w:cs="Times New Roman"/>
          <w:i/>
          <w:iCs/>
          <w:sz w:val="20"/>
          <w:szCs w:val="20"/>
        </w:rPr>
        <w:t>green</w:t>
      </w:r>
      <w:r w:rsidRPr="002377A8">
        <w:rPr>
          <w:rFonts w:ascii="Times New Roman" w:hAnsi="Times New Roman" w:cs="Times New Roman"/>
          <w:sz w:val="20"/>
          <w:szCs w:val="20"/>
        </w:rPr>
        <w:t xml:space="preserve"> water, which is the volume of rainwater that does not contribute to surface runoff and refers mainly to </w:t>
      </w:r>
      <w:proofErr w:type="spellStart"/>
      <w:r w:rsidRPr="002377A8">
        <w:rPr>
          <w:rFonts w:ascii="Times New Roman" w:hAnsi="Times New Roman" w:cs="Times New Roman"/>
          <w:sz w:val="20"/>
          <w:szCs w:val="20"/>
        </w:rPr>
        <w:t>evapo</w:t>
      </w:r>
      <w:proofErr w:type="spellEnd"/>
      <w:r w:rsidRPr="002377A8">
        <w:rPr>
          <w:rFonts w:ascii="Times New Roman" w:hAnsi="Times New Roman" w:cs="Times New Roman"/>
          <w:sz w:val="20"/>
          <w:szCs w:val="20"/>
        </w:rPr>
        <w:t xml:space="preserve">-transpired water for an agricultural use; (3) </w:t>
      </w:r>
      <w:r w:rsidRPr="002377A8">
        <w:rPr>
          <w:rFonts w:ascii="Times New Roman" w:hAnsi="Times New Roman" w:cs="Times New Roman"/>
          <w:i/>
          <w:iCs/>
          <w:sz w:val="20"/>
          <w:szCs w:val="20"/>
        </w:rPr>
        <w:t>grey</w:t>
      </w:r>
      <w:r w:rsidRPr="002377A8">
        <w:rPr>
          <w:rFonts w:ascii="Times New Roman" w:hAnsi="Times New Roman" w:cs="Times New Roman"/>
          <w:sz w:val="20"/>
          <w:szCs w:val="20"/>
        </w:rPr>
        <w:t xml:space="preserve"> water, which represents the volume of polluted water, quantified as the volume of water needed to dilute pollutants to a level of quality above standards.</w:t>
      </w:r>
    </w:p>
  </w:footnote>
  <w:footnote w:id="16">
    <w:p w14:paraId="376CE460" w14:textId="1CA6E65A" w:rsidR="00607D37" w:rsidRPr="00607D37" w:rsidRDefault="00607D37">
      <w:pPr>
        <w:pStyle w:val="FootnoteText"/>
        <w:rPr>
          <w:lang w:val="en-GB"/>
        </w:rPr>
      </w:pPr>
      <w:r w:rsidRPr="00607D37">
        <w:rPr>
          <w:rStyle w:val="FootnoteReference"/>
          <w:rFonts w:ascii="Times New Roman" w:hAnsi="Times New Roman" w:cs="Times New Roman"/>
        </w:rPr>
        <w:footnoteRef/>
      </w:r>
      <w:r w:rsidRPr="00607D37">
        <w:rPr>
          <w:rFonts w:ascii="Times New Roman" w:hAnsi="Times New Roman" w:cs="Times New Roman"/>
        </w:rPr>
        <w:t xml:space="preserve"> E</w:t>
      </w:r>
      <w:r w:rsidRPr="007C6132">
        <w:rPr>
          <w:rFonts w:ascii="Times New Roman" w:hAnsi="Times New Roman" w:cs="Times New Roman"/>
        </w:rPr>
        <w:t xml:space="preserve">QUALITAS (2021). Regolamento applicativo dello standard sostenibilità della filiera vitivinicola: organizzazioni, prodotti, denominazioni di origine (SOPD); versione 4 dello standard. </w:t>
      </w:r>
      <w:r w:rsidRPr="00570601">
        <w:rPr>
          <w:rFonts w:ascii="Times New Roman" w:hAnsi="Times New Roman" w:cs="Times New Roman"/>
          <w:lang w:val="en-GB"/>
        </w:rPr>
        <w:t>REG_SOPD_002_20210801.</w:t>
      </w:r>
    </w:p>
  </w:footnote>
  <w:footnote w:id="17">
    <w:p w14:paraId="028FE1A5" w14:textId="77777777" w:rsidR="000B16AC" w:rsidRPr="00607D37" w:rsidRDefault="000B16AC" w:rsidP="000B16AC">
      <w:pPr>
        <w:pStyle w:val="FootnoteText"/>
        <w:rPr>
          <w:rFonts w:ascii="Times New Roman" w:hAnsi="Times New Roman" w:cs="Times New Roman"/>
          <w:lang w:val="en-IE"/>
        </w:rPr>
      </w:pPr>
      <w:r w:rsidRPr="00607D37">
        <w:rPr>
          <w:rStyle w:val="FootnoteReference"/>
          <w:rFonts w:ascii="Times New Roman" w:hAnsi="Times New Roman" w:cs="Times New Roman"/>
        </w:rPr>
        <w:footnoteRef/>
      </w:r>
      <w:r w:rsidRPr="00607D37">
        <w:rPr>
          <w:rFonts w:ascii="Times New Roman" w:hAnsi="Times New Roman" w:cs="Times New Roman"/>
          <w:lang w:val="en-GB"/>
        </w:rPr>
        <w:t xml:space="preserve"> Boulay et al., 2018, The WULCA consensus characterization model for water scarcity footprints: assessing impacts of water consumption based on available water remaining (AWARE). Int. J. Life Cycle Assess., 23:368–378.</w:t>
      </w:r>
    </w:p>
  </w:footnote>
  <w:footnote w:id="18">
    <w:p w14:paraId="64D030DC" w14:textId="77777777" w:rsidR="000B16AC" w:rsidRPr="00570601" w:rsidRDefault="000B16AC" w:rsidP="000B16AC">
      <w:pPr>
        <w:pStyle w:val="FootnoteText"/>
        <w:rPr>
          <w:rFonts w:ascii="Times New Roman" w:hAnsi="Times New Roman" w:cs="Times New Roman"/>
          <w:lang w:val="en-GB"/>
        </w:rPr>
      </w:pPr>
      <w:r w:rsidRPr="00607D37">
        <w:rPr>
          <w:rStyle w:val="FootnoteReference"/>
          <w:rFonts w:ascii="Times New Roman" w:hAnsi="Times New Roman" w:cs="Times New Roman"/>
        </w:rPr>
        <w:footnoteRef/>
      </w:r>
      <w:r w:rsidRPr="00607D37">
        <w:rPr>
          <w:rFonts w:ascii="Times New Roman" w:hAnsi="Times New Roman" w:cs="Times New Roman"/>
          <w:lang w:val="en-GB"/>
        </w:rPr>
        <w:t xml:space="preserve"> Pfister et al., 2009, Assessing the environmental impacts of freshwater consumption in LCA. </w:t>
      </w:r>
      <w:r w:rsidRPr="00570601">
        <w:rPr>
          <w:rFonts w:ascii="Times New Roman" w:hAnsi="Times New Roman" w:cs="Times New Roman"/>
          <w:lang w:val="en-GB"/>
        </w:rPr>
        <w:t>Environ. Sci. Technol., 43, 4098–4104.</w:t>
      </w:r>
    </w:p>
  </w:footnote>
  <w:footnote w:id="19">
    <w:p w14:paraId="21EF516D" w14:textId="22821E0B" w:rsidR="000B16AC" w:rsidRPr="00570601" w:rsidRDefault="000B16AC" w:rsidP="000B16AC">
      <w:pPr>
        <w:pStyle w:val="FootnoteText"/>
        <w:rPr>
          <w:rFonts w:ascii="Times New Roman" w:hAnsi="Times New Roman" w:cs="Times New Roman"/>
          <w:lang w:val="en-GB"/>
        </w:rPr>
      </w:pPr>
      <w:r w:rsidRPr="00607D37">
        <w:rPr>
          <w:rStyle w:val="FootnoteReference"/>
          <w:rFonts w:ascii="Times New Roman" w:hAnsi="Times New Roman" w:cs="Times New Roman"/>
          <w:lang w:val="en-GB"/>
        </w:rPr>
        <w:footnoteRef/>
      </w:r>
      <w:r w:rsidRPr="00570601">
        <w:rPr>
          <w:rFonts w:ascii="Times New Roman" w:hAnsi="Times New Roman" w:cs="Times New Roman"/>
          <w:lang w:val="en-GB"/>
        </w:rPr>
        <w:t xml:space="preserve"> IMPACT2002+, User Guide, November 2012: </w:t>
      </w:r>
      <w:hyperlink r:id="rId11" w:history="1">
        <w:r w:rsidR="00607D37" w:rsidRPr="00570601">
          <w:rPr>
            <w:rStyle w:val="Hyperlink"/>
            <w:rFonts w:ascii="Times New Roman" w:hAnsi="Times New Roman" w:cs="Times New Roman"/>
            <w:color w:val="0563C1"/>
            <w:lang w:val="en-GB"/>
          </w:rPr>
          <w:t>https://www.scribd.com/document/159939753/IMPACT2002-UserGuide-for-vQ2-2</w:t>
        </w:r>
      </w:hyperlink>
      <w:r w:rsidR="00570601" w:rsidRPr="00570601">
        <w:rPr>
          <w:rFonts w:ascii="Times New Roman" w:hAnsi="Times New Roman" w:cs="Times New Roman"/>
          <w:lang w:val="en-GB"/>
        </w:rPr>
        <w:t xml:space="preserve">; last access </w:t>
      </w:r>
      <w:proofErr w:type="gramStart"/>
      <w:r w:rsidR="00570601" w:rsidRPr="00570601">
        <w:rPr>
          <w:rFonts w:ascii="Times New Roman" w:hAnsi="Times New Roman" w:cs="Times New Roman"/>
          <w:lang w:val="en-GB"/>
        </w:rPr>
        <w:t>on</w:t>
      </w:r>
      <w:proofErr w:type="gramEnd"/>
      <w:r w:rsidR="00570601" w:rsidRPr="00570601">
        <w:rPr>
          <w:rFonts w:ascii="Times New Roman" w:hAnsi="Times New Roman" w:cs="Times New Roman"/>
          <w:lang w:val="en-GB"/>
        </w:rPr>
        <w:t xml:space="preserve"> August 2025</w:t>
      </w:r>
      <w:r w:rsidRPr="00570601">
        <w:rPr>
          <w:rFonts w:ascii="Times New Roman" w:hAnsi="Times New Roman" w:cs="Times New Roman"/>
          <w:lang w:val="en-GB"/>
        </w:rPr>
        <w:t>.</w:t>
      </w:r>
    </w:p>
  </w:footnote>
  <w:footnote w:id="20">
    <w:p w14:paraId="7513837C" w14:textId="77777777" w:rsidR="000B16AC" w:rsidRPr="00570601" w:rsidRDefault="000B16AC" w:rsidP="000B16AC">
      <w:pPr>
        <w:pStyle w:val="FootnoteText"/>
        <w:rPr>
          <w:rFonts w:ascii="Times New Roman" w:hAnsi="Times New Roman" w:cs="Times New Roman"/>
          <w:lang w:val="fr-FR"/>
        </w:rPr>
      </w:pPr>
      <w:r w:rsidRPr="00607D37">
        <w:rPr>
          <w:rStyle w:val="FootnoteReference"/>
          <w:rFonts w:ascii="Times New Roman" w:hAnsi="Times New Roman" w:cs="Times New Roman"/>
        </w:rPr>
        <w:footnoteRef/>
      </w:r>
      <w:r w:rsidRPr="00607D37">
        <w:rPr>
          <w:rFonts w:ascii="Times New Roman" w:hAnsi="Times New Roman" w:cs="Times New Roman"/>
          <w:lang w:val="en-GB"/>
        </w:rPr>
        <w:t xml:space="preserve"> </w:t>
      </w:r>
      <w:proofErr w:type="spellStart"/>
      <w:r w:rsidRPr="00607D37">
        <w:rPr>
          <w:rFonts w:ascii="Times New Roman" w:hAnsi="Times New Roman" w:cs="Times New Roman"/>
          <w:lang w:val="en-GB"/>
        </w:rPr>
        <w:t>USEtox</w:t>
      </w:r>
      <w:proofErr w:type="spellEnd"/>
      <w:r w:rsidRPr="00607D37">
        <w:rPr>
          <w:rFonts w:ascii="Times New Roman" w:hAnsi="Times New Roman" w:cs="Times New Roman"/>
          <w:lang w:val="en-GB"/>
        </w:rPr>
        <w:t xml:space="preserve"> is a scientific consensus model endorsed by UNEP’s Life Cycle Initiative for characterizing human and ecotoxicological impacts of chemicals. Main output is a database of characterization factors including fate, exposure, and effect parameters. </w:t>
      </w:r>
      <w:r w:rsidRPr="00570601">
        <w:rPr>
          <w:rFonts w:ascii="Times New Roman" w:hAnsi="Times New Roman" w:cs="Times New Roman"/>
          <w:lang w:val="fr-FR"/>
        </w:rPr>
        <w:t xml:space="preserve">Full documentation </w:t>
      </w:r>
      <w:proofErr w:type="spellStart"/>
      <w:r w:rsidRPr="00570601">
        <w:rPr>
          <w:rFonts w:ascii="Times New Roman" w:hAnsi="Times New Roman" w:cs="Times New Roman"/>
          <w:lang w:val="fr-FR"/>
        </w:rPr>
        <w:t>available</w:t>
      </w:r>
      <w:proofErr w:type="spellEnd"/>
      <w:r w:rsidRPr="00570601">
        <w:rPr>
          <w:rFonts w:ascii="Times New Roman" w:hAnsi="Times New Roman" w:cs="Times New Roman"/>
          <w:lang w:val="fr-FR"/>
        </w:rPr>
        <w:t xml:space="preserve"> </w:t>
      </w:r>
      <w:proofErr w:type="spellStart"/>
      <w:r w:rsidRPr="00570601">
        <w:rPr>
          <w:rFonts w:ascii="Times New Roman" w:hAnsi="Times New Roman" w:cs="Times New Roman"/>
          <w:lang w:val="fr-FR"/>
        </w:rPr>
        <w:t>here</w:t>
      </w:r>
      <w:proofErr w:type="spellEnd"/>
      <w:r w:rsidRPr="00570601">
        <w:rPr>
          <w:rFonts w:ascii="Times New Roman" w:hAnsi="Times New Roman" w:cs="Times New Roman"/>
          <w:lang w:val="fr-FR"/>
        </w:rPr>
        <w:t>:</w:t>
      </w:r>
    </w:p>
    <w:p w14:paraId="08A8116E" w14:textId="74C75220" w:rsidR="000B16AC" w:rsidRPr="00570601" w:rsidRDefault="000B16AC" w:rsidP="000B16AC">
      <w:pPr>
        <w:pStyle w:val="FootnoteText"/>
        <w:rPr>
          <w:rFonts w:ascii="Times New Roman" w:hAnsi="Times New Roman" w:cs="Times New Roman"/>
          <w:lang w:val="en-GB"/>
        </w:rPr>
      </w:pPr>
      <w:hyperlink r:id="rId12" w:history="1">
        <w:r w:rsidRPr="00570601">
          <w:rPr>
            <w:rStyle w:val="Hyperlink"/>
            <w:rFonts w:ascii="Times New Roman" w:hAnsi="Times New Roman" w:cs="Times New Roman"/>
            <w:color w:val="0563C1"/>
            <w:lang w:val="en-GB"/>
          </w:rPr>
          <w:t>https://usetox.org/sites/default/files/assets/USEtox_Documentation.pdf</w:t>
        </w:r>
      </w:hyperlink>
      <w:r w:rsidR="00570601" w:rsidRPr="00570601">
        <w:rPr>
          <w:rFonts w:ascii="Times New Roman" w:hAnsi="Times New Roman" w:cs="Times New Roman"/>
          <w:lang w:val="en-GB"/>
        </w:rPr>
        <w:t xml:space="preserve">; last access </w:t>
      </w:r>
      <w:proofErr w:type="gramStart"/>
      <w:r w:rsidR="00570601" w:rsidRPr="00570601">
        <w:rPr>
          <w:rFonts w:ascii="Times New Roman" w:hAnsi="Times New Roman" w:cs="Times New Roman"/>
          <w:lang w:val="en-GB"/>
        </w:rPr>
        <w:t>on</w:t>
      </w:r>
      <w:proofErr w:type="gramEnd"/>
      <w:r w:rsidR="00570601" w:rsidRPr="00570601">
        <w:rPr>
          <w:rFonts w:ascii="Times New Roman" w:hAnsi="Times New Roman" w:cs="Times New Roman"/>
          <w:lang w:val="en-GB"/>
        </w:rPr>
        <w:t xml:space="preserve"> August 2025</w:t>
      </w:r>
      <w:r w:rsidRPr="00570601">
        <w:rPr>
          <w:rFonts w:ascii="Times New Roman" w:hAnsi="Times New Roman" w:cs="Times New Roman"/>
          <w:lang w:val="en-GB"/>
        </w:rPr>
        <w:t>.</w:t>
      </w:r>
    </w:p>
  </w:footnote>
  <w:footnote w:id="21">
    <w:p w14:paraId="51378ECD" w14:textId="476AAFB1" w:rsidR="00AF6295" w:rsidRPr="00AF6295" w:rsidRDefault="00AF6295">
      <w:pPr>
        <w:pStyle w:val="FootnoteText"/>
        <w:rPr>
          <w:rFonts w:ascii="Times New Roman" w:hAnsi="Times New Roman" w:cs="Times New Roman"/>
        </w:rPr>
      </w:pPr>
      <w:r w:rsidRPr="00AF6295">
        <w:rPr>
          <w:rStyle w:val="FootnoteReference"/>
          <w:rFonts w:ascii="Times New Roman" w:hAnsi="Times New Roman" w:cs="Times New Roman"/>
        </w:rPr>
        <w:footnoteRef/>
      </w:r>
      <w:r w:rsidRPr="00570601">
        <w:rPr>
          <w:rFonts w:ascii="Times New Roman" w:hAnsi="Times New Roman" w:cs="Times New Roman"/>
          <w:lang w:val="fr-FR"/>
        </w:rPr>
        <w:t xml:space="preserve"> Asadollahfardi et al. </w:t>
      </w:r>
      <w:r>
        <w:rPr>
          <w:rFonts w:ascii="Times New Roman" w:hAnsi="Times New Roman" w:cs="Times New Roman"/>
          <w:lang w:val="en-GB"/>
        </w:rPr>
        <w:t>(</w:t>
      </w:r>
      <w:r w:rsidRPr="00AF6295">
        <w:rPr>
          <w:rFonts w:ascii="Times New Roman" w:hAnsi="Times New Roman" w:cs="Times New Roman"/>
          <w:lang w:val="en-GB"/>
        </w:rPr>
        <w:t>2023</w:t>
      </w:r>
      <w:r>
        <w:rPr>
          <w:rFonts w:ascii="Times New Roman" w:hAnsi="Times New Roman" w:cs="Times New Roman"/>
          <w:lang w:val="en-GB"/>
        </w:rPr>
        <w:t>)</w:t>
      </w:r>
      <w:r w:rsidRPr="00AF6295">
        <w:rPr>
          <w:rFonts w:ascii="Times New Roman" w:hAnsi="Times New Roman" w:cs="Times New Roman"/>
          <w:lang w:val="en-GB"/>
        </w:rPr>
        <w:t xml:space="preserve">. Evaluation of environmental sustainability of the construction and operation phases of man‐made lakes; A case study: </w:t>
      </w:r>
      <w:proofErr w:type="spellStart"/>
      <w:r w:rsidRPr="00AF6295">
        <w:rPr>
          <w:rFonts w:ascii="Times New Roman" w:hAnsi="Times New Roman" w:cs="Times New Roman"/>
          <w:lang w:val="en-GB"/>
        </w:rPr>
        <w:t>Chitgar</w:t>
      </w:r>
      <w:proofErr w:type="spellEnd"/>
      <w:r w:rsidRPr="00AF6295">
        <w:rPr>
          <w:rFonts w:ascii="Times New Roman" w:hAnsi="Times New Roman" w:cs="Times New Roman"/>
          <w:lang w:val="en-GB"/>
        </w:rPr>
        <w:t xml:space="preserve"> Lake. </w:t>
      </w:r>
      <w:r w:rsidRPr="00AF6295">
        <w:rPr>
          <w:rFonts w:ascii="Times New Roman" w:hAnsi="Times New Roman" w:cs="Times New Roman"/>
        </w:rPr>
        <w:t xml:space="preserve">Environmental Progress &amp; </w:t>
      </w:r>
      <w:proofErr w:type="spellStart"/>
      <w:r w:rsidRPr="00AF6295">
        <w:rPr>
          <w:rFonts w:ascii="Times New Roman" w:hAnsi="Times New Roman" w:cs="Times New Roman"/>
        </w:rPr>
        <w:t>Sustainable</w:t>
      </w:r>
      <w:proofErr w:type="spellEnd"/>
      <w:r w:rsidRPr="00AF6295">
        <w:rPr>
          <w:rFonts w:ascii="Times New Roman" w:hAnsi="Times New Roman" w:cs="Times New Roman"/>
        </w:rPr>
        <w:t xml:space="preserve"> Energy 42, e14160.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A70EF"/>
    <w:multiLevelType w:val="multilevel"/>
    <w:tmpl w:val="A968986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2D1F4CD5"/>
    <w:multiLevelType w:val="multilevel"/>
    <w:tmpl w:val="ADA07AAC"/>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15:restartNumberingAfterBreak="0">
    <w:nsid w:val="597E0AC2"/>
    <w:multiLevelType w:val="multilevel"/>
    <w:tmpl w:val="A9D61F0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16cid:durableId="939947096">
    <w:abstractNumId w:val="2"/>
  </w:num>
  <w:num w:numId="2" w16cid:durableId="429357496">
    <w:abstractNumId w:val="0"/>
  </w:num>
  <w:num w:numId="3" w16cid:durableId="12323461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Energy Policy&lt;/Style&gt;&lt;LeftDelim&gt;{&lt;/LeftDelim&gt;&lt;RightDelim&gt;}&lt;/RightDelim&gt;&lt;FontName&gt;Arial Nova Cond&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x9axdpd8a9t5eezwpdxvs92ezd0txatwwfe&quot;&gt;Library_BRu-Converted&lt;record-ids&gt;&lt;item&gt;11794&lt;/item&gt;&lt;/record-ids&gt;&lt;/item&gt;&lt;/Libraries&gt;"/>
  </w:docVars>
  <w:rsids>
    <w:rsidRoot w:val="00A02F82"/>
    <w:rsid w:val="00000815"/>
    <w:rsid w:val="00011269"/>
    <w:rsid w:val="000178C0"/>
    <w:rsid w:val="00065577"/>
    <w:rsid w:val="00085FD7"/>
    <w:rsid w:val="000B16AC"/>
    <w:rsid w:val="000B4D5D"/>
    <w:rsid w:val="001913CD"/>
    <w:rsid w:val="00192558"/>
    <w:rsid w:val="002377A8"/>
    <w:rsid w:val="00243D32"/>
    <w:rsid w:val="0025441C"/>
    <w:rsid w:val="00275663"/>
    <w:rsid w:val="002A0610"/>
    <w:rsid w:val="002D59DE"/>
    <w:rsid w:val="002E49BF"/>
    <w:rsid w:val="00365B55"/>
    <w:rsid w:val="00380A1D"/>
    <w:rsid w:val="00385C6B"/>
    <w:rsid w:val="003E6FAA"/>
    <w:rsid w:val="003F37C4"/>
    <w:rsid w:val="00400373"/>
    <w:rsid w:val="004230B9"/>
    <w:rsid w:val="004915C3"/>
    <w:rsid w:val="0049360E"/>
    <w:rsid w:val="004B405F"/>
    <w:rsid w:val="00534AA2"/>
    <w:rsid w:val="005420A7"/>
    <w:rsid w:val="00570601"/>
    <w:rsid w:val="00572EAA"/>
    <w:rsid w:val="005A5C33"/>
    <w:rsid w:val="00607D37"/>
    <w:rsid w:val="006B0662"/>
    <w:rsid w:val="006D31AB"/>
    <w:rsid w:val="006F4987"/>
    <w:rsid w:val="00750147"/>
    <w:rsid w:val="00764C13"/>
    <w:rsid w:val="007B5F02"/>
    <w:rsid w:val="007B6D53"/>
    <w:rsid w:val="007C6132"/>
    <w:rsid w:val="008070B3"/>
    <w:rsid w:val="00820CB0"/>
    <w:rsid w:val="0085110F"/>
    <w:rsid w:val="008736B6"/>
    <w:rsid w:val="008777A4"/>
    <w:rsid w:val="008973D7"/>
    <w:rsid w:val="008A2946"/>
    <w:rsid w:val="008C3716"/>
    <w:rsid w:val="008D1D95"/>
    <w:rsid w:val="008D6EE8"/>
    <w:rsid w:val="008D6EFE"/>
    <w:rsid w:val="00903466"/>
    <w:rsid w:val="009061FC"/>
    <w:rsid w:val="00932D43"/>
    <w:rsid w:val="009600D8"/>
    <w:rsid w:val="00A02F82"/>
    <w:rsid w:val="00A17829"/>
    <w:rsid w:val="00A37E14"/>
    <w:rsid w:val="00A44636"/>
    <w:rsid w:val="00AB5E01"/>
    <w:rsid w:val="00AC2282"/>
    <w:rsid w:val="00AE27E5"/>
    <w:rsid w:val="00AE3A16"/>
    <w:rsid w:val="00AF6295"/>
    <w:rsid w:val="00B9011E"/>
    <w:rsid w:val="00B96108"/>
    <w:rsid w:val="00C0187E"/>
    <w:rsid w:val="00C14A81"/>
    <w:rsid w:val="00C2563C"/>
    <w:rsid w:val="00C3231F"/>
    <w:rsid w:val="00C40251"/>
    <w:rsid w:val="00C64F34"/>
    <w:rsid w:val="00CD04F4"/>
    <w:rsid w:val="00D333AE"/>
    <w:rsid w:val="00D42F1E"/>
    <w:rsid w:val="00D46C0A"/>
    <w:rsid w:val="00D90562"/>
    <w:rsid w:val="00DA0C5F"/>
    <w:rsid w:val="00DC3C37"/>
    <w:rsid w:val="00DC7A09"/>
    <w:rsid w:val="00DD6B5F"/>
    <w:rsid w:val="00E11A81"/>
    <w:rsid w:val="00E35B2E"/>
    <w:rsid w:val="00E70CDE"/>
    <w:rsid w:val="00EC1A3D"/>
    <w:rsid w:val="00EC65EA"/>
    <w:rsid w:val="00ED28F7"/>
    <w:rsid w:val="00F710C3"/>
    <w:rsid w:val="00FA4B85"/>
    <w:rsid w:val="00FA57CA"/>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13DC79"/>
  <w15:chartTrackingRefBased/>
  <w15:docId w15:val="{22B0B227-31AF-4185-A960-32FD88AC6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41C"/>
    <w:pPr>
      <w:spacing w:after="0" w:line="360" w:lineRule="auto"/>
      <w:jc w:val="both"/>
    </w:pPr>
    <w:rPr>
      <w:rFonts w:ascii="Arial Nova Cond" w:hAnsi="Arial Nova Cond" w:cs="Tahoma"/>
    </w:rPr>
  </w:style>
  <w:style w:type="paragraph" w:styleId="Heading1">
    <w:name w:val="heading 1"/>
    <w:basedOn w:val="Normal"/>
    <w:next w:val="Normal"/>
    <w:link w:val="Heading1Char"/>
    <w:uiPriority w:val="9"/>
    <w:qFormat/>
    <w:rsid w:val="00A02F82"/>
    <w:pPr>
      <w:keepNext/>
      <w:keepLines/>
      <w:spacing w:before="360" w:after="80" w:line="259" w:lineRule="auto"/>
      <w:jc w:val="left"/>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02F82"/>
    <w:pPr>
      <w:keepNext/>
      <w:keepLines/>
      <w:spacing w:before="160" w:after="80" w:line="259" w:lineRule="auto"/>
      <w:jc w:val="left"/>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02F82"/>
    <w:pPr>
      <w:keepNext/>
      <w:keepLines/>
      <w:spacing w:before="160" w:after="80" w:line="259" w:lineRule="auto"/>
      <w:jc w:val="left"/>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02F82"/>
    <w:pPr>
      <w:keepNext/>
      <w:keepLines/>
      <w:spacing w:before="80" w:after="40" w:line="259" w:lineRule="auto"/>
      <w:jc w:val="left"/>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02F82"/>
    <w:pPr>
      <w:keepNext/>
      <w:keepLines/>
      <w:spacing w:before="80" w:after="40" w:line="259" w:lineRule="auto"/>
      <w:jc w:val="left"/>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02F82"/>
    <w:pPr>
      <w:keepNext/>
      <w:keepLines/>
      <w:spacing w:before="40" w:line="259" w:lineRule="auto"/>
      <w:jc w:val="left"/>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02F82"/>
    <w:pPr>
      <w:keepNext/>
      <w:keepLines/>
      <w:spacing w:before="40" w:line="259" w:lineRule="auto"/>
      <w:jc w:val="left"/>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02F82"/>
    <w:pPr>
      <w:keepNext/>
      <w:keepLines/>
      <w:spacing w:line="259" w:lineRule="auto"/>
      <w:jc w:val="left"/>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02F82"/>
    <w:pPr>
      <w:keepNext/>
      <w:keepLines/>
      <w:spacing w:line="259" w:lineRule="auto"/>
      <w:jc w:val="left"/>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2F8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02F8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02F8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02F8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02F8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02F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2F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2F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2F82"/>
    <w:rPr>
      <w:rFonts w:eastAsiaTheme="majorEastAsia" w:cstheme="majorBidi"/>
      <w:color w:val="272727" w:themeColor="text1" w:themeTint="D8"/>
    </w:rPr>
  </w:style>
  <w:style w:type="paragraph" w:styleId="Title">
    <w:name w:val="Title"/>
    <w:basedOn w:val="Normal"/>
    <w:next w:val="Normal"/>
    <w:link w:val="TitleChar"/>
    <w:uiPriority w:val="10"/>
    <w:qFormat/>
    <w:rsid w:val="00A02F82"/>
    <w:pPr>
      <w:spacing w:after="80" w:line="240" w:lineRule="auto"/>
      <w:contextualSpacing/>
      <w:jc w:val="left"/>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2F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2F82"/>
    <w:pPr>
      <w:numPr>
        <w:ilvl w:val="1"/>
      </w:numPr>
      <w:spacing w:after="160" w:line="259" w:lineRule="auto"/>
      <w:jc w:val="left"/>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2F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2F82"/>
    <w:pPr>
      <w:spacing w:before="160" w:after="160" w:line="259" w:lineRule="auto"/>
      <w:jc w:val="center"/>
    </w:pPr>
    <w:rPr>
      <w:rFonts w:asciiTheme="minorHAnsi" w:hAnsiTheme="minorHAnsi" w:cstheme="minorBidi"/>
      <w:i/>
      <w:iCs/>
      <w:color w:val="404040" w:themeColor="text1" w:themeTint="BF"/>
    </w:rPr>
  </w:style>
  <w:style w:type="character" w:customStyle="1" w:styleId="QuoteChar">
    <w:name w:val="Quote Char"/>
    <w:basedOn w:val="DefaultParagraphFont"/>
    <w:link w:val="Quote"/>
    <w:uiPriority w:val="29"/>
    <w:rsid w:val="00A02F82"/>
    <w:rPr>
      <w:i/>
      <w:iCs/>
      <w:color w:val="404040" w:themeColor="text1" w:themeTint="BF"/>
    </w:rPr>
  </w:style>
  <w:style w:type="paragraph" w:styleId="ListParagraph">
    <w:name w:val="List Paragraph"/>
    <w:basedOn w:val="Normal"/>
    <w:uiPriority w:val="34"/>
    <w:qFormat/>
    <w:rsid w:val="00A02F82"/>
    <w:pPr>
      <w:spacing w:after="160" w:line="259" w:lineRule="auto"/>
      <w:ind w:left="720"/>
      <w:contextualSpacing/>
      <w:jc w:val="left"/>
    </w:pPr>
    <w:rPr>
      <w:rFonts w:asciiTheme="minorHAnsi" w:hAnsiTheme="minorHAnsi" w:cstheme="minorBidi"/>
    </w:rPr>
  </w:style>
  <w:style w:type="character" w:styleId="IntenseEmphasis">
    <w:name w:val="Intense Emphasis"/>
    <w:basedOn w:val="DefaultParagraphFont"/>
    <w:uiPriority w:val="21"/>
    <w:qFormat/>
    <w:rsid w:val="00A02F82"/>
    <w:rPr>
      <w:i/>
      <w:iCs/>
      <w:color w:val="2F5496" w:themeColor="accent1" w:themeShade="BF"/>
    </w:rPr>
  </w:style>
  <w:style w:type="paragraph" w:styleId="IntenseQuote">
    <w:name w:val="Intense Quote"/>
    <w:basedOn w:val="Normal"/>
    <w:next w:val="Normal"/>
    <w:link w:val="IntenseQuoteChar"/>
    <w:uiPriority w:val="30"/>
    <w:qFormat/>
    <w:rsid w:val="00A02F82"/>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hAnsiTheme="minorHAnsi" w:cstheme="minorBidi"/>
      <w:i/>
      <w:iCs/>
      <w:color w:val="2F5496" w:themeColor="accent1" w:themeShade="BF"/>
    </w:rPr>
  </w:style>
  <w:style w:type="character" w:customStyle="1" w:styleId="IntenseQuoteChar">
    <w:name w:val="Intense Quote Char"/>
    <w:basedOn w:val="DefaultParagraphFont"/>
    <w:link w:val="IntenseQuote"/>
    <w:uiPriority w:val="30"/>
    <w:rsid w:val="00A02F82"/>
    <w:rPr>
      <w:i/>
      <w:iCs/>
      <w:color w:val="2F5496" w:themeColor="accent1" w:themeShade="BF"/>
    </w:rPr>
  </w:style>
  <w:style w:type="character" w:styleId="IntenseReference">
    <w:name w:val="Intense Reference"/>
    <w:basedOn w:val="DefaultParagraphFont"/>
    <w:uiPriority w:val="32"/>
    <w:qFormat/>
    <w:rsid w:val="00A02F82"/>
    <w:rPr>
      <w:b/>
      <w:bCs/>
      <w:smallCaps/>
      <w:color w:val="2F5496" w:themeColor="accent1" w:themeShade="BF"/>
      <w:spacing w:val="5"/>
    </w:rPr>
  </w:style>
  <w:style w:type="character" w:styleId="LineNumber">
    <w:name w:val="line number"/>
    <w:basedOn w:val="DefaultParagraphFont"/>
    <w:uiPriority w:val="99"/>
    <w:semiHidden/>
    <w:unhideWhenUsed/>
    <w:rsid w:val="00A02F82"/>
  </w:style>
  <w:style w:type="paragraph" w:customStyle="1" w:styleId="TextMonsanto">
    <w:name w:val="Text Monsanto"/>
    <w:basedOn w:val="Normal"/>
    <w:link w:val="TextMonsantoChar"/>
    <w:qFormat/>
    <w:rsid w:val="0025441C"/>
    <w:rPr>
      <w:lang w:val="it-IT"/>
    </w:rPr>
  </w:style>
  <w:style w:type="character" w:customStyle="1" w:styleId="TextMonsantoChar">
    <w:name w:val="Text Monsanto Char"/>
    <w:basedOn w:val="DefaultParagraphFont"/>
    <w:link w:val="TextMonsanto"/>
    <w:rsid w:val="0025441C"/>
    <w:rPr>
      <w:rFonts w:ascii="Arial Nova Cond" w:hAnsi="Arial Nova Cond" w:cs="Tahoma"/>
      <w:lang w:val="it-IT"/>
    </w:rPr>
  </w:style>
  <w:style w:type="table" w:styleId="TableGrid">
    <w:name w:val="Table Grid"/>
    <w:basedOn w:val="TableNormal"/>
    <w:uiPriority w:val="39"/>
    <w:rsid w:val="000B16AC"/>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B16AC"/>
    <w:rPr>
      <w:color w:val="0563C1" w:themeColor="hyperlink"/>
      <w:u w:val="single"/>
    </w:rPr>
  </w:style>
  <w:style w:type="paragraph" w:styleId="FootnoteText">
    <w:name w:val="footnote text"/>
    <w:basedOn w:val="Normal"/>
    <w:link w:val="FootnoteTextChar"/>
    <w:uiPriority w:val="99"/>
    <w:unhideWhenUsed/>
    <w:rsid w:val="000B16AC"/>
    <w:pPr>
      <w:spacing w:line="240" w:lineRule="auto"/>
    </w:pPr>
    <w:rPr>
      <w:sz w:val="20"/>
      <w:szCs w:val="20"/>
      <w:lang w:val="it-IT"/>
    </w:rPr>
  </w:style>
  <w:style w:type="character" w:customStyle="1" w:styleId="FootnoteTextChar">
    <w:name w:val="Footnote Text Char"/>
    <w:basedOn w:val="DefaultParagraphFont"/>
    <w:link w:val="FootnoteText"/>
    <w:uiPriority w:val="99"/>
    <w:rsid w:val="000B16AC"/>
    <w:rPr>
      <w:rFonts w:ascii="Arial Nova Cond" w:hAnsi="Arial Nova Cond" w:cs="Tahoma"/>
      <w:sz w:val="20"/>
      <w:szCs w:val="20"/>
      <w:lang w:val="it-IT"/>
    </w:rPr>
  </w:style>
  <w:style w:type="character" w:styleId="FootnoteReference">
    <w:name w:val="footnote reference"/>
    <w:basedOn w:val="DefaultParagraphFont"/>
    <w:uiPriority w:val="99"/>
    <w:semiHidden/>
    <w:unhideWhenUsed/>
    <w:rsid w:val="000B16AC"/>
    <w:rPr>
      <w:vertAlign w:val="superscript"/>
    </w:rPr>
  </w:style>
  <w:style w:type="paragraph" w:customStyle="1" w:styleId="Heading2Arillo">
    <w:name w:val="Heading 2 Arillo"/>
    <w:basedOn w:val="Normal"/>
    <w:link w:val="Heading2ArilloChar"/>
    <w:qFormat/>
    <w:rsid w:val="000B16AC"/>
    <w:pPr>
      <w:spacing w:before="480" w:after="240"/>
      <w:ind w:left="567"/>
    </w:pPr>
    <w:rPr>
      <w:rFonts w:ascii="Times New Roman" w:hAnsi="Times New Roman"/>
      <w:b/>
      <w:bCs/>
      <w:sz w:val="28"/>
      <w:lang w:val="it-IT"/>
    </w:rPr>
  </w:style>
  <w:style w:type="paragraph" w:customStyle="1" w:styleId="Heading3Arillo">
    <w:name w:val="Heading 3 Arillo"/>
    <w:basedOn w:val="Heading2Arillo"/>
    <w:link w:val="Heading3ArilloChar"/>
    <w:qFormat/>
    <w:rsid w:val="000B16AC"/>
    <w:pPr>
      <w:ind w:left="0"/>
    </w:pPr>
    <w:rPr>
      <w:sz w:val="24"/>
      <w:szCs w:val="20"/>
    </w:rPr>
  </w:style>
  <w:style w:type="character" w:customStyle="1" w:styleId="Heading2ArilloChar">
    <w:name w:val="Heading 2 Arillo Char"/>
    <w:basedOn w:val="DefaultParagraphFont"/>
    <w:link w:val="Heading2Arillo"/>
    <w:rsid w:val="000B16AC"/>
    <w:rPr>
      <w:rFonts w:ascii="Times New Roman" w:hAnsi="Times New Roman" w:cs="Tahoma"/>
      <w:b/>
      <w:bCs/>
      <w:sz w:val="28"/>
      <w:lang w:val="it-IT"/>
    </w:rPr>
  </w:style>
  <w:style w:type="character" w:customStyle="1" w:styleId="Heading3ArilloChar">
    <w:name w:val="Heading 3 Arillo Char"/>
    <w:basedOn w:val="Heading2ArilloChar"/>
    <w:link w:val="Heading3Arillo"/>
    <w:rsid w:val="000B16AC"/>
    <w:rPr>
      <w:rFonts w:ascii="Times New Roman" w:hAnsi="Times New Roman" w:cs="Tahoma"/>
      <w:b/>
      <w:bCs/>
      <w:sz w:val="24"/>
      <w:szCs w:val="20"/>
      <w:lang w:val="it-IT"/>
    </w:rPr>
  </w:style>
  <w:style w:type="character" w:styleId="UnresolvedMention">
    <w:name w:val="Unresolved Mention"/>
    <w:basedOn w:val="DefaultParagraphFont"/>
    <w:uiPriority w:val="99"/>
    <w:semiHidden/>
    <w:unhideWhenUsed/>
    <w:rsid w:val="00192558"/>
    <w:rPr>
      <w:color w:val="605E5C"/>
      <w:shd w:val="clear" w:color="auto" w:fill="E1DFDD"/>
    </w:rPr>
  </w:style>
  <w:style w:type="paragraph" w:customStyle="1" w:styleId="EndNoteBibliographyTitle">
    <w:name w:val="EndNote Bibliography Title"/>
    <w:basedOn w:val="Normal"/>
    <w:link w:val="EndNoteBibliographyTitleChar"/>
    <w:rsid w:val="00243D32"/>
    <w:pPr>
      <w:jc w:val="center"/>
    </w:pPr>
    <w:rPr>
      <w:noProof/>
      <w:lang w:val="en-US"/>
    </w:rPr>
  </w:style>
  <w:style w:type="character" w:customStyle="1" w:styleId="EndNoteBibliographyTitleChar">
    <w:name w:val="EndNote Bibliography Title Char"/>
    <w:basedOn w:val="TextMonsantoChar"/>
    <w:link w:val="EndNoteBibliographyTitle"/>
    <w:rsid w:val="00243D32"/>
    <w:rPr>
      <w:rFonts w:ascii="Arial Nova Cond" w:hAnsi="Arial Nova Cond" w:cs="Tahoma"/>
      <w:noProof/>
      <w:lang w:val="en-US"/>
    </w:rPr>
  </w:style>
  <w:style w:type="paragraph" w:customStyle="1" w:styleId="EndNoteBibliography">
    <w:name w:val="EndNote Bibliography"/>
    <w:basedOn w:val="Normal"/>
    <w:link w:val="EndNoteBibliographyChar"/>
    <w:rsid w:val="00243D32"/>
    <w:pPr>
      <w:spacing w:line="240" w:lineRule="auto"/>
    </w:pPr>
    <w:rPr>
      <w:noProof/>
      <w:lang w:val="en-US"/>
    </w:rPr>
  </w:style>
  <w:style w:type="character" w:customStyle="1" w:styleId="EndNoteBibliographyChar">
    <w:name w:val="EndNote Bibliography Char"/>
    <w:basedOn w:val="TextMonsantoChar"/>
    <w:link w:val="EndNoteBibliography"/>
    <w:rsid w:val="00243D32"/>
    <w:rPr>
      <w:rFonts w:ascii="Arial Nova Cond" w:hAnsi="Arial Nova Cond" w:cs="Tahoma"/>
      <w:noProof/>
      <w:lang w:val="en-US"/>
    </w:rPr>
  </w:style>
  <w:style w:type="character" w:styleId="FollowedHyperlink">
    <w:name w:val="FollowedHyperlink"/>
    <w:basedOn w:val="DefaultParagraphFont"/>
    <w:uiPriority w:val="99"/>
    <w:semiHidden/>
    <w:unhideWhenUsed/>
    <w:rsid w:val="00DA0C5F"/>
    <w:rPr>
      <w:color w:val="954F72" w:themeColor="followedHyperlink"/>
      <w:u w:val="single"/>
    </w:rPr>
  </w:style>
  <w:style w:type="paragraph" w:customStyle="1" w:styleId="Heading1Arillo">
    <w:name w:val="Heading 1 Arillo"/>
    <w:basedOn w:val="Normal"/>
    <w:link w:val="Heading1ArilloChar"/>
    <w:qFormat/>
    <w:rsid w:val="00C2563C"/>
    <w:pPr>
      <w:spacing w:before="480" w:after="240"/>
    </w:pPr>
    <w:rPr>
      <w:rFonts w:ascii="Times New Roman" w:hAnsi="Times New Roman"/>
      <w:b/>
      <w:bCs/>
      <w:sz w:val="32"/>
      <w:szCs w:val="24"/>
      <w:lang w:val="it-IT"/>
    </w:rPr>
  </w:style>
  <w:style w:type="character" w:customStyle="1" w:styleId="Heading1ArilloChar">
    <w:name w:val="Heading 1 Arillo Char"/>
    <w:basedOn w:val="DefaultParagraphFont"/>
    <w:link w:val="Heading1Arillo"/>
    <w:rsid w:val="00C2563C"/>
    <w:rPr>
      <w:rFonts w:ascii="Times New Roman" w:hAnsi="Times New Roman" w:cs="Tahoma"/>
      <w:b/>
      <w:bCs/>
      <w:sz w:val="32"/>
      <w:szCs w:val="24"/>
      <w:lang w:val="it-IT"/>
    </w:rPr>
  </w:style>
  <w:style w:type="paragraph" w:customStyle="1" w:styleId="TextArillo">
    <w:name w:val="Text Arillo"/>
    <w:basedOn w:val="Normal"/>
    <w:link w:val="TextArilloChar"/>
    <w:qFormat/>
    <w:rsid w:val="00C2563C"/>
    <w:pPr>
      <w:spacing w:line="480" w:lineRule="auto"/>
    </w:pPr>
    <w:rPr>
      <w:rFonts w:ascii="Times New Roman" w:hAnsi="Times New Roman"/>
      <w:lang w:val="it-IT"/>
    </w:rPr>
  </w:style>
  <w:style w:type="character" w:customStyle="1" w:styleId="TextArilloChar">
    <w:name w:val="Text Arillo Char"/>
    <w:basedOn w:val="DefaultParagraphFont"/>
    <w:link w:val="TextArillo"/>
    <w:rsid w:val="00C2563C"/>
    <w:rPr>
      <w:rFonts w:ascii="Times New Roman" w:hAnsi="Times New Roman" w:cs="Tahoma"/>
      <w:lang w:val="it-IT"/>
    </w:rPr>
  </w:style>
  <w:style w:type="paragraph" w:styleId="Header">
    <w:name w:val="header"/>
    <w:basedOn w:val="Normal"/>
    <w:link w:val="HeaderChar"/>
    <w:uiPriority w:val="99"/>
    <w:unhideWhenUsed/>
    <w:rsid w:val="00C0187E"/>
    <w:pPr>
      <w:tabs>
        <w:tab w:val="center" w:pos="4819"/>
        <w:tab w:val="right" w:pos="9638"/>
      </w:tabs>
      <w:spacing w:line="240" w:lineRule="auto"/>
    </w:pPr>
  </w:style>
  <w:style w:type="character" w:customStyle="1" w:styleId="HeaderChar">
    <w:name w:val="Header Char"/>
    <w:basedOn w:val="DefaultParagraphFont"/>
    <w:link w:val="Header"/>
    <w:uiPriority w:val="99"/>
    <w:rsid w:val="00C0187E"/>
    <w:rPr>
      <w:rFonts w:ascii="Arial Nova Cond" w:hAnsi="Arial Nova Cond" w:cs="Tahoma"/>
    </w:rPr>
  </w:style>
  <w:style w:type="paragraph" w:styleId="Footer">
    <w:name w:val="footer"/>
    <w:basedOn w:val="Normal"/>
    <w:link w:val="FooterChar"/>
    <w:uiPriority w:val="99"/>
    <w:unhideWhenUsed/>
    <w:rsid w:val="00C0187E"/>
    <w:pPr>
      <w:tabs>
        <w:tab w:val="center" w:pos="4819"/>
        <w:tab w:val="right" w:pos="9638"/>
      </w:tabs>
      <w:spacing w:line="240" w:lineRule="auto"/>
    </w:pPr>
  </w:style>
  <w:style w:type="character" w:customStyle="1" w:styleId="FooterChar">
    <w:name w:val="Footer Char"/>
    <w:basedOn w:val="DefaultParagraphFont"/>
    <w:link w:val="Footer"/>
    <w:uiPriority w:val="99"/>
    <w:rsid w:val="00C0187E"/>
    <w:rPr>
      <w:rFonts w:ascii="Arial Nova Cond" w:hAnsi="Arial Nova Cond"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blioproxy.cnr.it:2270/doi/10.1002/csr.2706" TargetMode="External"/><Relationship Id="rId13" Type="http://schemas.openxmlformats.org/officeDocument/2006/relationships/image" Target="media/image5.jpeg"/><Relationship Id="rId18" Type="http://schemas.openxmlformats.org/officeDocument/2006/relationships/hyperlink" Target="https://www.zonin1821.com/app/uploads/2021/10/Bilancio-di-Sostenibilita%CC%80-Castello-di-Abola-2020-2021.04.15-Post-Audit.pdf" TargetMode="External"/><Relationship Id="rId3" Type="http://schemas.openxmlformats.org/officeDocument/2006/relationships/styles" Target="styles.xml"/><Relationship Id="rId21" Type="http://schemas.openxmlformats.org/officeDocument/2006/relationships/hyperlink" Target="https://doi.org/10.1108/IJWBR-03-2024-0009"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www.produttoridimanduria.it/wp-content/uploads/2021/03/Bilancio%20di%20Sostenibilita%CC%80%20PdM%202020_web.pdf"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zonin1821.com/app/uploads/2021/10/Bilancio-di-Sostenibilita&#768;-Rocca-Montemassi-2020-2021.04.15-Post-Audit.pdf" TargetMode="External"/><Relationship Id="rId20" Type="http://schemas.openxmlformats.org/officeDocument/2006/relationships/hyperlink" Target="https://www.maremmaterradivini.com/wp-content/uploads/2018/09/Bilancio-Podere-San-Cristoforo-2018.02.15.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www.riccicurbastro.it/wp-content/uploads/2021/07/bilancio_sostenibilita_2020-ITA.pdf"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hyperlink" Target="https://doi.org/10.1016/J.AGEE.2024.108982"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ipcc.ch/report/ar6/wg1/downloads/report/IPCC_AR6_WGI_FullReport.pdf" TargetMode="External"/><Relationship Id="rId3" Type="http://schemas.openxmlformats.org/officeDocument/2006/relationships/hyperlink" Target="https://www.rivm.nl/en/life-cycle-assessment-lca/recipe" TargetMode="External"/><Relationship Id="rId7" Type="http://schemas.openxmlformats.org/officeDocument/2006/relationships/hyperlink" Target="https://www.oiv.int/node/2847" TargetMode="External"/><Relationship Id="rId12" Type="http://schemas.openxmlformats.org/officeDocument/2006/relationships/hyperlink" Target="https://usetox.org/sites/default/files/assets/USEtox_Documentation.pdf" TargetMode="External"/><Relationship Id="rId2" Type="http://schemas.openxmlformats.org/officeDocument/2006/relationships/hyperlink" Target="https://www.universiteitleiden.nl/en/research/research-output/science/cml-ia-characterisation-factors" TargetMode="External"/><Relationship Id="rId1" Type="http://schemas.openxmlformats.org/officeDocument/2006/relationships/hyperlink" Target="https://eplca.jrc.ec.europa.eu/LCDN/developerEF.html" TargetMode="External"/><Relationship Id="rId6" Type="http://schemas.openxmlformats.org/officeDocument/2006/relationships/hyperlink" Target="https://www.iso.org/standard/66453.html" TargetMode="External"/><Relationship Id="rId11" Type="http://schemas.openxmlformats.org/officeDocument/2006/relationships/hyperlink" Target="https://www.scribd.com/document/159939753/IMPACT2002-UserGuide-for-vQ2-2" TargetMode="External"/><Relationship Id="rId5" Type="http://schemas.openxmlformats.org/officeDocument/2006/relationships/hyperlink" Target="https://www.equalitas.it/en/" TargetMode="External"/><Relationship Id="rId10" Type="http://schemas.openxmlformats.org/officeDocument/2006/relationships/hyperlink" Target="https://waterfootprint.org/" TargetMode="External"/><Relationship Id="rId4" Type="http://schemas.openxmlformats.org/officeDocument/2006/relationships/hyperlink" Target="https://www.openlca.org/download/" TargetMode="External"/><Relationship Id="rId9" Type="http://schemas.openxmlformats.org/officeDocument/2006/relationships/hyperlink" Target="https://www.iso.org/standard/43263.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5583B26BF0140A39B291DF05DA51CD9"/>
        <w:category>
          <w:name w:val="General"/>
          <w:gallery w:val="placeholder"/>
        </w:category>
        <w:types>
          <w:type w:val="bbPlcHdr"/>
        </w:types>
        <w:behaviors>
          <w:behavior w:val="content"/>
        </w:behaviors>
        <w:guid w:val="{EBB7C8D9-C973-4F83-9C9B-9DAD346B4440}"/>
      </w:docPartPr>
      <w:docPartBody>
        <w:p w:rsidR="008A74A8" w:rsidRDefault="00F30EE8" w:rsidP="00F30EE8">
          <w:pPr>
            <w:pStyle w:val="35583B26BF0140A39B291DF05DA51CD9"/>
          </w:pPr>
          <w:r w:rsidRPr="00EA195F">
            <w:rPr>
              <w:rStyle w:val="PlaceholderText"/>
            </w:rPr>
            <w:t>Click or tap here to enter text.</w:t>
          </w:r>
        </w:p>
      </w:docPartBody>
    </w:docPart>
    <w:docPart>
      <w:docPartPr>
        <w:name w:val="C2E4205E0DC0415485CA64A958822F2A"/>
        <w:category>
          <w:name w:val="General"/>
          <w:gallery w:val="placeholder"/>
        </w:category>
        <w:types>
          <w:type w:val="bbPlcHdr"/>
        </w:types>
        <w:behaviors>
          <w:behavior w:val="content"/>
        </w:behaviors>
        <w:guid w:val="{3683FC29-6A9F-46DC-A4B8-7626901C7024}"/>
      </w:docPartPr>
      <w:docPartBody>
        <w:p w:rsidR="008A74A8" w:rsidRDefault="00F30EE8" w:rsidP="00F30EE8">
          <w:pPr>
            <w:pStyle w:val="C2E4205E0DC0415485CA64A958822F2A"/>
          </w:pPr>
          <w:r w:rsidRPr="00EA195F">
            <w:rPr>
              <w:rStyle w:val="PlaceholderText"/>
            </w:rPr>
            <w:t>Click or tap here to enter text.</w:t>
          </w:r>
        </w:p>
      </w:docPartBody>
    </w:docPart>
    <w:docPart>
      <w:docPartPr>
        <w:name w:val="A64755DE201A48D38919038DB64E3FC8"/>
        <w:category>
          <w:name w:val="General"/>
          <w:gallery w:val="placeholder"/>
        </w:category>
        <w:types>
          <w:type w:val="bbPlcHdr"/>
        </w:types>
        <w:behaviors>
          <w:behavior w:val="content"/>
        </w:behaviors>
        <w:guid w:val="{B2A6442D-AE72-42BC-BE1E-7CB1466B164C}"/>
      </w:docPartPr>
      <w:docPartBody>
        <w:p w:rsidR="008A74A8" w:rsidRDefault="00F30EE8" w:rsidP="00F30EE8">
          <w:pPr>
            <w:pStyle w:val="A64755DE201A48D38919038DB64E3FC8"/>
          </w:pPr>
          <w:r w:rsidRPr="00EA195F">
            <w:rPr>
              <w:rStyle w:val="PlaceholderText"/>
            </w:rPr>
            <w:t>Click or tap here to enter text.</w:t>
          </w:r>
        </w:p>
      </w:docPartBody>
    </w:docPart>
    <w:docPart>
      <w:docPartPr>
        <w:name w:val="5463D7B6B048491CB8F7DCE49A1E4E19"/>
        <w:category>
          <w:name w:val="General"/>
          <w:gallery w:val="placeholder"/>
        </w:category>
        <w:types>
          <w:type w:val="bbPlcHdr"/>
        </w:types>
        <w:behaviors>
          <w:behavior w:val="content"/>
        </w:behaviors>
        <w:guid w:val="{E952A034-C751-4AD8-B24D-0560202BEC56}"/>
      </w:docPartPr>
      <w:docPartBody>
        <w:p w:rsidR="008A74A8" w:rsidRDefault="00F30EE8" w:rsidP="00F30EE8">
          <w:pPr>
            <w:pStyle w:val="5463D7B6B048491CB8F7DCE49A1E4E19"/>
          </w:pPr>
          <w:r w:rsidRPr="00D4671D">
            <w:rPr>
              <w:rStyle w:val="PlaceholderText"/>
            </w:rPr>
            <w:t>Click or tap here to enter text.</w:t>
          </w:r>
        </w:p>
      </w:docPartBody>
    </w:docPart>
    <w:docPart>
      <w:docPartPr>
        <w:name w:val="96031150041546C585B460703E1909F8"/>
        <w:category>
          <w:name w:val="General"/>
          <w:gallery w:val="placeholder"/>
        </w:category>
        <w:types>
          <w:type w:val="bbPlcHdr"/>
        </w:types>
        <w:behaviors>
          <w:behavior w:val="content"/>
        </w:behaviors>
        <w:guid w:val="{B2ED1E67-BC1D-4227-AC90-B6A6191B999D}"/>
      </w:docPartPr>
      <w:docPartBody>
        <w:p w:rsidR="008A74A8" w:rsidRDefault="00F30EE8" w:rsidP="00F30EE8">
          <w:pPr>
            <w:pStyle w:val="96031150041546C585B460703E1909F8"/>
          </w:pPr>
          <w:r w:rsidRPr="00D4671D">
            <w:rPr>
              <w:rStyle w:val="PlaceholderText"/>
            </w:rPr>
            <w:t>Click or tap here to enter text.</w:t>
          </w:r>
        </w:p>
      </w:docPartBody>
    </w:docPart>
    <w:docPart>
      <w:docPartPr>
        <w:name w:val="F375640A81644034B8A0546FE0995E22"/>
        <w:category>
          <w:name w:val="General"/>
          <w:gallery w:val="placeholder"/>
        </w:category>
        <w:types>
          <w:type w:val="bbPlcHdr"/>
        </w:types>
        <w:behaviors>
          <w:behavior w:val="content"/>
        </w:behaviors>
        <w:guid w:val="{4AC3960C-BD2A-4F17-A7D7-C5466633CAE5}"/>
      </w:docPartPr>
      <w:docPartBody>
        <w:p w:rsidR="008A74A8" w:rsidRDefault="00F30EE8" w:rsidP="00F30EE8">
          <w:pPr>
            <w:pStyle w:val="F375640A81644034B8A0546FE0995E22"/>
          </w:pPr>
          <w:r w:rsidRPr="00AB16F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Calibri"/>
    <w:panose1 w:val="05010000000000000000"/>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Cond">
    <w:charset w:val="00"/>
    <w:family w:val="swiss"/>
    <w:pitch w:val="variable"/>
    <w:sig w:usb0="0000028F"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EE8"/>
    <w:rsid w:val="000C1A24"/>
    <w:rsid w:val="000D6860"/>
    <w:rsid w:val="004C17BA"/>
    <w:rsid w:val="008A2946"/>
    <w:rsid w:val="008A74A8"/>
    <w:rsid w:val="00DC3C37"/>
    <w:rsid w:val="00EC65EA"/>
    <w:rsid w:val="00F30E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30EE8"/>
    <w:rPr>
      <w:color w:val="666666"/>
    </w:rPr>
  </w:style>
  <w:style w:type="paragraph" w:customStyle="1" w:styleId="35583B26BF0140A39B291DF05DA51CD9">
    <w:name w:val="35583B26BF0140A39B291DF05DA51CD9"/>
    <w:rsid w:val="00F30EE8"/>
  </w:style>
  <w:style w:type="paragraph" w:customStyle="1" w:styleId="C2E4205E0DC0415485CA64A958822F2A">
    <w:name w:val="C2E4205E0DC0415485CA64A958822F2A"/>
    <w:rsid w:val="00F30EE8"/>
  </w:style>
  <w:style w:type="paragraph" w:customStyle="1" w:styleId="A64755DE201A48D38919038DB64E3FC8">
    <w:name w:val="A64755DE201A48D38919038DB64E3FC8"/>
    <w:rsid w:val="00F30EE8"/>
  </w:style>
  <w:style w:type="paragraph" w:customStyle="1" w:styleId="5463D7B6B048491CB8F7DCE49A1E4E19">
    <w:name w:val="5463D7B6B048491CB8F7DCE49A1E4E19"/>
    <w:rsid w:val="00F30EE8"/>
  </w:style>
  <w:style w:type="paragraph" w:customStyle="1" w:styleId="96031150041546C585B460703E1909F8">
    <w:name w:val="96031150041546C585B460703E1909F8"/>
    <w:rsid w:val="00F30EE8"/>
  </w:style>
  <w:style w:type="paragraph" w:customStyle="1" w:styleId="F375640A81644034B8A0546FE0995E22">
    <w:name w:val="F375640A81644034B8A0546FE0995E22"/>
    <w:rsid w:val="00F30EE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CDBAB9-0D59-4FEB-9910-BE57514AE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467</TotalTime>
  <Pages>25</Pages>
  <Words>9369</Words>
  <Characters>53406</Characters>
  <Application>Microsoft Office Word</Application>
  <DocSecurity>0</DocSecurity>
  <Lines>445</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BENEDETTO RUGANI</dc:creator>
  <cp:keywords/>
  <dc:description/>
  <cp:lastModifiedBy>Niccolò Renzi</cp:lastModifiedBy>
  <cp:revision>39</cp:revision>
  <dcterms:created xsi:type="dcterms:W3CDTF">2025-08-12T15:37:00Z</dcterms:created>
  <dcterms:modified xsi:type="dcterms:W3CDTF">2026-09-17T09:18:00Z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554474be-182f-436b-9342-3d905e911686</vt:lpwstr>
  </property>
</Properties>
</file>