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AE0A9" w14:textId="77777777" w:rsidR="00C47661" w:rsidRPr="00C47661" w:rsidRDefault="00C47661" w:rsidP="00C47661">
      <w:pPr>
        <w:pStyle w:val="Ttulo2"/>
        <w:rPr>
          <w:rFonts w:ascii="Arial" w:hAnsi="Arial" w:cs="Arial"/>
          <w:sz w:val="20"/>
        </w:rPr>
      </w:pPr>
      <w:r>
        <w:t>Supplementary Information</w:t>
      </w:r>
    </w:p>
    <w:p w14:paraId="0D897449" w14:textId="77777777" w:rsidR="000C10BB" w:rsidRPr="004E4E2D" w:rsidRDefault="000C10BB" w:rsidP="000C10BB">
      <w:pPr>
        <w:rPr>
          <w:rFonts w:cs="Times New Roman"/>
          <w:rPrChange w:id="0" w:author="Giammauro Soriano" w:date="2026-09-23T11:48:00Z" w16du:dateUtc="2026-09-23T09:48:00Z">
            <w:rPr>
              <w:rFonts w:cs="Times New Roman"/>
              <w:lang w:val="es-ES"/>
            </w:rPr>
          </w:rPrChange>
        </w:rPr>
      </w:pPr>
      <w:r w:rsidRPr="004E4E2D">
        <w:rPr>
          <w:rFonts w:cs="Times New Roman"/>
          <w:b/>
          <w:bCs/>
          <w:rPrChange w:id="1" w:author="Giammauro Soriano" w:date="2026-09-23T11:48:00Z" w16du:dateUtc="2026-09-23T09:48:00Z">
            <w:rPr>
              <w:rFonts w:cs="Times New Roman"/>
              <w:b/>
              <w:bCs/>
              <w:lang w:val="es-ES"/>
            </w:rPr>
          </w:rPrChange>
        </w:rPr>
        <w:t>Tackling water theft: an empirical framework for compliance-inducing penalties under uncertainty</w:t>
      </w:r>
    </w:p>
    <w:p w14:paraId="6D3ED388" w14:textId="77777777" w:rsidR="000C10BB" w:rsidRDefault="000C10BB" w:rsidP="000C10BB">
      <w:pPr>
        <w:rPr>
          <w:rFonts w:cs="Times New Roman"/>
          <w:lang w:val="es-ES"/>
        </w:rPr>
      </w:pPr>
      <w:r>
        <w:rPr>
          <w:rFonts w:cs="Times New Roman"/>
          <w:lang w:val="es-ES"/>
        </w:rPr>
        <w:t xml:space="preserve">Giammauro Soriano </w:t>
      </w:r>
      <w:r>
        <w:rPr>
          <w:rFonts w:cs="Times New Roman"/>
          <w:vertAlign w:val="superscript"/>
          <w:lang w:val="es-ES"/>
        </w:rPr>
        <w:t>1,2</w:t>
      </w:r>
      <w:r>
        <w:rPr>
          <w:rFonts w:cs="Times New Roman"/>
          <w:lang w:val="es-ES"/>
        </w:rPr>
        <w:t xml:space="preserve">, Noureddine Bouzidi </w:t>
      </w:r>
      <w:r>
        <w:rPr>
          <w:rFonts w:cs="Times New Roman"/>
          <w:vertAlign w:val="superscript"/>
          <w:lang w:val="es-ES"/>
        </w:rPr>
        <w:t>1, 3</w:t>
      </w:r>
      <w:r>
        <w:rPr>
          <w:rFonts w:cs="Times New Roman"/>
          <w:lang w:val="es-ES"/>
        </w:rPr>
        <w:t xml:space="preserve">, Manuel Bea Martínez </w:t>
      </w:r>
      <w:r>
        <w:rPr>
          <w:rFonts w:cs="Times New Roman"/>
          <w:vertAlign w:val="superscript"/>
          <w:lang w:val="es-ES"/>
        </w:rPr>
        <w:t>4</w:t>
      </w:r>
      <w:r>
        <w:rPr>
          <w:rFonts w:cs="Times New Roman"/>
          <w:lang w:val="es-ES"/>
        </w:rPr>
        <w:t xml:space="preserve">, C. Dionisio Pérez-Blanco </w:t>
      </w:r>
      <w:r>
        <w:rPr>
          <w:rFonts w:cs="Times New Roman"/>
          <w:vertAlign w:val="superscript"/>
          <w:lang w:val="es-ES"/>
        </w:rPr>
        <w:t>1,5</w:t>
      </w:r>
    </w:p>
    <w:p w14:paraId="1E45FF65" w14:textId="77777777" w:rsidR="00786414" w:rsidRPr="004E4E2D" w:rsidRDefault="00786414" w:rsidP="000C10BB">
      <w:pPr>
        <w:rPr>
          <w:rFonts w:cs="Times New Roman"/>
          <w:lang w:val="es-ES"/>
          <w:rPrChange w:id="2" w:author="Giammauro Soriano" w:date="2026-09-23T11:48:00Z" w16du:dateUtc="2026-09-23T09:48:00Z">
            <w:rPr>
              <w:rFonts w:cs="Times New Roman"/>
            </w:rPr>
          </w:rPrChange>
        </w:rPr>
      </w:pPr>
    </w:p>
    <w:p w14:paraId="7E638A3F" w14:textId="77777777" w:rsidR="00D748C9" w:rsidRPr="000C10BB" w:rsidRDefault="00D748C9" w:rsidP="00D748C9">
      <w:pPr>
        <w:rPr>
          <w:rFonts w:cs="Times New Roman"/>
        </w:rPr>
      </w:pPr>
      <w:r>
        <w:rPr>
          <w:rFonts w:cs="Times New Roman"/>
          <w:b/>
        </w:rPr>
        <w:t>Supplementary Note 1 | Enforcement-probability scenarios</w:t>
      </w:r>
    </w:p>
    <w:p w14:paraId="4BBB9ACE" w14:textId="77777777" w:rsidR="00D748C9" w:rsidRPr="000C10BB" w:rsidRDefault="00D748C9" w:rsidP="00D748C9">
      <w:pPr>
        <w:rPr>
          <w:rFonts w:cs="Times New Roman"/>
        </w:rPr>
      </w:pPr>
      <w:r>
        <w:rPr>
          <w:rFonts w:cs="Times New Roman"/>
        </w:rPr>
        <w:t xml:space="preserve">The main analysis samples prosecution and conviction probabilities over their full admissible range (0.01–1.00), imposing no prior on enforcement performance. Two alternative scenarios replace that agnostic support with enforcement probabilities reported for </w:t>
      </w:r>
      <w:proofErr w:type="spellStart"/>
      <w:r>
        <w:rPr>
          <w:rFonts w:cs="Times New Roman"/>
        </w:rPr>
        <w:t>Doñana</w:t>
      </w:r>
      <w:proofErr w:type="spellEnd"/>
      <w:r>
        <w:rPr>
          <w:rFonts w:cs="Times New Roman"/>
        </w:rPr>
        <w:t xml:space="preserve"> by Loch et al.</w:t>
      </w:r>
      <w:r>
        <w:rPr>
          <w:rFonts w:cs="Times New Roman"/>
          <w:vertAlign w:val="superscript"/>
        </w:rPr>
        <w:t>4</w:t>
      </w:r>
      <w:r>
        <w:rPr>
          <w:rFonts w:cs="Times New Roman"/>
        </w:rPr>
        <w:t xml:space="preserve">, each varied ±50% around its central value. </w:t>
      </w:r>
    </w:p>
    <w:p w14:paraId="772EBDDB" w14:textId="7C855F71" w:rsidR="00D748C9" w:rsidRPr="000C10BB" w:rsidRDefault="00D748C9" w:rsidP="00D748C9">
      <w:pPr>
        <w:rPr>
          <w:rFonts w:cs="Times New Roman"/>
        </w:rPr>
      </w:pPr>
      <w:r>
        <w:rPr>
          <w:rFonts w:cs="Times New Roman"/>
        </w:rPr>
        <w:t xml:space="preserve">The first uses Total Probability I of their Supplementary Table 4 (prosecution 0.70, conviction 0.60), giving sampling ranges of 0.35–1.00 and 0.30–0.90. The second uses the caseload recorded in their Supplementary Box 1—135 of 2,000 theft cases prosecuted and 50 of 135 convicted—giving 0.034–0.101 and 0.185–0.556. Detection probability is held at 0.80–1.00 in both. Each scenario was evaluated over the same </w:t>
      </w:r>
      <w:proofErr w:type="spellStart"/>
      <w:r>
        <w:rPr>
          <w:rFonts w:cs="Times New Roman"/>
        </w:rPr>
        <w:t>Saltelli</w:t>
      </w:r>
      <w:proofErr w:type="spellEnd"/>
      <w:r>
        <w:rPr>
          <w:rFonts w:cs="Times New Roman"/>
        </w:rPr>
        <w:t xml:space="preserve"> design, the same 13 municipalities and the same three PMP calibrations. The implied joint enforcement probability spans 0.084–0.900 under Total Probability I and 0.005–0.056 under the observed caseload, against 0.00008–1.000 in the main analysis.</w:t>
      </w:r>
    </w:p>
    <w:p w14:paraId="57365F69" w14:textId="396CB549" w:rsidR="00D748C9" w:rsidRPr="000C10BB" w:rsidRDefault="00D748C9" w:rsidP="00D748C9">
      <w:pPr>
        <w:rPr>
          <w:rFonts w:cs="Times New Roman"/>
        </w:rPr>
      </w:pPr>
      <w:r>
        <w:rPr>
          <w:rFonts w:cs="Times New Roman"/>
        </w:rPr>
        <w:t xml:space="preserve">Under Total Probability I the median compliance-inducing penalty is 1.43 EUR/m³ (IQR 0.39–3.81; P10–P90 0.03–7.80), roughly half the main estimate of 3.01 EUR/m³. Under the observed </w:t>
      </w:r>
      <w:proofErr w:type="spellStart"/>
      <w:r>
        <w:rPr>
          <w:rFonts w:cs="Times New Roman"/>
        </w:rPr>
        <w:t>Doñana</w:t>
      </w:r>
      <w:proofErr w:type="spellEnd"/>
      <w:r>
        <w:rPr>
          <w:rFonts w:cs="Times New Roman"/>
        </w:rPr>
        <w:t xml:space="preserve"> caseload it is 23.08 EUR/m³ (IQR 6.18–62.25; P10–P90 0.52–129.02), close to eight times the main estimate. The ordering across calibrations is unchanged in both scenarios—Standard 1.09 and 17.49 EUR/m³, Average 1.18 and 18.92, Paris 2.04 and 33.14—so the calibration choice shifts the penalty by a factor of about two while the enforcement scenario shifts it by a factor of sixteen. The share of simulated cases deterred by the upper observed penalty of 1.35 EUR/m³ is 48.6% under Total Probability I and 14.0% under the observed caseload, against 34.9% in the main analysis; at the lower observed penalty of 0.29 EUR/m³ the corresponding shares are 21.8%, 8.1% and 16.9%. The substantive conclusion is insensitive to the choice: even under the most </w:t>
      </w:r>
      <w:proofErr w:type="spellStart"/>
      <w:r>
        <w:rPr>
          <w:rFonts w:cs="Times New Roman"/>
        </w:rPr>
        <w:t>favourable</w:t>
      </w:r>
      <w:proofErr w:type="spellEnd"/>
      <w:r>
        <w:rPr>
          <w:rFonts w:cs="Times New Roman"/>
        </w:rPr>
        <w:t xml:space="preserve"> enforcement assumptions tested, more than half of simulated cases are not deterred by the highest penalty observed in </w:t>
      </w:r>
      <w:proofErr w:type="spellStart"/>
      <w:r>
        <w:rPr>
          <w:rFonts w:cs="Times New Roman"/>
        </w:rPr>
        <w:t>Doñana</w:t>
      </w:r>
      <w:proofErr w:type="spellEnd"/>
      <w:r>
        <w:rPr>
          <w:rFonts w:cs="Times New Roman"/>
        </w:rPr>
        <w:t xml:space="preserve">, and under the enforcement rates the region has </w:t>
      </w:r>
      <w:proofErr w:type="gramStart"/>
      <w:r>
        <w:rPr>
          <w:rFonts w:cs="Times New Roman"/>
        </w:rPr>
        <w:t>actually recorded</w:t>
      </w:r>
      <w:proofErr w:type="gramEnd"/>
      <w:r>
        <w:rPr>
          <w:rFonts w:cs="Times New Roman"/>
        </w:rPr>
        <w:t xml:space="preserve"> that share rises to 86%.</w:t>
      </w:r>
    </w:p>
    <w:p w14:paraId="5BF72BDD" w14:textId="5B54C0F9" w:rsidR="00D748C9" w:rsidRPr="000C10BB" w:rsidRDefault="00D748C9" w:rsidP="00D748C9">
      <w:pPr>
        <w:rPr>
          <w:rFonts w:cs="Times New Roman"/>
        </w:rPr>
      </w:pPr>
      <w:r>
        <w:rPr>
          <w:rFonts w:cs="Times New Roman"/>
        </w:rPr>
        <w:lastRenderedPageBreak/>
        <w:t xml:space="preserve">The second scenario is the only one anchored in </w:t>
      </w:r>
      <w:proofErr w:type="spellStart"/>
      <w:r>
        <w:rPr>
          <w:rFonts w:cs="Times New Roman"/>
        </w:rPr>
        <w:t>Doñana's</w:t>
      </w:r>
      <w:proofErr w:type="spellEnd"/>
      <w:r>
        <w:rPr>
          <w:rFonts w:cs="Times New Roman"/>
        </w:rPr>
        <w:t xml:space="preserve"> own prosecutorial record rather than in modelled values, and it admits an independent check. Its central rates—6.75% of cases prosecuted and 37.04% of prosecutions convicted—imply a combined prosecution-and-conviction probability of 2.50%, which falls inside the 2.2–4.4% range obtained from the district attorney's office for the same period. Under it the median compliance-inducing penalty is 23.08 EUR/m³—17 times the highest penalty observed in </w:t>
      </w:r>
      <w:proofErr w:type="spellStart"/>
      <w:r>
        <w:rPr>
          <w:rFonts w:cs="Times New Roman"/>
        </w:rPr>
        <w:t>Doñana</w:t>
      </w:r>
      <w:proofErr w:type="spellEnd"/>
      <w:r>
        <w:rPr>
          <w:rFonts w:cs="Times New Roman"/>
        </w:rPr>
        <w:t xml:space="preserve"> and 80 times the lowest—and 86.0% of simulated cases would remain undeterred by the upper observed penalty. Municipal medians range from 8.22 EUR/m³ in </w:t>
      </w:r>
      <w:proofErr w:type="spellStart"/>
      <w:r>
        <w:rPr>
          <w:rFonts w:cs="Times New Roman"/>
        </w:rPr>
        <w:t>Aznalcázar</w:t>
      </w:r>
      <w:proofErr w:type="spellEnd"/>
      <w:r>
        <w:rPr>
          <w:rFonts w:cs="Times New Roman"/>
        </w:rPr>
        <w:t xml:space="preserve"> to 70.57 EUR/m³ in Niebla. Across the 13 eligible municipalities, baseline illegal water use totals 14.45 million m³, with </w:t>
      </w:r>
      <w:proofErr w:type="spellStart"/>
      <w:r>
        <w:rPr>
          <w:rFonts w:cs="Times New Roman"/>
        </w:rPr>
        <w:t>Sanlúcar</w:t>
      </w:r>
      <w:proofErr w:type="spellEnd"/>
      <w:r>
        <w:rPr>
          <w:rFonts w:cs="Times New Roman"/>
        </w:rPr>
        <w:t xml:space="preserve"> de Barrameda alone accounting for 3.21 million m³ (22.2%). On this reading the headline estimate of 3.01 EUR/m³ is conservative with respect to the enforcement performance the region has </w:t>
      </w:r>
      <w:proofErr w:type="gramStart"/>
      <w:r>
        <w:rPr>
          <w:rFonts w:cs="Times New Roman"/>
        </w:rPr>
        <w:t>actually recorded</w:t>
      </w:r>
      <w:proofErr w:type="gramEnd"/>
      <w:r>
        <w:rPr>
          <w:rFonts w:cs="Times New Roman"/>
        </w:rPr>
        <w:t>.</w:t>
      </w:r>
    </w:p>
    <w:p w14:paraId="345AACA1" w14:textId="77777777" w:rsidR="00D748C9" w:rsidRPr="000C10BB" w:rsidRDefault="00D748C9" w:rsidP="00D748C9">
      <w:pPr>
        <w:jc w:val="center"/>
        <w:rPr>
          <w:rFonts w:cs="Times New Roman"/>
        </w:rPr>
      </w:pPr>
      <w:r>
        <w:rPr>
          <w:rFonts w:cs="Times New Roman"/>
          <w:noProof/>
        </w:rPr>
        <w:drawing>
          <wp:inline distT="0" distB="0" distL="0" distR="0" wp14:anchorId="4139E011" wp14:editId="6455BB39">
            <wp:extent cx="5400040" cy="5347335"/>
            <wp:effectExtent l="0" t="0" r="0" b="0"/>
            <wp:docPr id="328086167" name="Picture 172615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loch2020_pm50.png"/>
                    <pic:cNvPicPr/>
                  </pic:nvPicPr>
                  <pic:blipFill>
                    <a:blip r:embed="rId8"/>
                    <a:stretch>
                      <a:fillRect/>
                    </a:stretch>
                  </pic:blipFill>
                  <pic:spPr>
                    <a:xfrm>
                      <a:off x="0" y="0"/>
                      <a:ext cx="5400040" cy="5347335"/>
                    </a:xfrm>
                    <a:prstGeom prst="rect">
                      <a:avLst/>
                    </a:prstGeom>
                  </pic:spPr>
                </pic:pic>
              </a:graphicData>
            </a:graphic>
          </wp:inline>
        </w:drawing>
      </w:r>
    </w:p>
    <w:p w14:paraId="159D732F" w14:textId="7905B2AE" w:rsidR="00D748C9" w:rsidRPr="000C10BB" w:rsidRDefault="00D748C9" w:rsidP="00D748C9">
      <w:pPr>
        <w:rPr>
          <w:rStyle w:val="Fuerte"/>
          <w:rFonts w:ascii="Times New Roman" w:hAnsi="Times New Roman" w:cs="Times New Roman"/>
          <w:sz w:val="20"/>
        </w:rPr>
      </w:pPr>
      <w:r>
        <w:rPr>
          <w:rStyle w:val="Fuerte"/>
          <w:rFonts w:ascii="Times New Roman" w:hAnsi="Times New Roman" w:cs="Times New Roman"/>
          <w:sz w:val="20"/>
        </w:rPr>
        <w:t xml:space="preserve">Supplementary Figure 1 | Compliance-inducing penalties across municipalities under Total Probability I enforcement. </w:t>
      </w:r>
      <w:proofErr w:type="gramStart"/>
      <w:r>
        <w:rPr>
          <w:rStyle w:val="Fuerte"/>
          <w:rFonts w:ascii="Times New Roman" w:hAnsi="Times New Roman" w:cs="Times New Roman"/>
          <w:sz w:val="20"/>
        </w:rPr>
        <w:t>a,</w:t>
      </w:r>
      <w:proofErr w:type="gramEnd"/>
      <w:r>
        <w:rPr>
          <w:rStyle w:val="Fuerte"/>
          <w:rFonts w:ascii="Times New Roman" w:hAnsi="Times New Roman" w:cs="Times New Roman"/>
          <w:sz w:val="20"/>
        </w:rPr>
        <w:t xml:space="preserve"> Municipal distributions of modelled compliance-inducing penalties, shown as interquartile </w:t>
      </w:r>
      <w:r>
        <w:rPr>
          <w:rStyle w:val="Fuerte"/>
          <w:rFonts w:ascii="Times New Roman" w:hAnsi="Times New Roman" w:cs="Times New Roman"/>
          <w:sz w:val="20"/>
        </w:rPr>
        <w:lastRenderedPageBreak/>
        <w:t>ranges (Q25–Q75) with median values on a logarithmic axis. The dashed light-blue line marks the lower observed penalty (0.29 EUR/m³), the dashed dark-purple line marks the higher observed penalty (1.35 EUR/m³), and the red line marks the full GSA median penalty (1.43 EUR/m³). b, Kernel-density estimate of the compliance-inducing penalty distribution within the P10–P90 range (0.03–7.80 EUR/m³). The median penalty is 1.43 EUR/m³ (IQR 0.39–3.81), the mean 2.95 EUR/m³, with Q80 and Q90 reaching 4.71 and 7.80 EUR/m³. Prosecution and conviction probabilities are sampled over 0.35–1.00 and 0.30–0.90 respectively, and detection over 0.80–1.00. The observed penalty range would address 21.8–48.6% of simulated cases.</w:t>
      </w:r>
    </w:p>
    <w:p w14:paraId="54588B9E" w14:textId="77777777" w:rsidR="00D748C9" w:rsidRPr="000C10BB" w:rsidRDefault="00D748C9" w:rsidP="00D748C9">
      <w:pPr>
        <w:jc w:val="center"/>
        <w:rPr>
          <w:rFonts w:cs="Times New Roman"/>
        </w:rPr>
      </w:pPr>
      <w:r>
        <w:rPr>
          <w:rFonts w:cs="Times New Roman"/>
          <w:noProof/>
        </w:rPr>
        <w:drawing>
          <wp:inline distT="0" distB="0" distL="0" distR="0" wp14:anchorId="47FC6BBF" wp14:editId="39BE69C2">
            <wp:extent cx="5400040" cy="5347335"/>
            <wp:effectExtent l="0" t="0" r="0" b="0"/>
            <wp:docPr id="987413381" name="Picture 172615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donana_observed_pm50.png"/>
                    <pic:cNvPicPr/>
                  </pic:nvPicPr>
                  <pic:blipFill>
                    <a:blip r:embed="rId9"/>
                    <a:stretch>
                      <a:fillRect/>
                    </a:stretch>
                  </pic:blipFill>
                  <pic:spPr>
                    <a:xfrm>
                      <a:off x="0" y="0"/>
                      <a:ext cx="5400040" cy="5347335"/>
                    </a:xfrm>
                    <a:prstGeom prst="rect">
                      <a:avLst/>
                    </a:prstGeom>
                  </pic:spPr>
                </pic:pic>
              </a:graphicData>
            </a:graphic>
          </wp:inline>
        </w:drawing>
      </w:r>
    </w:p>
    <w:p w14:paraId="63F1196B" w14:textId="4AA4D878" w:rsidR="00D748C9" w:rsidRDefault="00D748C9" w:rsidP="00D748C9">
      <w:pPr>
        <w:rPr>
          <w:rStyle w:val="Fuerte"/>
          <w:rFonts w:ascii="Times New Roman" w:hAnsi="Times New Roman" w:cs="Times New Roman"/>
          <w:sz w:val="20"/>
        </w:rPr>
      </w:pPr>
      <w:r>
        <w:rPr>
          <w:rStyle w:val="Fuerte"/>
          <w:rFonts w:ascii="Times New Roman" w:hAnsi="Times New Roman" w:cs="Times New Roman"/>
          <w:sz w:val="20"/>
        </w:rPr>
        <w:t xml:space="preserve">Supplementary Figure 2 | Compliance-inducing penalties across municipalities under the observed </w:t>
      </w:r>
      <w:proofErr w:type="spellStart"/>
      <w:r>
        <w:rPr>
          <w:rStyle w:val="Fuerte"/>
          <w:rFonts w:ascii="Times New Roman" w:hAnsi="Times New Roman" w:cs="Times New Roman"/>
          <w:sz w:val="20"/>
        </w:rPr>
        <w:t>Doñana</w:t>
      </w:r>
      <w:proofErr w:type="spellEnd"/>
      <w:r>
        <w:rPr>
          <w:rStyle w:val="Fuerte"/>
          <w:rFonts w:ascii="Times New Roman" w:hAnsi="Times New Roman" w:cs="Times New Roman"/>
          <w:sz w:val="20"/>
        </w:rPr>
        <w:t xml:space="preserve"> caseload in Loch et al</w:t>
      </w:r>
      <w:r>
        <w:rPr>
          <w:rStyle w:val="Fuerte"/>
          <w:rFonts w:ascii="Times New Roman" w:hAnsi="Times New Roman" w:cs="Times New Roman"/>
          <w:sz w:val="20"/>
          <w:vertAlign w:val="superscript"/>
        </w:rPr>
        <w:t>4</w:t>
      </w:r>
      <w:r>
        <w:rPr>
          <w:rStyle w:val="Fuerte"/>
          <w:rFonts w:ascii="Times New Roman" w:hAnsi="Times New Roman" w:cs="Times New Roman"/>
          <w:sz w:val="20"/>
        </w:rPr>
        <w:t xml:space="preserve">. </w:t>
      </w:r>
      <w:proofErr w:type="gramStart"/>
      <w:r>
        <w:rPr>
          <w:rStyle w:val="Fuerte"/>
          <w:rFonts w:ascii="Times New Roman" w:hAnsi="Times New Roman" w:cs="Times New Roman"/>
          <w:sz w:val="20"/>
        </w:rPr>
        <w:t>a,</w:t>
      </w:r>
      <w:proofErr w:type="gramEnd"/>
      <w:r>
        <w:rPr>
          <w:rStyle w:val="Fuerte"/>
          <w:rFonts w:ascii="Times New Roman" w:hAnsi="Times New Roman" w:cs="Times New Roman"/>
          <w:sz w:val="20"/>
        </w:rPr>
        <w:t xml:space="preserve"> Municipal distributions of modelled compliance-inducing penalties, shown as interquartile ranges (Q25–Q75) with median values on a logarithmic axis. The dashed light-blue line marks the lower observed penalty (0.29 EUR/m³), the dashed dark-purple line marks the higher observed penalty (1.35 EUR/m³), and the red line marks the full GSA median penalty (23.08 EUR/m³). b, Kernel-density estimate of the compliance-inducing penalty distribution within the P10–P90 range (0.52–129.02 EUR/m³). The median penalty is 23.08 EUR/m³ (IQR 6.18–62.25), the mean 49.01 EUR/m³, with Q80 and Q90 </w:t>
      </w:r>
      <w:r>
        <w:rPr>
          <w:rStyle w:val="Fuerte"/>
          <w:rFonts w:ascii="Times New Roman" w:hAnsi="Times New Roman" w:cs="Times New Roman"/>
          <w:sz w:val="20"/>
        </w:rPr>
        <w:lastRenderedPageBreak/>
        <w:t>reaching 76.91 and 129.02 EUR/m³. Prosecution and conviction probabilities are sampled over 0.034–0.101 and 0.185–0.556 respectively, and detection over 0.80–1.00. The observed penalty range would address 8.1–14.0% of simulated cases.</w:t>
      </w:r>
    </w:p>
    <w:p w14:paraId="336902BA" w14:textId="77777777" w:rsidR="004E4E2D" w:rsidRDefault="004E4E2D" w:rsidP="00D748C9">
      <w:pPr>
        <w:rPr>
          <w:rStyle w:val="Fuerte"/>
          <w:rFonts w:ascii="Times New Roman" w:hAnsi="Times New Roman" w:cs="Times New Roman"/>
          <w:sz w:val="20"/>
        </w:rPr>
      </w:pPr>
    </w:p>
    <w:p w14:paraId="5E9A5FC7" w14:textId="77777777" w:rsidR="004E4E2D" w:rsidRDefault="004E4E2D" w:rsidP="00D748C9">
      <w:pPr>
        <w:rPr>
          <w:rStyle w:val="Fuerte"/>
          <w:rFonts w:ascii="Times New Roman" w:hAnsi="Times New Roman" w:cs="Times New Roman"/>
          <w:sz w:val="20"/>
        </w:rPr>
      </w:pPr>
    </w:p>
    <w:p w14:paraId="635936B3" w14:textId="77777777" w:rsidR="004E4E2D" w:rsidRPr="000C10BB" w:rsidRDefault="004E4E2D" w:rsidP="00D748C9">
      <w:pPr>
        <w:rPr>
          <w:rStyle w:val="Fuerte"/>
          <w:rFonts w:ascii="Times New Roman" w:hAnsi="Times New Roman" w:cs="Times New Roman"/>
          <w:sz w:val="20"/>
        </w:rPr>
      </w:pPr>
    </w:p>
    <w:p w14:paraId="70944FF5" w14:textId="77777777" w:rsidR="00C54DB6" w:rsidRDefault="00000000">
      <w:pPr>
        <w:rPr>
          <w:rFonts w:cs="Times New Roman"/>
        </w:rPr>
      </w:pPr>
      <w:r>
        <w:rPr>
          <w:rFonts w:cs="Times New Roman"/>
          <w:b/>
        </w:rPr>
        <w:t>Supplementary Note 2 | Microeconomic validation of empirical sensitivity results: first-order conditions, dual values, and comparative statics of compliance-inducing penalties</w:t>
      </w:r>
    </w:p>
    <w:p w14:paraId="04CC6F88" w14:textId="77777777" w:rsidR="00C54DB6" w:rsidRDefault="00000000">
      <w:pPr>
        <w:rPr>
          <w:rFonts w:cs="Times New Roman"/>
        </w:rPr>
      </w:pPr>
      <w:r>
        <w:rPr>
          <w:rFonts w:cs="Times New Roman"/>
        </w:rPr>
        <w:t xml:space="preserve">Here, we provide </w:t>
      </w:r>
      <w:proofErr w:type="gramStart"/>
      <w:r>
        <w:rPr>
          <w:rFonts w:cs="Times New Roman"/>
        </w:rPr>
        <w:t>the microeconomic</w:t>
      </w:r>
      <w:proofErr w:type="gramEnd"/>
      <w:r>
        <w:rPr>
          <w:rFonts w:cs="Times New Roman"/>
        </w:rPr>
        <w:t xml:space="preserve"> theoretical validation for the empirical sensitivity rankings and parameter interactions identified by the Random Forest emulator and the </w:t>
      </w:r>
      <w:proofErr w:type="spellStart"/>
      <w:r>
        <w:rPr>
          <w:rFonts w:cs="Times New Roman"/>
        </w:rPr>
        <w:t>TreeSHAP</w:t>
      </w:r>
      <w:proofErr w:type="spellEnd"/>
      <w:r>
        <w:rPr>
          <w:rFonts w:cs="Times New Roman"/>
        </w:rPr>
        <w:t xml:space="preserve"> GSA. While analytical comparative statics operate under local, </w:t>
      </w:r>
      <w:r>
        <w:rPr>
          <w:rFonts w:cs="Times New Roman"/>
          <w:i/>
        </w:rPr>
        <w:t>ceteris paribus</w:t>
      </w:r>
      <w:r>
        <w:rPr>
          <w:rFonts w:cs="Times New Roman"/>
        </w:rPr>
        <w:t xml:space="preserve"> conditions and cannot evaluate high-dimensional global variance propagation or extreme tail distributions (</w:t>
      </w:r>
      <m:oMath>
        <m:sSub>
          <m:sSubPr>
            <m:ctrlPr>
              <w:rPr>
                <w:rFonts w:ascii="Cambria Math" w:hAnsi="Cambria Math" w:cs="Times New Roman"/>
              </w:rPr>
            </m:ctrlPr>
          </m:sSubPr>
          <m:e>
            <m:r>
              <w:rPr>
                <w:rFonts w:ascii="Cambria Math" w:hAnsi="Cambria Math" w:cs="Times New Roman"/>
              </w:rPr>
              <m:t>Q</m:t>
            </m:r>
          </m:e>
          <m:sub>
            <m:r>
              <m:rPr>
                <m:sty m:val="p"/>
              </m:rPr>
              <w:rPr>
                <w:rFonts w:ascii="Cambria Math" w:hAnsi="Cambria Math" w:cs="Times New Roman"/>
              </w:rPr>
              <m:t>80</m:t>
            </m:r>
          </m:sub>
        </m:sSub>
      </m:oMath>
      <w:r>
        <w:rPr>
          <w:rFonts w:cs="Times New Roman"/>
        </w:rPr>
        <w:t xml:space="preserve">, </w:t>
      </w:r>
      <m:oMath>
        <m:sSub>
          <m:sSubPr>
            <m:ctrlPr>
              <w:rPr>
                <w:rFonts w:ascii="Cambria Math" w:hAnsi="Cambria Math" w:cs="Times New Roman"/>
              </w:rPr>
            </m:ctrlPr>
          </m:sSubPr>
          <m:e>
            <m:r>
              <w:rPr>
                <w:rFonts w:ascii="Cambria Math" w:hAnsi="Cambria Math" w:cs="Times New Roman"/>
              </w:rPr>
              <m:t>Q</m:t>
            </m:r>
          </m:e>
          <m:sub>
            <m:r>
              <m:rPr>
                <m:sty m:val="p"/>
              </m:rPr>
              <w:rPr>
                <w:rFonts w:ascii="Cambria Math" w:hAnsi="Cambria Math" w:cs="Times New Roman"/>
              </w:rPr>
              <m:t>90</m:t>
            </m:r>
          </m:sub>
        </m:sSub>
      </m:oMath>
      <w:r>
        <w:rPr>
          <w:rFonts w:cs="Times New Roman"/>
        </w:rPr>
        <w:t>), they reveal the fundamental structural mechanisms of the optimization problem. Specifically, they explain why the empirical SHAP decomposition attributes dominant importance to the institutional probabilities of enforcement.</w:t>
      </w:r>
    </w:p>
    <w:p w14:paraId="31DF5BE5" w14:textId="77777777" w:rsidR="00C54DB6" w:rsidRDefault="00000000">
      <w:pPr>
        <w:rPr>
          <w:rFonts w:cs="Times New Roman"/>
        </w:rPr>
      </w:pPr>
      <w:r>
        <w:rPr>
          <w:rFonts w:cs="Times New Roman"/>
          <w:b/>
        </w:rPr>
        <w:t>Structural model formulation</w:t>
      </w:r>
    </w:p>
    <w:p w14:paraId="60D52F77" w14:textId="77777777" w:rsidR="00C54DB6" w:rsidRDefault="00000000">
      <w:pPr>
        <w:rPr>
          <w:rFonts w:cs="Times New Roman"/>
        </w:rPr>
      </w:pPr>
      <w:r>
        <w:rPr>
          <w:rFonts w:cs="Times New Roman"/>
        </w:rPr>
        <w:t xml:space="preserve">Each municipality </w:t>
      </w:r>
      <m:oMath>
        <m:r>
          <w:rPr>
            <w:rFonts w:ascii="Cambria Math" w:hAnsi="Cambria Math" w:cs="Times New Roman"/>
          </w:rPr>
          <m:t>m</m:t>
        </m:r>
      </m:oMath>
      <w:r>
        <w:rPr>
          <w:rFonts w:cs="Times New Roman"/>
        </w:rPr>
        <w:t xml:space="preserve"> </w:t>
      </w:r>
      <m:oMath>
        <m:r>
          <w:rPr>
            <w:rFonts w:ascii="Cambria Math" w:hAnsi="Cambria Math" w:cs="Times New Roman"/>
          </w:rPr>
          <m:t>m</m:t>
        </m:r>
        <m:r>
          <m:rPr>
            <m:sty m:val="p"/>
          </m:rPr>
          <w:rPr>
            <w:rFonts w:ascii="Cambria Math" w:hAnsi="Cambria Math" w:cs="Times New Roman"/>
          </w:rPr>
          <m:t>∈</m:t>
        </m:r>
        <m:d>
          <m:dPr>
            <m:begChr m:val="{"/>
            <m:endChr m:val="}"/>
            <m:ctrlPr>
              <w:rPr>
                <w:rFonts w:ascii="Cambria Math" w:hAnsi="Cambria Math" w:cs="Times New Roman"/>
              </w:rPr>
            </m:ctrlPr>
          </m:dPr>
          <m:e>
            <m:r>
              <m:rPr>
                <m:sty m:val="p"/>
              </m:rPr>
              <w:rPr>
                <w:rFonts w:ascii="Cambria Math" w:hAnsi="Cambria Math" w:cs="Times New Roman"/>
              </w:rPr>
              <m:t>1, … ,M</m:t>
            </m:r>
          </m:e>
        </m:d>
      </m:oMath>
      <w:r>
        <w:rPr>
          <w:rFonts w:cs="Times New Roman"/>
        </w:rPr>
        <w:t xml:space="preserve"> is modeled as an economic agent choosing agricultural land allocation </w:t>
      </w: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oMath>
      <w:r>
        <w:rPr>
          <w:rFonts w:cs="Times New Roman"/>
        </w:rPr>
        <w:t xml:space="preserve"> (hectares) across available crops </w:t>
      </w:r>
      <m:oMath>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oMath>
      <w:r>
        <w:rPr>
          <w:rFonts w:cs="Times New Roman"/>
        </w:rPr>
        <w:t xml:space="preserve"> to maximize regional gross margin under land and water constraints. Following the PMP specification of the manuscript, the behavioral optimization problem is:</w:t>
      </w:r>
    </w:p>
    <w:p w14:paraId="6D8AC8D0" w14:textId="77777777" w:rsidR="00C54DB6" w:rsidRDefault="0000000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max</m:t>
              </m:r>
            </m:e>
            <m: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r>
                <m:rPr>
                  <m:sty m:val="p"/>
                </m:rPr>
                <w:rPr>
                  <w:rFonts w:ascii="Cambria Math" w:hAnsi="Cambria Math" w:cs="Times New Roman"/>
                </w:rPr>
                <m:t>≥0</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mc</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d>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nary>
        </m:oMath>
      </m:oMathPara>
    </w:p>
    <w:p w14:paraId="0046B293" w14:textId="77777777" w:rsidR="00C54DB6" w:rsidRDefault="00000000">
      <w:pPr>
        <w:rPr>
          <w:rFonts w:cs="Times New Roman"/>
        </w:rPr>
      </w:pPr>
      <w:r>
        <w:rPr>
          <w:rFonts w:cs="Times New Roman"/>
        </w:rPr>
        <w:t>subject to:</w:t>
      </w:r>
    </w:p>
    <w:p w14:paraId="333D712B" w14:textId="77777777" w:rsidR="00C54DB6" w:rsidRDefault="00000000">
      <w:pPr>
        <w:rPr>
          <w:rFonts w:cs="Times New Roman"/>
        </w:rPr>
      </w:pPr>
      <m:oMathPara>
        <m:oMathParaPr>
          <m:jc m:val="center"/>
        </m:oMathParaPr>
        <m:oMath>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nary>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Land</m:t>
              </m:r>
            </m:e>
            <m:sub>
              <m:r>
                <w:rPr>
                  <w:rFonts w:ascii="Cambria Math" w:hAnsi="Cambria Math" w:cs="Times New Roman"/>
                </w:rPr>
                <m:t>m</m:t>
              </m:r>
            </m:sub>
          </m:sSub>
          <m:r>
            <m:rPr>
              <m:sty m:val="p"/>
            </m:rPr>
            <w:rPr>
              <w:rFonts w:ascii="Cambria Math" w:hAnsi="Cambria Math" w:cs="Times New Roman"/>
            </w:rPr>
            <m:t>   </m:t>
          </m:r>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e>
          </m:d>
        </m:oMath>
      </m:oMathPara>
    </w:p>
    <w:p w14:paraId="572B4833" w14:textId="77777777" w:rsidR="00C54DB6" w:rsidRDefault="00000000">
      <w:pPr>
        <w:rPr>
          <w:rFonts w:cs="Times New Roman"/>
        </w:rPr>
      </w:pPr>
      <m:oMathPara>
        <m:oMathParaPr>
          <m:jc m:val="center"/>
        </m:oMathParaPr>
        <m:oMath>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nary>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m:t>
              </m:r>
            </m:sub>
          </m:sSub>
          <m:r>
            <m:rPr>
              <m:sty m:val="p"/>
            </m:rPr>
            <w:rPr>
              <w:rFonts w:ascii="Cambria Math" w:hAnsi="Cambria Math" w:cs="Times New Roman"/>
            </w:rPr>
            <m:t>   </m:t>
          </m:r>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e>
          </m:d>
        </m:oMath>
      </m:oMathPara>
    </w:p>
    <w:p w14:paraId="327DC2FD" w14:textId="77777777" w:rsidR="00C54DB6" w:rsidRDefault="00000000">
      <w:pPr>
        <w:rPr>
          <w:rFonts w:cs="Times New Roman"/>
        </w:rPr>
      </w:pPr>
      <w:r>
        <w:rPr>
          <w:rFonts w:cs="Times New Roman"/>
        </w:rPr>
        <w:t>where:</w:t>
      </w:r>
    </w:p>
    <w:p w14:paraId="1DAE446C" w14:textId="77777777" w:rsidR="00C54DB6" w:rsidRDefault="00000000">
      <w:pPr>
        <w:rPr>
          <w:rFonts w:cs="Times New Roman"/>
        </w:rPr>
      </w:pP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mc</m:t>
            </m:r>
          </m:sub>
        </m:sSub>
      </m:oMath>
      <w:r>
        <w:rPr>
          <w:rFonts w:cs="Times New Roman"/>
        </w:rPr>
        <w:t xml:space="preserve"> is the producer price for crop </w:t>
      </w:r>
      <m:oMath>
        <m:r>
          <w:rPr>
            <w:rFonts w:ascii="Cambria Math" w:hAnsi="Cambria Math" w:cs="Times New Roman"/>
          </w:rPr>
          <m:t>c</m:t>
        </m:r>
      </m:oMath>
      <w:r>
        <w:rPr>
          <w:rFonts w:cs="Times New Roman"/>
        </w:rPr>
        <w:t xml:space="preserve"> in municipality </w:t>
      </w:r>
      <m:oMath>
        <m:r>
          <w:rPr>
            <w:rFonts w:ascii="Cambria Math" w:hAnsi="Cambria Math" w:cs="Times New Roman"/>
          </w:rPr>
          <m:t>m</m:t>
        </m:r>
      </m:oMath>
      <w:r>
        <w:rPr>
          <w:rFonts w:cs="Times New Roman"/>
        </w:rPr>
        <w:t xml:space="preserve"> (EUR/kg). Under parametric uncertainty, it is scaled by the regional price multiplier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p</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0.50,1.50</m:t>
            </m:r>
          </m:e>
        </m:d>
      </m:oMath>
      <w:r>
        <w:rPr>
          <w:rFonts w:cs="Times New Roman"/>
        </w:rPr>
        <w:t xml:space="preserve">.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mc</m:t>
            </m:r>
          </m:sub>
        </m:sSub>
      </m:oMath>
      <w:r>
        <w:rPr>
          <w:rFonts w:cs="Times New Roman"/>
        </w:rPr>
        <w:t xml:space="preserve"> is the crop yield (kg/ha), scaled by the yield multiplier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y</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0.50,1.50</m:t>
            </m:r>
          </m:e>
        </m:d>
      </m:oMath>
      <w:r>
        <w:rPr>
          <w:rFonts w:cs="Times New Roman"/>
        </w:rPr>
        <w:t xml:space="preserve">.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mc</m:t>
            </m:r>
          </m:sub>
        </m:sSub>
      </m:oMath>
      <w:r>
        <w:rPr>
          <w:rFonts w:cs="Times New Roman"/>
        </w:rPr>
        <w:t xml:space="preserve"> and </w:t>
      </w:r>
      <m:oMath>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mc</m:t>
            </m:r>
          </m:sub>
        </m:sSub>
      </m:oMath>
      <w:r>
        <w:rPr>
          <w:rFonts w:cs="Times New Roman"/>
        </w:rPr>
        <w:t xml:space="preserve"> are subsidies and agricultural insurance indemnities per hectare, respectively.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mc</m:t>
            </m:r>
          </m:sub>
        </m:sSub>
      </m:oMath>
      <w:r>
        <w:rPr>
          <w:rFonts w:cs="Times New Roman"/>
        </w:rPr>
        <w:t xml:space="preserve"> is the accounting variable production cost per hectare, scaled under uncertainty by the cost multiplier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c</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0.50,1.50</m:t>
            </m:r>
          </m:e>
        </m:d>
      </m:oMath>
      <w:r>
        <w:rPr>
          <w:rFonts w:cs="Times New Roman"/>
        </w:rPr>
        <w:t xml:space="preserve">.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mc</m:t>
            </m:r>
          </m:sub>
        </m:sSub>
      </m:oMath>
      <w:r>
        <w:rPr>
          <w:rFonts w:cs="Times New Roman"/>
        </w:rPr>
        <w:t xml:space="preserve"> and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oMath>
      <w:r>
        <w:rPr>
          <w:rFonts w:cs="Times New Roman"/>
        </w:rPr>
        <w:t xml:space="preserve"> are the calibrated </w:t>
      </w:r>
      <w:r>
        <w:rPr>
          <w:rFonts w:cs="Times New Roman"/>
        </w:rPr>
        <w:lastRenderedPageBreak/>
        <w:t>linear and quadratic PMP cost parameters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r>
          <m:rPr>
            <m:sty m:val="p"/>
          </m:rPr>
          <w:rPr>
            <w:rFonts w:ascii="Cambria Math" w:hAnsi="Cambria Math" w:cs="Times New Roman"/>
          </w:rPr>
          <m:t>&gt;0</m:t>
        </m:r>
      </m:oMath>
      <w:r>
        <w:rPr>
          <w:rFonts w:cs="Times New Roman"/>
        </w:rPr>
        <w:t xml:space="preserve">), capturing increasing marginal costs of production due to unobserved heterogeneity, land quality gradients, and managerial constraints.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oMath>
      <w:r>
        <w:rPr>
          <w:rFonts w:cs="Times New Roman"/>
        </w:rPr>
        <w:t xml:space="preserve"> is the crop-specific irrigation water requirement (</w:t>
      </w:r>
      <m:oMath>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oMath>
      <w:r>
        <w:rPr>
          <w:rFonts w:cs="Times New Roman"/>
        </w:rPr>
        <w:t xml:space="preserve">/ha). </w:t>
      </w:r>
      <m:oMath>
        <m:sSub>
          <m:sSubPr>
            <m:ctrlPr>
              <w:rPr>
                <w:rFonts w:ascii="Cambria Math" w:hAnsi="Cambria Math" w:cs="Times New Roman"/>
              </w:rPr>
            </m:ctrlPr>
          </m:sSubPr>
          <m:e>
            <m:r>
              <m:rPr>
                <m:sty m:val="p"/>
              </m:rPr>
              <w:rPr>
                <w:rFonts w:ascii="Cambria Math" w:hAnsi="Cambria Math" w:cs="Times New Roman"/>
              </w:rPr>
              <m:t>Land</m:t>
            </m:r>
          </m:e>
          <m:sub>
            <m:r>
              <w:rPr>
                <w:rFonts w:ascii="Cambria Math" w:hAnsi="Cambria Math" w:cs="Times New Roman"/>
              </w:rPr>
              <m:t>m</m:t>
            </m:r>
          </m:sub>
        </m:sSub>
      </m:oMath>
      <w:r>
        <w:rPr>
          <w:rFonts w:cs="Times New Roman"/>
        </w:rPr>
        <w:t xml:space="preserve"> is total available arable land in municipality </w:t>
      </w:r>
      <m:oMath>
        <m:r>
          <w:rPr>
            <w:rFonts w:ascii="Cambria Math" w:hAnsi="Cambria Math" w:cs="Times New Roman"/>
          </w:rPr>
          <m:t>m</m:t>
        </m:r>
      </m:oMath>
      <w:r>
        <w:rPr>
          <w:rFonts w:cs="Times New Roman"/>
        </w:rPr>
        <w:t xml:space="preserve">.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m:t>
            </m:r>
          </m:sub>
        </m:sSub>
      </m:oMath>
      <w:r>
        <w:rPr>
          <w:rFonts w:cs="Times New Roman"/>
        </w:rPr>
        <w:t xml:space="preserve"> is total irrigation water available to municipality </w:t>
      </w:r>
      <m:oMath>
        <m:r>
          <w:rPr>
            <w:rFonts w:ascii="Cambria Math" w:hAnsi="Cambria Math" w:cs="Times New Roman"/>
          </w:rPr>
          <m:t>m</m:t>
        </m:r>
      </m:oMath>
      <w:r>
        <w:rPr>
          <w:rFonts w:cs="Times New Roman"/>
        </w:rPr>
        <w:t xml:space="preserve">. In the baseline regime with non-compliance, water availability equals legal water plus illegal water: </w:t>
      </w:r>
      <m:oMath>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0</m:t>
            </m:r>
          </m:sup>
        </m:sSubSup>
        <m:r>
          <m:rPr>
            <m:sty m:val="p"/>
          </m:rPr>
          <w:rPr>
            <w:rFonts w:ascii="Cambria Math" w:hAnsi="Cambria Math" w:cs="Times New Roman"/>
          </w:rPr>
          <m:t>=</m:t>
        </m:r>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oMath>
      <w:r>
        <w:rPr>
          <w:rFonts w:cs="Times New Roman"/>
        </w:rPr>
        <w:t xml:space="preserve">. In the counterfactual compliance regime, illegal abstractions are eliminated: </w:t>
      </w:r>
      <m:oMath>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s</m:t>
            </m:r>
          </m:sup>
        </m:sSubSup>
        <m:r>
          <m:rPr>
            <m:sty m:val="p"/>
          </m:rPr>
          <w:rPr>
            <w:rFonts w:ascii="Cambria Math" w:hAnsi="Cambria Math" w:cs="Times New Roman"/>
          </w:rPr>
          <m:t>=</m:t>
        </m:r>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oMath>
      <w:r>
        <w:rPr>
          <w:rFonts w:cs="Times New Roman"/>
        </w:rPr>
        <w:t xml:space="preserve">, where </w:t>
      </w:r>
      <m:oMath>
        <m:r>
          <w:rPr>
            <w:rFonts w:ascii="Cambria Math" w:hAnsi="Cambria Math" w:cs="Times New Roman"/>
          </w:rPr>
          <m:t>λ</m:t>
        </m:r>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0,1</m:t>
            </m:r>
          </m:e>
        </m:d>
      </m:oMath>
      <w:r>
        <w:rPr>
          <w:rFonts w:cs="Times New Roman"/>
        </w:rPr>
        <w:t xml:space="preserve"> scales legal water availability. </w:t>
      </w:r>
      <m:oMath>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oMath>
      <w:r>
        <w:rPr>
          <w:rFonts w:cs="Times New Roman"/>
        </w:rPr>
        <w:t xml:space="preserve"> and </w:t>
      </w:r>
      <m:oMath>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oMath>
      <w:r>
        <w:rPr>
          <w:rFonts w:cs="Times New Roman"/>
        </w:rPr>
        <w:t xml:space="preserve"> are the Lagrange multipliers associated with the regional land and water constraints, respectively.</w:t>
      </w:r>
    </w:p>
    <w:p w14:paraId="418394E9" w14:textId="77777777" w:rsidR="00C54DB6" w:rsidRDefault="00000000">
      <w:pPr>
        <w:rPr>
          <w:rFonts w:cs="Times New Roman"/>
        </w:rPr>
      </w:pPr>
      <w:proofErr w:type="spellStart"/>
      <w:r>
        <w:rPr>
          <w:rFonts w:cs="Times New Roman"/>
          <w:b/>
        </w:rPr>
        <w:t>Lagrangian</w:t>
      </w:r>
      <w:proofErr w:type="spellEnd"/>
      <w:r>
        <w:rPr>
          <w:rFonts w:cs="Times New Roman"/>
          <w:b/>
        </w:rPr>
        <w:t xml:space="preserve"> and First-Order Conditions</w:t>
      </w:r>
    </w:p>
    <w:p w14:paraId="6FF498E4" w14:textId="77777777" w:rsidR="00C54DB6" w:rsidRDefault="00000000">
      <w:pPr>
        <w:rPr>
          <w:rFonts w:cs="Times New Roman"/>
        </w:rPr>
      </w:pPr>
      <w:r>
        <w:rPr>
          <w:rFonts w:cs="Times New Roman"/>
        </w:rPr>
        <w:t>Let the linear net revenue per hectare be defined as:</w:t>
      </w:r>
    </w:p>
    <w:p w14:paraId="159A5266" w14:textId="77777777" w:rsidR="00C54DB6" w:rsidRDefault="00000000">
      <w:pPr>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p</m:t>
              </m:r>
            </m:sub>
          </m:sSub>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y</m:t>
              </m:r>
            </m:sub>
          </m:sSub>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mc</m:t>
              </m:r>
            </m:sub>
          </m:sSub>
        </m:oMath>
      </m:oMathPara>
    </w:p>
    <w:p w14:paraId="5C57D85D" w14:textId="77777777" w:rsidR="00C54DB6" w:rsidRDefault="00000000">
      <w:pPr>
        <w:rPr>
          <w:rFonts w:cs="Times New Roman"/>
        </w:rPr>
      </w:pPr>
      <w:r>
        <w:rPr>
          <w:rFonts w:cs="Times New Roman"/>
        </w:rPr>
        <w:t xml:space="preserve">The </w:t>
      </w:r>
      <w:proofErr w:type="spellStart"/>
      <w:r>
        <w:rPr>
          <w:rFonts w:cs="Times New Roman"/>
        </w:rPr>
        <w:t>Lagrangian</w:t>
      </w:r>
      <w:proofErr w:type="spellEnd"/>
      <w:r>
        <w:rPr>
          <w:rFonts w:cs="Times New Roman"/>
        </w:rPr>
        <w:t xml:space="preserve"> function for municipality </w:t>
      </w:r>
      <m:oMath>
        <m:r>
          <w:rPr>
            <w:rFonts w:ascii="Cambria Math" w:hAnsi="Cambria Math" w:cs="Times New Roman"/>
          </w:rPr>
          <m:t>m</m:t>
        </m:r>
      </m:oMath>
      <w:r>
        <w:rPr>
          <w:rFonts w:cs="Times New Roman"/>
        </w:rPr>
        <w:t xml:space="preserve"> is:</w:t>
      </w:r>
    </w:p>
    <w:p w14:paraId="3114424D" w14:textId="77777777" w:rsidR="00C54DB6" w:rsidRDefault="00000000">
      <w:pPr>
        <w:rPr>
          <w:rFonts w:cs="Times New Roman"/>
        </w:rPr>
      </w:pPr>
      <m:oMathPara>
        <m:oMathParaPr>
          <m:jc m:val="center"/>
        </m:oMathParaPr>
        <m:oMath>
          <m:sSub>
            <m:sSubPr>
              <m:ctrlPr>
                <w:rPr>
                  <w:rFonts w:ascii="Cambria Math" w:hAnsi="Cambria Math" w:cs="Times New Roman"/>
                </w:rPr>
              </m:ctrlPr>
            </m:sSubPr>
            <m:e>
              <m:r>
                <m:rPr>
                  <m:scr m:val="script"/>
                </m:rPr>
                <w:rPr>
                  <w:rFonts w:ascii="Cambria Math" w:hAnsi="Cambria Math" w:cs="Times New Roman"/>
                </w:rPr>
                <m:t>L</m:t>
              </m:r>
            </m:e>
            <m:sub>
              <m:r>
                <w:rPr>
                  <w:rFonts w:ascii="Cambria Math" w:hAnsi="Cambria Math" w:cs="Times New Roman"/>
                </w:rPr>
                <m:t>m</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r>
                <m:rPr>
                  <m:sty m:val="p"/>
                </m:rPr>
                <w:rPr>
                  <w:rFonts w:ascii="Cambria Math" w:hAnsi="Cambria Math" w:cs="Times New Roman"/>
                </w:rPr>
                <m:t xml:space="preserve">,  </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r>
                <m:rPr>
                  <m:sty m:val="p"/>
                </m:rPr>
                <w:rPr>
                  <w:rFonts w:ascii="Cambria Math" w:hAnsi="Cambria Math" w:cs="Times New Roman"/>
                </w:rPr>
                <m:t xml:space="preserve">,  </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e>
          </m:d>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sup>
                      <m:r>
                        <m:rPr>
                          <m:sty m:val="p"/>
                        </m:rPr>
                        <w:rPr>
                          <w:rFonts w:ascii="Cambria Math" w:hAnsi="Cambria Math" w:cs="Times New Roman"/>
                        </w:rPr>
                        <m:t>2</m:t>
                      </m:r>
                    </m:sup>
                  </m:sSup>
                </m:e>
              </m:d>
            </m:e>
          </m:nary>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Land</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nary>
            </m:e>
          </m:d>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e>
              </m:nary>
            </m:e>
          </m:d>
        </m:oMath>
      </m:oMathPara>
    </w:p>
    <w:p w14:paraId="714047A1" w14:textId="77777777" w:rsidR="00C54DB6" w:rsidRDefault="00000000">
      <w:pPr>
        <w:rPr>
          <w:rFonts w:cs="Times New Roman"/>
        </w:rPr>
      </w:pPr>
      <w:r>
        <w:rPr>
          <w:rFonts w:cs="Times New Roman"/>
        </w:rPr>
        <w:t>For any actively irrigated crop cultivated on an interior solution (</w:t>
      </w:r>
      <m:oMath>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r>
          <m:rPr>
            <m:sty m:val="p"/>
          </m:rPr>
          <w:rPr>
            <w:rFonts w:ascii="Cambria Math" w:hAnsi="Cambria Math" w:cs="Times New Roman"/>
          </w:rPr>
          <m:t>&gt;0</m:t>
        </m:r>
      </m:oMath>
      <w:r>
        <w:rPr>
          <w:rFonts w:cs="Times New Roman"/>
        </w:rPr>
        <w:t>), the Karush-Kuhn-Tucker (KKT) first-order stationary condition is:</w:t>
      </w:r>
    </w:p>
    <w:p w14:paraId="4A08EC84" w14:textId="77777777" w:rsidR="00C54DB6" w:rsidRDefault="00000000">
      <w:pPr>
        <w:rPr>
          <w:rFonts w:cs="Times New Roman"/>
        </w:rPr>
      </w:pPr>
      <m:oMathPara>
        <m:oMathParaPr>
          <m:jc m:val="center"/>
        </m:oMathParaPr>
        <m:oMath>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cs="Times New Roman"/>
                    </w:rPr>
                    <m:t>L</m:t>
                  </m:r>
                </m:e>
                <m:sub>
                  <m:r>
                    <w:rPr>
                      <w:rFonts w:ascii="Cambria Math" w:hAnsi="Cambria Math" w:cs="Times New Roman"/>
                    </w:rPr>
                    <m:t>m</m:t>
                  </m:r>
                </m:sub>
              </m:sSub>
            </m:num>
            <m:den>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mc</m:t>
                  </m:r>
                </m:sub>
              </m:sSub>
            </m:den>
          </m:f>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r>
            <m:rPr>
              <m:sty m:val="p"/>
            </m:rPr>
            <w:rPr>
              <w:rFonts w:ascii="Cambria Math" w:hAnsi="Cambria Math" w:cs="Times New Roman"/>
            </w:rPr>
            <m:t>=0</m:t>
          </m:r>
        </m:oMath>
      </m:oMathPara>
    </w:p>
    <w:p w14:paraId="536655B3" w14:textId="77777777" w:rsidR="00C54DB6" w:rsidRDefault="00000000">
      <w:pPr>
        <w:rPr>
          <w:rFonts w:cs="Times New Roman"/>
        </w:rPr>
      </w:pPr>
      <w:r>
        <w:rPr>
          <w:rFonts w:cs="Times New Roman"/>
        </w:rPr>
        <w:t xml:space="preserve">Solving explicitly for the optimal land allocation </w:t>
      </w:r>
      <m:oMath>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oMath>
      <w:r>
        <w:rPr>
          <w:rFonts w:cs="Times New Roman"/>
        </w:rPr>
        <w:t xml:space="preserve"> yields:</w:t>
      </w:r>
    </w:p>
    <w:p w14:paraId="17F29463" w14:textId="77777777" w:rsidR="00C54DB6" w:rsidRDefault="00000000">
      <w:pPr>
        <w:rPr>
          <w:rFonts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mc</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num>
            <m:den>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p</m:t>
                  </m:r>
                </m:sub>
              </m:sSub>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y</m:t>
                  </m:r>
                </m:sub>
              </m:sSub>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mc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mc</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num>
            <m:den>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den>
          </m:f>
        </m:oMath>
      </m:oMathPara>
    </w:p>
    <w:p w14:paraId="50336411" w14:textId="77777777" w:rsidR="00C54DB6" w:rsidRDefault="00000000">
      <w:pPr>
        <w:rPr>
          <w:rFonts w:cs="Times New Roman"/>
        </w:rPr>
      </w:pPr>
      <w:r>
        <w:rPr>
          <w:rFonts w:cs="Times New Roman"/>
        </w:rPr>
        <w:t>The associated complementary slackness conditions are:</w:t>
      </w:r>
    </w:p>
    <w:p w14:paraId="5E92D2AA" w14:textId="77777777" w:rsidR="00C54DB6" w:rsidRDefault="00000000">
      <w:pPr>
        <w:rPr>
          <w:rFonts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r>
            <m:rPr>
              <m:sty m:val="p"/>
            </m:rPr>
            <w:rPr>
              <w:rFonts w:ascii="Cambria Math" w:hAnsi="Cambria Math" w:cs="Times New Roman"/>
            </w:rPr>
            <m:t xml:space="preserve">≥0,  </m:t>
          </m:r>
          <m:sSub>
            <m:sSubPr>
              <m:ctrlPr>
                <w:rPr>
                  <w:rFonts w:ascii="Cambria Math" w:hAnsi="Cambria Math" w:cs="Times New Roman"/>
                </w:rPr>
              </m:ctrlPr>
            </m:sSubPr>
            <m:e>
              <m:r>
                <m:rPr>
                  <m:sty m:val="p"/>
                </m:rPr>
                <w:rPr>
                  <w:rFonts w:ascii="Cambria Math" w:hAnsi="Cambria Math" w:cs="Times New Roman"/>
                </w:rPr>
                <m:t>Land</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e>
          </m:nary>
          <m:r>
            <m:rPr>
              <m:sty m:val="p"/>
            </m:rPr>
            <w:rPr>
              <w:rFonts w:ascii="Cambria Math" w:hAnsi="Cambria Math" w:cs="Times New Roman"/>
            </w:rPr>
            <m:t xml:space="preserve">≥0,  </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Land</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e>
              </m:nary>
            </m:e>
          </m:d>
          <m:r>
            <m:rPr>
              <m:sty m:val="p"/>
            </m:rPr>
            <w:rPr>
              <w:rFonts w:ascii="Cambria Math" w:hAnsi="Cambria Math" w:cs="Times New Roman"/>
            </w:rPr>
            <m:t>=0</m:t>
          </m:r>
        </m:oMath>
      </m:oMathPara>
    </w:p>
    <w:p w14:paraId="41A8B294" w14:textId="77777777" w:rsidR="00C54DB6" w:rsidRDefault="00000000">
      <w:pPr>
        <w:rPr>
          <w:rFonts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r>
            <m:rPr>
              <m:sty m:val="p"/>
            </m:rPr>
            <w:rPr>
              <w:rFonts w:ascii="Cambria Math" w:hAnsi="Cambria Math" w:cs="Times New Roman"/>
            </w:rPr>
            <m:t xml:space="preserve">≥0,  </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e>
          </m:nary>
          <m:r>
            <m:rPr>
              <m:sty m:val="p"/>
            </m:rPr>
            <w:rPr>
              <w:rFonts w:ascii="Cambria Math" w:hAnsi="Cambria Math" w:cs="Times New Roman"/>
            </w:rPr>
            <m:t xml:space="preserve">≥0,  </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mc</m:t>
                      </m:r>
                    </m:sub>
                    <m:sup>
                      <m:r>
                        <m:rPr>
                          <m:sty m:val="p"/>
                        </m:rPr>
                        <w:rPr>
                          <w:rFonts w:ascii="Cambria Math" w:hAnsi="Cambria Math" w:cs="Times New Roman"/>
                        </w:rPr>
                        <m:t>*</m:t>
                      </m:r>
                    </m:sup>
                  </m:sSubSup>
                </m:e>
              </m:nary>
            </m:e>
          </m:d>
          <m:r>
            <m:rPr>
              <m:sty m:val="p"/>
            </m:rPr>
            <w:rPr>
              <w:rFonts w:ascii="Cambria Math" w:hAnsi="Cambria Math" w:cs="Times New Roman"/>
            </w:rPr>
            <m:t>=0</m:t>
          </m:r>
        </m:oMath>
      </m:oMathPara>
    </w:p>
    <w:p w14:paraId="7FD7A40A" w14:textId="77777777" w:rsidR="00C54DB6" w:rsidRDefault="00000000">
      <w:pPr>
        <w:rPr>
          <w:rFonts w:cs="Times New Roman"/>
        </w:rPr>
      </w:pPr>
      <w:r>
        <w:rPr>
          <w:rFonts w:cs="Times New Roman"/>
          <w:b/>
        </w:rPr>
        <w:t>Foregone profit and compliance-inducing penalty formulation</w:t>
      </w:r>
    </w:p>
    <w:p w14:paraId="0EBD1064" w14:textId="77777777" w:rsidR="00C54DB6" w:rsidRDefault="00000000">
      <w:pPr>
        <w:rPr>
          <w:rFonts w:cs="Times New Roman"/>
        </w:rPr>
      </w:pPr>
      <w:r>
        <w:rPr>
          <w:rFonts w:cs="Times New Roman"/>
        </w:rPr>
        <w:lastRenderedPageBreak/>
        <w:t>The private return from water theft per cubic meter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oMath>
      <w:r>
        <w:rPr>
          <w:rFonts w:cs="Times New Roman"/>
        </w:rPr>
        <w:t xml:space="preserve">) represents the average foregone gross margin when removing the illegal water volume </w:t>
      </w:r>
      <m:oMath>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oMath>
      <w:r>
        <w:rPr>
          <w:rFonts w:cs="Times New Roman"/>
        </w:rPr>
        <w:t>:</w:t>
      </w:r>
    </w:p>
    <w:p w14:paraId="062A9071" w14:textId="77777777" w:rsidR="00C54DB6" w:rsidRDefault="00000000">
      <w:pPr>
        <w:rPr>
          <w:rFonts w:cs="Times New Roman"/>
        </w:rPr>
      </w:pPr>
      <m:oMathPara>
        <m:oMathParaPr>
          <m:jc m:val="center"/>
        </m:oMathParaP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0</m:t>
                      </m:r>
                    </m:sup>
                  </m:sSubSup>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s</m:t>
                      </m:r>
                    </m:sup>
                  </m:sSubSup>
                </m:e>
              </m:d>
            </m:num>
            <m:den>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d>
                <m:dPr>
                  <m:ctrlPr>
                    <w:rPr>
                      <w:rFonts w:ascii="Cambria Math" w:hAnsi="Cambria Math" w:cs="Times New Roman"/>
                    </w:rPr>
                  </m:ctrlPr>
                </m:dPr>
                <m:e>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d>
                <m:dPr>
                  <m:ctrlPr>
                    <w:rPr>
                      <w:rFonts w:ascii="Cambria Math" w:hAnsi="Cambria Math" w:cs="Times New Roman"/>
                    </w:rPr>
                  </m:ctrlPr>
                </m:dPr>
                <m:e>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e>
              </m:d>
            </m:num>
            <m:den>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den>
          </m:f>
        </m:oMath>
      </m:oMathPara>
    </w:p>
    <w:p w14:paraId="29F3F6CD" w14:textId="77777777" w:rsidR="00C54DB6" w:rsidRDefault="00000000">
      <w:pPr>
        <w:rPr>
          <w:rFonts w:cs="Times New Roman"/>
        </w:rPr>
      </w:pPr>
      <w:r>
        <w:rPr>
          <w:rFonts w:cs="Times New Roman"/>
        </w:rPr>
        <w:t>This discrete difference is the integral of the water shadow price evaluated over the non-compliant allocation domain:</w:t>
      </w:r>
    </w:p>
    <w:p w14:paraId="0F4FCF59" w14:textId="77777777" w:rsidR="00C54DB6" w:rsidRDefault="00000000">
      <w:pPr>
        <w:rPr>
          <w:rFonts w:cs="Times New Roman"/>
        </w:rPr>
      </w:pPr>
      <m:oMathPara>
        <m:oMathParaPr>
          <m:jc m:val="center"/>
        </m:oMathParaP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den>
          </m:f>
          <m:nary>
            <m:naryPr>
              <m:limLoc m:val="subSup"/>
              <m:ctrlPr>
                <w:rPr>
                  <w:rFonts w:ascii="Cambria Math" w:hAnsi="Cambria Math" w:cs="Times New Roman"/>
                </w:rPr>
              </m:ctrlPr>
            </m:naryPr>
            <m:sub>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sub>
            <m:sup>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sup>
            <m:e>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W*</m:t>
                  </m:r>
                </m:sup>
              </m:sSubSup>
              <m:d>
                <m:dPr>
                  <m:ctrlPr>
                    <w:rPr>
                      <w:rFonts w:ascii="Cambria Math" w:hAnsi="Cambria Math" w:cs="Times New Roman"/>
                    </w:rPr>
                  </m:ctrlPr>
                </m:dPr>
                <m:e>
                  <m:r>
                    <w:rPr>
                      <w:rFonts w:ascii="Cambria Math" w:hAnsi="Cambria Math" w:cs="Times New Roman"/>
                    </w:rPr>
                    <m:t>W</m:t>
                  </m:r>
                </m:e>
              </m:d>
              <m:r>
                <m:rPr>
                  <m:sty m:val="p"/>
                </m:rPr>
                <w:rPr>
                  <w:rFonts w:ascii="Cambria Math" w:hAnsi="Cambria Math" w:cs="Times New Roman"/>
                </w:rPr>
                <m:t xml:space="preserve"> dW</m:t>
              </m:r>
            </m:e>
          </m:nary>
        </m:oMath>
      </m:oMathPara>
    </w:p>
    <w:p w14:paraId="03D237A4" w14:textId="77777777" w:rsidR="00C54DB6" w:rsidRDefault="00000000">
      <w:pPr>
        <w:rPr>
          <w:rFonts w:cs="Times New Roman"/>
        </w:rPr>
      </w:pPr>
      <w:r>
        <w:rPr>
          <w:rFonts w:cs="Times New Roman"/>
        </w:rPr>
        <w:t xml:space="preserve">Under the </w:t>
      </w:r>
      <w:proofErr w:type="spellStart"/>
      <w:r>
        <w:rPr>
          <w:rFonts w:cs="Times New Roman"/>
        </w:rPr>
        <w:t>Beckerian</w:t>
      </w:r>
      <w:proofErr w:type="spellEnd"/>
      <w:r>
        <w:rPr>
          <w:rFonts w:cs="Times New Roman"/>
        </w:rPr>
        <w:t xml:space="preserve"> deterrence framework, an irrigator desists from illegal abstraction if the expected monetary penalty weakly exceeds the private return from theft:</w:t>
      </w:r>
    </w:p>
    <w:p w14:paraId="32AD4BCC" w14:textId="77777777" w:rsidR="00C54DB6" w:rsidRDefault="00000000">
      <w:pPr>
        <w:rPr>
          <w:rFonts w:cs="Times New Roman"/>
        </w:rPr>
      </w:pPr>
      <m:oMathPara>
        <m:oMathParaPr>
          <m:jc m:val="center"/>
        </m:oMathParaPr>
        <m:oMath>
          <m:r>
            <m:rPr>
              <m:sty m:val="p"/>
            </m:rPr>
            <w:rPr>
              <w:rFonts w:ascii="Cambria Math" w:hAnsi="Cambria Math" w:cs="Times New Roman"/>
            </w:rPr>
            <m:t>E⋅</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m3</m:t>
              </m:r>
            </m:sub>
            <m:sup>
              <m:r>
                <m:rPr>
                  <m:sty m:val="p"/>
                </m:rPr>
                <w:rPr>
                  <w:rFonts w:ascii="Cambria Math" w:hAnsi="Cambria Math" w:cs="Times New Roman"/>
                </w:rPr>
                <m:t>*</m:t>
              </m:r>
            </m:sup>
          </m:sSubSup>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r>
            <m:rPr>
              <m:sty m:val="p"/>
            </m:rPr>
            <w:rPr>
              <w:rFonts w:ascii="Cambria Math" w:hAnsi="Cambria Math" w:cs="Times New Roman"/>
            </w:rPr>
            <m:t xml:space="preserve">  ⟹  </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m3</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num>
            <m:den>
              <m:r>
                <m:rPr>
                  <m:sty m:val="p"/>
                </m:rPr>
                <w:rPr>
                  <w:rFonts w:ascii="Cambria Math" w:hAnsi="Cambria Math" w:cs="Times New Roman"/>
                </w:rPr>
                <m:t>E</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m</m:t>
                  </m:r>
                </m:sub>
              </m:sSub>
            </m:num>
            <m:den>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d</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p</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c</m:t>
                  </m:r>
                </m:sub>
              </m:sSub>
            </m:den>
          </m:f>
        </m:oMath>
      </m:oMathPara>
    </w:p>
    <w:p w14:paraId="3D4193F2" w14:textId="77777777" w:rsidR="00C54DB6" w:rsidRDefault="00000000">
      <w:pPr>
        <w:rPr>
          <w:rFonts w:cs="Times New Roman"/>
        </w:rPr>
      </w:pPr>
      <w:r>
        <w:rPr>
          <w:rFonts w:cs="Times New Roman"/>
        </w:rPr>
        <w:t>Substituting the integral representation of foregone profit into the deterrence condition:</w:t>
      </w:r>
    </w:p>
    <w:p w14:paraId="17D585A8" w14:textId="77777777" w:rsidR="00C54DB6" w:rsidRDefault="00000000">
      <w:pPr>
        <w:rPr>
          <w:rFonts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m3</m:t>
              </m:r>
            </m:sub>
            <m:sup>
              <m:r>
                <m:rPr>
                  <m:sty m:val="p"/>
                </m:rPr>
                <w:rPr>
                  <w:rFonts w:ascii="Cambria Math" w:hAnsi="Cambria Math" w:cs="Times New Roman"/>
                </w:rPr>
                <m:t>*</m:t>
              </m:r>
            </m:sup>
          </m:sSubSup>
          <m:d>
            <m:dPr>
              <m:ctrlPr>
                <w:rPr>
                  <w:rFonts w:ascii="Cambria Math" w:hAnsi="Cambria Math" w:cs="Times New Roman"/>
                </w:rPr>
              </m:ctrlPr>
            </m:dPr>
            <m:e>
              <m:r>
                <w:rPr>
                  <w:rFonts w:ascii="Cambria Math" w:hAnsi="Cambria Math" w:cs="Times New Roman"/>
                </w:rPr>
                <m:t>z</m:t>
              </m:r>
            </m:e>
          </m:d>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d</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p</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c</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den>
          </m:f>
          <m:nary>
            <m:naryPr>
              <m:limLoc m:val="subSup"/>
              <m:ctrlPr>
                <w:rPr>
                  <w:rFonts w:ascii="Cambria Math" w:hAnsi="Cambria Math" w:cs="Times New Roman"/>
                </w:rPr>
              </m:ctrlPr>
            </m:naryPr>
            <m:sub>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sub>
            <m:sup>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sup>
            <m:e>
              <m:d>
                <m:dPr>
                  <m:begChr m:val="["/>
                  <m:endChr m:val="]"/>
                  <m:ctrlPr>
                    <w:rPr>
                      <w:rFonts w:ascii="Cambria Math" w:hAnsi="Cambria Math" w:cs="Times New Roman"/>
                    </w:rPr>
                  </m:ctrlPr>
                </m:dPr>
                <m:e>
                  <m:nary>
                    <m:naryPr>
                      <m:chr m:val="∑"/>
                      <m:limLoc m:val="subSup"/>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mc</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λ</m:t>
                                  </m:r>
                                </m:e>
                                <m:sub>
                                  <m:r>
                                    <w:rPr>
                                      <w:rFonts w:ascii="Cambria Math" w:hAnsi="Cambria Math" w:cs="Times New Roman"/>
                                    </w:rPr>
                                    <m:t>m</m:t>
                                  </m:r>
                                </m:sub>
                                <m:sup>
                                  <m:r>
                                    <m:rPr>
                                      <m:sty m:val="p"/>
                                    </m:rPr>
                                    <w:rPr>
                                      <w:rFonts w:ascii="Cambria Math" w:hAnsi="Cambria Math" w:cs="Times New Roman"/>
                                    </w:rPr>
                                    <m:t>L</m:t>
                                  </m:r>
                                </m:sup>
                              </m:sSubSup>
                            </m:e>
                          </m:d>
                        </m:num>
                        <m:den>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den>
                      </m:f>
                    </m:e>
                  </m:nary>
                  <m:r>
                    <m:rPr>
                      <m:sty m:val="p"/>
                    </m:rPr>
                    <w:rPr>
                      <w:rFonts w:ascii="Cambria Math" w:hAnsi="Cambria Math" w:cs="Times New Roman"/>
                    </w:rPr>
                    <m:t>-</m:t>
                  </m:r>
                  <m:r>
                    <w:rPr>
                      <w:rFonts w:ascii="Cambria Math" w:hAnsi="Cambria Math" w:cs="Times New Roman"/>
                    </w:rPr>
                    <m:t>W</m:t>
                  </m:r>
                  <m:nary>
                    <m:naryPr>
                      <m:chr m:val="∑"/>
                      <m:limLoc m:val="subSup"/>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f>
                        <m:fPr>
                          <m:ctrlPr>
                            <w:rPr>
                              <w:rFonts w:ascii="Cambria Math" w:hAnsi="Cambria Math" w:cs="Times New Roman"/>
                            </w:rPr>
                          </m:ctrlPr>
                        </m:fPr>
                        <m:num>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e>
                            <m:sup>
                              <m:r>
                                <m:rPr>
                                  <m:sty m:val="p"/>
                                </m:rPr>
                                <w:rPr>
                                  <w:rFonts w:ascii="Cambria Math" w:hAnsi="Cambria Math" w:cs="Times New Roman"/>
                                </w:rPr>
                                <m:t>2</m:t>
                              </m:r>
                            </m:sup>
                          </m:sSup>
                        </m:num>
                        <m:den>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den>
                      </m:f>
                    </m:e>
                  </m:nary>
                </m:e>
              </m:d>
              <m:r>
                <m:rPr>
                  <m:sty m:val="p"/>
                </m:rPr>
                <w:rPr>
                  <w:rFonts w:ascii="Cambria Math" w:hAnsi="Cambria Math" w:cs="Times New Roman"/>
                </w:rPr>
                <m:t xml:space="preserve"> dW</m:t>
              </m:r>
            </m:e>
          </m:nary>
        </m:oMath>
      </m:oMathPara>
    </w:p>
    <w:p w14:paraId="7575303B" w14:textId="77777777" w:rsidR="00C54DB6" w:rsidRDefault="00000000">
      <w:pPr>
        <w:rPr>
          <w:rFonts w:cs="Times New Roman"/>
        </w:rPr>
      </w:pPr>
      <w:r>
        <w:rPr>
          <w:rFonts w:cs="Times New Roman"/>
          <w:b/>
        </w:rPr>
        <w:t>Cross-Partial Derivatives and Parameter Interactions</w:t>
      </w:r>
    </w:p>
    <w:p w14:paraId="2BC83C19" w14:textId="77777777" w:rsidR="00C54DB6" w:rsidRDefault="00000000">
      <w:pPr>
        <w:rPr>
          <w:rFonts w:cs="Times New Roman"/>
        </w:rPr>
      </w:pPr>
      <w:r>
        <w:rPr>
          <w:rFonts w:cs="Times New Roman"/>
        </w:rPr>
        <w:t xml:space="preserve">The SHAP </w:t>
      </w:r>
      <w:proofErr w:type="spellStart"/>
      <w:r>
        <w:rPr>
          <w:rFonts w:cs="Times New Roman"/>
        </w:rPr>
        <w:t>beeswarm</w:t>
      </w:r>
      <w:proofErr w:type="spellEnd"/>
      <w:r>
        <w:rPr>
          <w:rFonts w:cs="Times New Roman"/>
        </w:rPr>
        <w:t xml:space="preserve"> and scatter plots reveal strong bivariate interactions between market parameters and institutional enforcement. Evaluating the cross-partial derivative of </w:t>
      </w: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m3</m:t>
            </m:r>
          </m:sub>
          <m:sup>
            <m:r>
              <m:rPr>
                <m:sty m:val="p"/>
              </m:rPr>
              <w:rPr>
                <w:rFonts w:ascii="Cambria Math" w:hAnsi="Cambria Math" w:cs="Times New Roman"/>
              </w:rPr>
              <m:t>*</m:t>
            </m:r>
          </m:sup>
        </m:sSubSup>
      </m:oMath>
      <w:r>
        <w:rPr>
          <w:rFonts w:cs="Times New Roman"/>
        </w:rPr>
        <w:t xml:space="preserve"> between crop prices and prosecution probability:</w:t>
      </w:r>
    </w:p>
    <w:p w14:paraId="3BB65DE1" w14:textId="77777777" w:rsidR="00C54DB6" w:rsidRDefault="00000000">
      <w:pPr>
        <w:rPr>
          <w:rFonts w:cs="Times New Roman"/>
        </w:rPr>
      </w:pPr>
      <m:oMathPara>
        <m:oMathParaPr>
          <m:jc m:val="center"/>
        </m:oMathParaPr>
        <m:oMath>
          <m:f>
            <m:fPr>
              <m:ctrlPr>
                <w:rPr>
                  <w:rFonts w:ascii="Cambria Math" w:hAnsi="Cambria Math" w:cs="Times New Roman"/>
                </w:rPr>
              </m:ctrlPr>
            </m:fPr>
            <m:num>
              <m:sSup>
                <m:sSupPr>
                  <m:ctrlPr>
                    <w:rPr>
                      <w:rFonts w:ascii="Cambria Math" w:hAnsi="Cambria Math" w:cs="Times New Roman"/>
                    </w:rPr>
                  </m:ctrlPr>
                </m:sSupPr>
                <m:e>
                  <m:r>
                    <m:rPr>
                      <m:sty m:val="p"/>
                    </m:rPr>
                    <w:rPr>
                      <w:rFonts w:ascii="Cambria Math" w:hAnsi="Cambria Math" w:cs="Times New Roman"/>
                    </w:rPr>
                    <m:t>∂</m:t>
                  </m:r>
                </m:e>
                <m:sup>
                  <m:r>
                    <m:rPr>
                      <m:sty m:val="p"/>
                    </m:rPr>
                    <w:rPr>
                      <w:rFonts w:ascii="Cambria Math" w:hAnsi="Cambria Math" w:cs="Times New Roman"/>
                    </w:rPr>
                    <m:t>2</m:t>
                  </m:r>
                </m:sup>
              </m:sSup>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m3</m:t>
                  </m:r>
                </m:sub>
                <m:sup>
                  <m:r>
                    <m:rPr>
                      <m:sty m:val="p"/>
                    </m:rPr>
                    <w:rPr>
                      <w:rFonts w:ascii="Cambria Math" w:hAnsi="Cambria Math" w:cs="Times New Roman"/>
                    </w:rPr>
                    <m:t>*</m:t>
                  </m:r>
                </m:sup>
              </m:sSubSup>
            </m:num>
            <m:den>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p</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p</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d</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p</m:t>
                  </m:r>
                </m:sub>
                <m:sup>
                  <m:r>
                    <m:rPr>
                      <m:sty m:val="p"/>
                    </m:rPr>
                    <w:rPr>
                      <w:rFonts w:ascii="Cambria Math" w:hAnsi="Cambria Math" w:cs="Times New Roman"/>
                    </w:rPr>
                    <m:t>2</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c</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den>
          </m:f>
          <m:nary>
            <m:naryPr>
              <m:limLoc m:val="subSup"/>
              <m:ctrlPr>
                <w:rPr>
                  <w:rFonts w:ascii="Cambria Math" w:hAnsi="Cambria Math" w:cs="Times New Roman"/>
                </w:rPr>
              </m:ctrlPr>
            </m:naryPr>
            <m:sub>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sub>
            <m:sup>
              <m:r>
                <w:rPr>
                  <w:rFonts w:ascii="Cambria Math" w:hAnsi="Cambria Math" w:cs="Times New Roman"/>
                </w:rPr>
                <m:t>λ</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r>
                    <m:rPr>
                      <m:sty m:val="p"/>
                    </m:rPr>
                    <w:rPr>
                      <w:rFonts w:ascii="Cambria Math" w:hAnsi="Cambria Math" w:cs="Times New Roman"/>
                    </w:rPr>
                    <m:t>,0</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W</m:t>
                  </m:r>
                </m:e>
                <m:sub>
                  <m:r>
                    <w:rPr>
                      <w:rFonts w:ascii="Cambria Math" w:hAnsi="Cambria Math" w:cs="Times New Roman"/>
                    </w:rPr>
                    <m:t>m</m:t>
                  </m:r>
                </m:sub>
                <m:sup>
                  <m:r>
                    <m:rPr>
                      <m:sty m:val="p"/>
                    </m:rPr>
                    <w:rPr>
                      <w:rFonts w:ascii="Cambria Math" w:hAnsi="Cambria Math" w:cs="Times New Roman"/>
                    </w:rPr>
                    <m:t>I</m:t>
                  </m:r>
                </m:sup>
              </m:sSubSup>
            </m:sup>
            <m:e>
              <m:d>
                <m:dPr>
                  <m:begChr m:val="["/>
                  <m:endChr m:val="]"/>
                  <m:ctrlPr>
                    <w:rPr>
                      <w:rFonts w:ascii="Cambria Math" w:hAnsi="Cambria Math" w:cs="Times New Roman"/>
                    </w:rPr>
                  </m:ctrlPr>
                </m:dPr>
                <m:e>
                  <m:f>
                    <m:fPr>
                      <m:ctrlPr>
                        <w:rPr>
                          <w:rFonts w:ascii="Cambria Math" w:hAnsi="Cambria Math" w:cs="Times New Roman"/>
                        </w:rPr>
                      </m:ctrlPr>
                    </m:fPr>
                    <m:num>
                      <m:nary>
                        <m:naryPr>
                          <m:chr m:val="∑"/>
                          <m:limLoc m:val="subSup"/>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mc</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y</m:t>
                                  </m:r>
                                </m:sub>
                              </m:sSub>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mc</m:t>
                                  </m:r>
                                </m:sub>
                              </m:sSub>
                            </m:num>
                            <m:den>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mc</m:t>
                                  </m:r>
                                </m:sub>
                              </m:sSub>
                            </m:den>
                          </m:f>
                        </m:e>
                      </m:nary>
                    </m:num>
                    <m:den>
                      <m:nary>
                        <m:naryPr>
                          <m:chr m:val="∑"/>
                          <m:limLoc m:val="subSup"/>
                          <m:supHide m:val="1"/>
                          <m:ctrlPr>
                            <w:rPr>
                              <w:rFonts w:ascii="Cambria Math" w:hAnsi="Cambria Math" w:cs="Times New Roman"/>
                            </w:rPr>
                          </m:ctrlPr>
                        </m:naryPr>
                        <m:sub>
                          <m:r>
                            <w:rPr>
                              <w:rFonts w:ascii="Cambria Math" w:hAnsi="Cambria Math" w:cs="Times New Roman"/>
                            </w:rPr>
                            <m:t>k</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m</m:t>
                              </m:r>
                            </m:sub>
                          </m:sSub>
                        </m:sub>
                        <m:sup/>
                        <m:e>
                          <m:f>
                            <m:fPr>
                              <m:ctrlPr>
                                <w:rPr>
                                  <w:rFonts w:ascii="Cambria Math" w:hAnsi="Cambria Math" w:cs="Times New Roman"/>
                                </w:rPr>
                              </m:ctrlPr>
                            </m:fPr>
                            <m:num>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mk</m:t>
                                      </m:r>
                                    </m:sub>
                                  </m:sSub>
                                </m:e>
                                <m:sup>
                                  <m:r>
                                    <m:rPr>
                                      <m:sty m:val="p"/>
                                    </m:rPr>
                                    <w:rPr>
                                      <w:rFonts w:ascii="Cambria Math" w:hAnsi="Cambria Math" w:cs="Times New Roman"/>
                                    </w:rPr>
                                    <m:t>2</m:t>
                                  </m:r>
                                </m:sup>
                              </m:sSup>
                            </m:num>
                            <m:den>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mk</m:t>
                                  </m:r>
                                </m:sub>
                              </m:sSub>
                            </m:den>
                          </m:f>
                        </m:e>
                      </m:nary>
                    </m:den>
                  </m:f>
                </m:e>
              </m:d>
              <m:r>
                <m:rPr>
                  <m:sty m:val="p"/>
                </m:rPr>
                <w:rPr>
                  <w:rFonts w:ascii="Cambria Math" w:hAnsi="Cambria Math" w:cs="Times New Roman"/>
                </w:rPr>
                <m:t xml:space="preserve"> dW</m:t>
              </m:r>
            </m:e>
          </m:nary>
          <m:r>
            <m:rPr>
              <m:sty m:val="p"/>
            </m:rPr>
            <w:rPr>
              <w:rFonts w:ascii="Cambria Math" w:hAnsi="Cambria Math" w:cs="Times New Roman"/>
            </w:rPr>
            <m:t>&lt;0</m:t>
          </m:r>
        </m:oMath>
      </m:oMathPara>
    </w:p>
    <w:p w14:paraId="5E3C4F90" w14:textId="77777777" w:rsidR="00C54DB6" w:rsidRDefault="00000000">
      <w:pPr>
        <w:rPr>
          <w:rFonts w:cs="Times New Roman"/>
        </w:rPr>
      </w:pPr>
      <w:r>
        <w:rPr>
          <w:rFonts w:cs="Times New Roman"/>
        </w:rPr>
        <w:t>This cross-partial derivative is strictly negative:</w:t>
      </w:r>
    </w:p>
    <w:p w14:paraId="4AC52473" w14:textId="77777777" w:rsidR="00C54DB6" w:rsidRDefault="00000000">
      <w:pPr>
        <w:rPr>
          <w:rFonts w:cs="Times New Roman"/>
        </w:rPr>
      </w:pPr>
      <w:proofErr w:type="spellStart"/>
      <w:r>
        <w:rPr>
          <w:rFonts w:cs="Times New Roman"/>
        </w:rPr>
        <w:t>i</w:t>
      </w:r>
      <w:proofErr w:type="spellEnd"/>
      <w:r>
        <w:rPr>
          <w:rFonts w:cs="Times New Roman"/>
        </w:rPr>
        <w:t>.</w:t>
      </w:r>
      <w:r>
        <w:rPr>
          <w:rFonts w:cs="Times New Roman"/>
        </w:rPr>
        <w:tab/>
        <w:t>under low enforcement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p</m:t>
            </m:r>
          </m:sub>
        </m:sSub>
        <m:r>
          <m:rPr>
            <m:sty m:val="p"/>
          </m:rPr>
          <w:rPr>
            <w:rFonts w:ascii="Cambria Math" w:hAnsi="Cambria Math" w:cs="Times New Roman"/>
          </w:rPr>
          <m:t>→0</m:t>
        </m:r>
      </m:oMath>
      <w:r>
        <w:rPr>
          <w:rFonts w:cs="Times New Roman"/>
        </w:rPr>
        <w:t>): High commodity prices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p</m:t>
            </m:r>
          </m:sub>
        </m:sSub>
        <m:r>
          <m:rPr>
            <m:sty m:val="p"/>
          </m:rPr>
          <w:rPr>
            <w:rFonts w:ascii="Cambria Math" w:hAnsi="Cambria Math" w:cs="Times New Roman"/>
          </w:rPr>
          <m:t>&gt;1</m:t>
        </m:r>
      </m:oMath>
      <w:r>
        <w:rPr>
          <w:rFonts w:cs="Times New Roman"/>
        </w:rPr>
        <w:t>) compound the private return from theft while the denominator approaches zero, leading to extreme required penalties (the upper tail of the kernel density extending beyond 37 EUR/</w:t>
      </w:r>
      <m:oMath>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oMath>
      <w:r>
        <w:rPr>
          <w:rFonts w:cs="Times New Roman"/>
        </w:rPr>
        <w:t>).</w:t>
      </w:r>
    </w:p>
    <w:p w14:paraId="08142127" w14:textId="77777777" w:rsidR="00C54DB6" w:rsidRDefault="00000000">
      <w:pPr>
        <w:rPr>
          <w:rFonts w:cs="Times New Roman"/>
        </w:rPr>
      </w:pPr>
      <w:r>
        <w:rPr>
          <w:rFonts w:cs="Times New Roman"/>
        </w:rPr>
        <w:t>ii.</w:t>
      </w:r>
      <w:r>
        <w:rPr>
          <w:rFonts w:cs="Times New Roman"/>
        </w:rPr>
        <w:tab/>
        <w:t>Under high enforcement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p</m:t>
            </m:r>
          </m:sub>
        </m:sSub>
        <m:r>
          <m:rPr>
            <m:sty m:val="p"/>
          </m:rPr>
          <w:rPr>
            <w:rFonts w:ascii="Cambria Math" w:hAnsi="Cambria Math" w:cs="Times New Roman"/>
          </w:rPr>
          <m:t>→1</m:t>
        </m:r>
      </m:oMath>
      <w:r>
        <w:rPr>
          <w:rFonts w:cs="Times New Roman"/>
        </w:rPr>
        <w:t>): Strong prosecution and conviction credibility compress the required penalty to low, stable values regardless of commodity market, causing the price sensitivity curves to flatten toward an asymptote.</w:t>
      </w:r>
    </w:p>
    <w:p w14:paraId="074892B0" w14:textId="77777777" w:rsidR="00C54DB6" w:rsidRDefault="00000000">
      <w:pPr>
        <w:rPr>
          <w:rFonts w:cs="Times New Roman"/>
        </w:rPr>
      </w:pPr>
      <w:r>
        <w:rPr>
          <w:rFonts w:cs="Times New Roman"/>
        </w:rPr>
        <w:t xml:space="preserve">The analytical derivations presented above and the numerical GSA via </w:t>
      </w:r>
      <w:proofErr w:type="spellStart"/>
      <w:r>
        <w:rPr>
          <w:rFonts w:cs="Times New Roman"/>
        </w:rPr>
        <w:t>TreeSHAP</w:t>
      </w:r>
      <w:proofErr w:type="spellEnd"/>
      <w:r>
        <w:rPr>
          <w:rFonts w:cs="Times New Roman"/>
        </w:rPr>
        <w:t xml:space="preserve"> serve distinct and complementary methodological roles. The analytical derivations provide qualitative, local verification under </w:t>
      </w:r>
      <w:r>
        <w:rPr>
          <w:rFonts w:cs="Times New Roman"/>
          <w:i/>
        </w:rPr>
        <w:t>ceteris paribus</w:t>
      </w:r>
      <w:r>
        <w:rPr>
          <w:rFonts w:cs="Times New Roman"/>
        </w:rPr>
        <w:t xml:space="preserve"> assumptions. They prove the mathematical necessity of the sign </w:t>
      </w:r>
      <w:r>
        <w:rPr>
          <w:rFonts w:cs="Times New Roman"/>
        </w:rPr>
        <w:lastRenderedPageBreak/>
        <w:t xml:space="preserve">and curvature of model response. (ii) The GSA evaluates the simultaneous, non-linear propagation of all seven parameters across the entire Latin Hypercube design space. It integrates the interaction effects across the parameter hypercube, accounts for multi-model calibration uncertainty (Standard vs. Average vs. Paris), and quantifies the </w:t>
      </w:r>
      <w:proofErr w:type="gramStart"/>
      <w:r>
        <w:rPr>
          <w:rFonts w:cs="Times New Roman"/>
        </w:rPr>
        <w:t>exact percentage</w:t>
      </w:r>
      <w:proofErr w:type="gramEnd"/>
      <w:r>
        <w:rPr>
          <w:rFonts w:cs="Times New Roman"/>
        </w:rPr>
        <w:t xml:space="preserve"> contribution of each driver to empirical output dispersion.</w:t>
      </w:r>
    </w:p>
    <w:sectPr w:rsidR="00C54DB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CC490" w14:textId="77777777" w:rsidR="001B5576" w:rsidRDefault="001B5576" w:rsidP="00440A10">
      <w:r>
        <w:separator/>
      </w:r>
    </w:p>
  </w:endnote>
  <w:endnote w:type="continuationSeparator" w:id="0">
    <w:p w14:paraId="71D2A932" w14:textId="77777777" w:rsidR="001B5576" w:rsidRDefault="001B5576" w:rsidP="00440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684CD" w14:textId="77777777" w:rsidR="001B5576" w:rsidRDefault="001B5576" w:rsidP="00440A10">
      <w:r>
        <w:separator/>
      </w:r>
    </w:p>
  </w:footnote>
  <w:footnote w:type="continuationSeparator" w:id="0">
    <w:p w14:paraId="080B0DEC" w14:textId="77777777" w:rsidR="001B5576" w:rsidRDefault="001B5576" w:rsidP="00440A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EDD"/>
    <w:multiLevelType w:val="hybridMultilevel"/>
    <w:tmpl w:val="D32E1404"/>
    <w:lvl w:ilvl="0" w:tplc="745A2132">
      <w:start w:val="1"/>
      <w:numFmt w:val="bullet"/>
      <w:lvlText w:val="-"/>
      <w:lvlJc w:val="left"/>
      <w:pPr>
        <w:ind w:left="720" w:hanging="360"/>
      </w:pPr>
      <w:rPr>
        <w:rFonts w:ascii="Microsoft Sans Serif" w:eastAsiaTheme="minorHAnsi" w:hAnsi="Microsoft Sans Serif"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DC63D8"/>
    <w:multiLevelType w:val="multilevel"/>
    <w:tmpl w:val="23D86C6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3757B4"/>
    <w:multiLevelType w:val="multilevel"/>
    <w:tmpl w:val="CAB0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95780"/>
    <w:multiLevelType w:val="multilevel"/>
    <w:tmpl w:val="10D4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461E6"/>
    <w:multiLevelType w:val="hybridMultilevel"/>
    <w:tmpl w:val="0D2A5A68"/>
    <w:lvl w:ilvl="0" w:tplc="7B283A0A">
      <w:numFmt w:val="bullet"/>
      <w:lvlText w:val="-"/>
      <w:lvlJc w:val="left"/>
      <w:pPr>
        <w:ind w:left="420" w:hanging="360"/>
      </w:pPr>
      <w:rPr>
        <w:rFonts w:ascii="Palatino Linotype" w:eastAsiaTheme="minorHAnsi" w:hAnsi="Palatino Linotype" w:cstheme="minorBidi"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15:restartNumberingAfterBreak="0">
    <w:nsid w:val="25722F93"/>
    <w:multiLevelType w:val="multilevel"/>
    <w:tmpl w:val="D166F5A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AE6D6B"/>
    <w:multiLevelType w:val="multilevel"/>
    <w:tmpl w:val="E70A0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8A3447"/>
    <w:multiLevelType w:val="multilevel"/>
    <w:tmpl w:val="711CB4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32937B4F"/>
    <w:multiLevelType w:val="multilevel"/>
    <w:tmpl w:val="D166F5A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2D1398E"/>
    <w:multiLevelType w:val="multilevel"/>
    <w:tmpl w:val="787CA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271AF9"/>
    <w:multiLevelType w:val="hybridMultilevel"/>
    <w:tmpl w:val="CD2A7F5E"/>
    <w:lvl w:ilvl="0" w:tplc="A972FBF4">
      <w:start w:val="1"/>
      <w:numFmt w:val="lowerLetter"/>
      <w:lvlText w:val="%1."/>
      <w:lvlJc w:val="left"/>
      <w:pPr>
        <w:ind w:left="1020" w:hanging="360"/>
      </w:pPr>
    </w:lvl>
    <w:lvl w:ilvl="1" w:tplc="5D70F376">
      <w:start w:val="1"/>
      <w:numFmt w:val="lowerLetter"/>
      <w:lvlText w:val="%2."/>
      <w:lvlJc w:val="left"/>
      <w:pPr>
        <w:ind w:left="1020" w:hanging="360"/>
      </w:pPr>
    </w:lvl>
    <w:lvl w:ilvl="2" w:tplc="A84048AC">
      <w:start w:val="1"/>
      <w:numFmt w:val="lowerLetter"/>
      <w:lvlText w:val="%3."/>
      <w:lvlJc w:val="left"/>
      <w:pPr>
        <w:ind w:left="1020" w:hanging="360"/>
      </w:pPr>
    </w:lvl>
    <w:lvl w:ilvl="3" w:tplc="4BC412CC">
      <w:start w:val="1"/>
      <w:numFmt w:val="lowerLetter"/>
      <w:lvlText w:val="%4."/>
      <w:lvlJc w:val="left"/>
      <w:pPr>
        <w:ind w:left="1020" w:hanging="360"/>
      </w:pPr>
    </w:lvl>
    <w:lvl w:ilvl="4" w:tplc="75EC53F8">
      <w:start w:val="1"/>
      <w:numFmt w:val="lowerLetter"/>
      <w:lvlText w:val="%5."/>
      <w:lvlJc w:val="left"/>
      <w:pPr>
        <w:ind w:left="1020" w:hanging="360"/>
      </w:pPr>
    </w:lvl>
    <w:lvl w:ilvl="5" w:tplc="B0DA16EC">
      <w:start w:val="1"/>
      <w:numFmt w:val="lowerLetter"/>
      <w:lvlText w:val="%6."/>
      <w:lvlJc w:val="left"/>
      <w:pPr>
        <w:ind w:left="1020" w:hanging="360"/>
      </w:pPr>
    </w:lvl>
    <w:lvl w:ilvl="6" w:tplc="C4D0ED8E">
      <w:start w:val="1"/>
      <w:numFmt w:val="lowerLetter"/>
      <w:lvlText w:val="%7."/>
      <w:lvlJc w:val="left"/>
      <w:pPr>
        <w:ind w:left="1020" w:hanging="360"/>
      </w:pPr>
    </w:lvl>
    <w:lvl w:ilvl="7" w:tplc="27C62BDA">
      <w:start w:val="1"/>
      <w:numFmt w:val="lowerLetter"/>
      <w:lvlText w:val="%8."/>
      <w:lvlJc w:val="left"/>
      <w:pPr>
        <w:ind w:left="1020" w:hanging="360"/>
      </w:pPr>
    </w:lvl>
    <w:lvl w:ilvl="8" w:tplc="AD401D44">
      <w:start w:val="1"/>
      <w:numFmt w:val="lowerLetter"/>
      <w:lvlText w:val="%9."/>
      <w:lvlJc w:val="left"/>
      <w:pPr>
        <w:ind w:left="1020" w:hanging="360"/>
      </w:pPr>
    </w:lvl>
  </w:abstractNum>
  <w:abstractNum w:abstractNumId="11" w15:restartNumberingAfterBreak="0">
    <w:nsid w:val="36B87FFB"/>
    <w:multiLevelType w:val="hybridMultilevel"/>
    <w:tmpl w:val="8AAA1CF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AE54A7"/>
    <w:multiLevelType w:val="multilevel"/>
    <w:tmpl w:val="885E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24F79"/>
    <w:multiLevelType w:val="multilevel"/>
    <w:tmpl w:val="26C49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874E2B"/>
    <w:multiLevelType w:val="hybridMultilevel"/>
    <w:tmpl w:val="1E6C6E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FDA05E2"/>
    <w:multiLevelType w:val="multilevel"/>
    <w:tmpl w:val="B1988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1E4D62"/>
    <w:multiLevelType w:val="multilevel"/>
    <w:tmpl w:val="C05ACF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653A36E3"/>
    <w:multiLevelType w:val="multilevel"/>
    <w:tmpl w:val="1F82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755E29"/>
    <w:multiLevelType w:val="multilevel"/>
    <w:tmpl w:val="071C3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252BA6"/>
    <w:multiLevelType w:val="multilevel"/>
    <w:tmpl w:val="69B8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B85DF5"/>
    <w:multiLevelType w:val="hybridMultilevel"/>
    <w:tmpl w:val="F1E6B838"/>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08033461">
    <w:abstractNumId w:val="17"/>
  </w:num>
  <w:num w:numId="2" w16cid:durableId="1002514870">
    <w:abstractNumId w:val="6"/>
  </w:num>
  <w:num w:numId="3" w16cid:durableId="378824517">
    <w:abstractNumId w:val="13"/>
  </w:num>
  <w:num w:numId="4" w16cid:durableId="1107190243">
    <w:abstractNumId w:val="3"/>
  </w:num>
  <w:num w:numId="5" w16cid:durableId="1294677303">
    <w:abstractNumId w:val="9"/>
  </w:num>
  <w:num w:numId="6" w16cid:durableId="1222667375">
    <w:abstractNumId w:val="18"/>
  </w:num>
  <w:num w:numId="7" w16cid:durableId="1035274294">
    <w:abstractNumId w:val="15"/>
  </w:num>
  <w:num w:numId="8" w16cid:durableId="1140463332">
    <w:abstractNumId w:val="11"/>
  </w:num>
  <w:num w:numId="9" w16cid:durableId="1271282209">
    <w:abstractNumId w:val="19"/>
  </w:num>
  <w:num w:numId="10" w16cid:durableId="285938407">
    <w:abstractNumId w:val="12"/>
  </w:num>
  <w:num w:numId="11" w16cid:durableId="1726097918">
    <w:abstractNumId w:val="2"/>
  </w:num>
  <w:num w:numId="12" w16cid:durableId="2094885804">
    <w:abstractNumId w:val="4"/>
  </w:num>
  <w:num w:numId="13" w16cid:durableId="1712414039">
    <w:abstractNumId w:val="14"/>
  </w:num>
  <w:num w:numId="14" w16cid:durableId="484736310">
    <w:abstractNumId w:val="0"/>
  </w:num>
  <w:num w:numId="15" w16cid:durableId="1293511380">
    <w:abstractNumId w:val="5"/>
  </w:num>
  <w:num w:numId="16" w16cid:durableId="1234320737">
    <w:abstractNumId w:val="20"/>
  </w:num>
  <w:num w:numId="17" w16cid:durableId="1348825208">
    <w:abstractNumId w:val="8"/>
  </w:num>
  <w:num w:numId="18" w16cid:durableId="2131125298">
    <w:abstractNumId w:val="10"/>
  </w:num>
  <w:num w:numId="19" w16cid:durableId="211188507">
    <w:abstractNumId w:val="1"/>
  </w:num>
  <w:num w:numId="20" w16cid:durableId="1300300617">
    <w:abstractNumId w:val="16"/>
  </w:num>
  <w:num w:numId="21" w16cid:durableId="107015196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ammauro Soriano">
    <w15:presenceInfo w15:providerId="AD" w15:userId="S::giammauro.soriano@agua.imdea.org::b79c119b-6ed8-4b4a-b639-3ab243ce76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7C4"/>
    <w:rsid w:val="00001BAC"/>
    <w:rsid w:val="000042FF"/>
    <w:rsid w:val="0000649D"/>
    <w:rsid w:val="00006AEC"/>
    <w:rsid w:val="000100A0"/>
    <w:rsid w:val="00010D57"/>
    <w:rsid w:val="00011D47"/>
    <w:rsid w:val="000123F9"/>
    <w:rsid w:val="000205B5"/>
    <w:rsid w:val="00021885"/>
    <w:rsid w:val="00025156"/>
    <w:rsid w:val="00026DB5"/>
    <w:rsid w:val="00027CA5"/>
    <w:rsid w:val="00030470"/>
    <w:rsid w:val="00033B36"/>
    <w:rsid w:val="00034175"/>
    <w:rsid w:val="000350AE"/>
    <w:rsid w:val="00036D8F"/>
    <w:rsid w:val="000375AD"/>
    <w:rsid w:val="0004386D"/>
    <w:rsid w:val="0004400D"/>
    <w:rsid w:val="00044B5F"/>
    <w:rsid w:val="0004752A"/>
    <w:rsid w:val="00050236"/>
    <w:rsid w:val="00050F29"/>
    <w:rsid w:val="000518B7"/>
    <w:rsid w:val="00052694"/>
    <w:rsid w:val="00054724"/>
    <w:rsid w:val="00056D5D"/>
    <w:rsid w:val="00063C3E"/>
    <w:rsid w:val="0006484D"/>
    <w:rsid w:val="000652F5"/>
    <w:rsid w:val="00065C58"/>
    <w:rsid w:val="000664CB"/>
    <w:rsid w:val="0006771F"/>
    <w:rsid w:val="00067A53"/>
    <w:rsid w:val="0007046D"/>
    <w:rsid w:val="000706DC"/>
    <w:rsid w:val="00081AFB"/>
    <w:rsid w:val="00082226"/>
    <w:rsid w:val="000827F0"/>
    <w:rsid w:val="00083D24"/>
    <w:rsid w:val="0008506B"/>
    <w:rsid w:val="00087D78"/>
    <w:rsid w:val="00087F05"/>
    <w:rsid w:val="00092A81"/>
    <w:rsid w:val="00093398"/>
    <w:rsid w:val="00093F0E"/>
    <w:rsid w:val="0009427A"/>
    <w:rsid w:val="000946F3"/>
    <w:rsid w:val="00095047"/>
    <w:rsid w:val="000A072B"/>
    <w:rsid w:val="000A0816"/>
    <w:rsid w:val="000A4878"/>
    <w:rsid w:val="000A501C"/>
    <w:rsid w:val="000A6B19"/>
    <w:rsid w:val="000A6DBB"/>
    <w:rsid w:val="000A7722"/>
    <w:rsid w:val="000B1AB8"/>
    <w:rsid w:val="000B4967"/>
    <w:rsid w:val="000B5CC1"/>
    <w:rsid w:val="000C0ECD"/>
    <w:rsid w:val="000C10BB"/>
    <w:rsid w:val="000C18AB"/>
    <w:rsid w:val="000C25BD"/>
    <w:rsid w:val="000C29D6"/>
    <w:rsid w:val="000C2F30"/>
    <w:rsid w:val="000C4C1B"/>
    <w:rsid w:val="000D37D8"/>
    <w:rsid w:val="000D40BE"/>
    <w:rsid w:val="000D5519"/>
    <w:rsid w:val="000D65C0"/>
    <w:rsid w:val="000E3FC0"/>
    <w:rsid w:val="000E5764"/>
    <w:rsid w:val="000E5F58"/>
    <w:rsid w:val="000E66FB"/>
    <w:rsid w:val="000E7332"/>
    <w:rsid w:val="000F6102"/>
    <w:rsid w:val="00100187"/>
    <w:rsid w:val="0010097F"/>
    <w:rsid w:val="00101374"/>
    <w:rsid w:val="00101907"/>
    <w:rsid w:val="00107C92"/>
    <w:rsid w:val="00110FE6"/>
    <w:rsid w:val="00111BA2"/>
    <w:rsid w:val="001122C6"/>
    <w:rsid w:val="001135AE"/>
    <w:rsid w:val="00113F0A"/>
    <w:rsid w:val="00114B8B"/>
    <w:rsid w:val="00114D05"/>
    <w:rsid w:val="0011567E"/>
    <w:rsid w:val="00120392"/>
    <w:rsid w:val="0012054F"/>
    <w:rsid w:val="00120DCF"/>
    <w:rsid w:val="00120E5A"/>
    <w:rsid w:val="00121AFE"/>
    <w:rsid w:val="00123CC1"/>
    <w:rsid w:val="00123E2A"/>
    <w:rsid w:val="00126800"/>
    <w:rsid w:val="00135073"/>
    <w:rsid w:val="001356B9"/>
    <w:rsid w:val="001362EC"/>
    <w:rsid w:val="001378A9"/>
    <w:rsid w:val="00141F60"/>
    <w:rsid w:val="00142593"/>
    <w:rsid w:val="001433C8"/>
    <w:rsid w:val="00143903"/>
    <w:rsid w:val="00144BAC"/>
    <w:rsid w:val="001454E5"/>
    <w:rsid w:val="00146A63"/>
    <w:rsid w:val="001476D5"/>
    <w:rsid w:val="00147D29"/>
    <w:rsid w:val="00150C03"/>
    <w:rsid w:val="001510C8"/>
    <w:rsid w:val="0015270F"/>
    <w:rsid w:val="00154448"/>
    <w:rsid w:val="00162C84"/>
    <w:rsid w:val="001658AF"/>
    <w:rsid w:val="00166D94"/>
    <w:rsid w:val="00167929"/>
    <w:rsid w:val="00171DAF"/>
    <w:rsid w:val="00173D4A"/>
    <w:rsid w:val="00184B4D"/>
    <w:rsid w:val="001859BA"/>
    <w:rsid w:val="001872DE"/>
    <w:rsid w:val="00187A91"/>
    <w:rsid w:val="00191686"/>
    <w:rsid w:val="0019360B"/>
    <w:rsid w:val="00194808"/>
    <w:rsid w:val="001952B1"/>
    <w:rsid w:val="0019530E"/>
    <w:rsid w:val="00196341"/>
    <w:rsid w:val="0019716B"/>
    <w:rsid w:val="001A0BFB"/>
    <w:rsid w:val="001A0E96"/>
    <w:rsid w:val="001A1A75"/>
    <w:rsid w:val="001A282B"/>
    <w:rsid w:val="001A3F03"/>
    <w:rsid w:val="001A4D99"/>
    <w:rsid w:val="001A6DCE"/>
    <w:rsid w:val="001B1685"/>
    <w:rsid w:val="001B1854"/>
    <w:rsid w:val="001B1F32"/>
    <w:rsid w:val="001B2074"/>
    <w:rsid w:val="001B550D"/>
    <w:rsid w:val="001B5576"/>
    <w:rsid w:val="001C038E"/>
    <w:rsid w:val="001C0432"/>
    <w:rsid w:val="001C22E7"/>
    <w:rsid w:val="001C526C"/>
    <w:rsid w:val="001C528B"/>
    <w:rsid w:val="001C5CA3"/>
    <w:rsid w:val="001C762D"/>
    <w:rsid w:val="001D30E3"/>
    <w:rsid w:val="001D5090"/>
    <w:rsid w:val="001D7D73"/>
    <w:rsid w:val="001E1054"/>
    <w:rsid w:val="001E5024"/>
    <w:rsid w:val="001E69BA"/>
    <w:rsid w:val="001E6E55"/>
    <w:rsid w:val="001F1935"/>
    <w:rsid w:val="001F2E84"/>
    <w:rsid w:val="001F420F"/>
    <w:rsid w:val="001F4B70"/>
    <w:rsid w:val="001F58DF"/>
    <w:rsid w:val="001F6FDB"/>
    <w:rsid w:val="002005B4"/>
    <w:rsid w:val="00202EA9"/>
    <w:rsid w:val="002036F9"/>
    <w:rsid w:val="00203D5E"/>
    <w:rsid w:val="0021170E"/>
    <w:rsid w:val="00211818"/>
    <w:rsid w:val="00216736"/>
    <w:rsid w:val="00217372"/>
    <w:rsid w:val="00217A0E"/>
    <w:rsid w:val="00217BCE"/>
    <w:rsid w:val="00224B71"/>
    <w:rsid w:val="00232082"/>
    <w:rsid w:val="00241334"/>
    <w:rsid w:val="002428A4"/>
    <w:rsid w:val="00243F88"/>
    <w:rsid w:val="002441EA"/>
    <w:rsid w:val="0024446F"/>
    <w:rsid w:val="0024603C"/>
    <w:rsid w:val="002476D3"/>
    <w:rsid w:val="00250495"/>
    <w:rsid w:val="00251012"/>
    <w:rsid w:val="002511A0"/>
    <w:rsid w:val="002527BD"/>
    <w:rsid w:val="002546F7"/>
    <w:rsid w:val="00255893"/>
    <w:rsid w:val="00255DA9"/>
    <w:rsid w:val="00256594"/>
    <w:rsid w:val="00256751"/>
    <w:rsid w:val="002573BC"/>
    <w:rsid w:val="00260460"/>
    <w:rsid w:val="00265188"/>
    <w:rsid w:val="0027041A"/>
    <w:rsid w:val="00271D60"/>
    <w:rsid w:val="002720D4"/>
    <w:rsid w:val="0027774C"/>
    <w:rsid w:val="00280239"/>
    <w:rsid w:val="00284932"/>
    <w:rsid w:val="002865BA"/>
    <w:rsid w:val="00286E1C"/>
    <w:rsid w:val="00290CDD"/>
    <w:rsid w:val="0029149E"/>
    <w:rsid w:val="0029501C"/>
    <w:rsid w:val="00297EBB"/>
    <w:rsid w:val="002A0551"/>
    <w:rsid w:val="002A0E40"/>
    <w:rsid w:val="002A4210"/>
    <w:rsid w:val="002A45A7"/>
    <w:rsid w:val="002A4629"/>
    <w:rsid w:val="002A5E83"/>
    <w:rsid w:val="002B02C6"/>
    <w:rsid w:val="002B0B96"/>
    <w:rsid w:val="002B187A"/>
    <w:rsid w:val="002B290E"/>
    <w:rsid w:val="002B5C4F"/>
    <w:rsid w:val="002B7CAC"/>
    <w:rsid w:val="002C2B5A"/>
    <w:rsid w:val="002C3FA6"/>
    <w:rsid w:val="002C4BF3"/>
    <w:rsid w:val="002D3056"/>
    <w:rsid w:val="002D4F3F"/>
    <w:rsid w:val="002D6155"/>
    <w:rsid w:val="002D6E94"/>
    <w:rsid w:val="002E0F71"/>
    <w:rsid w:val="002E1883"/>
    <w:rsid w:val="002E3C9A"/>
    <w:rsid w:val="002E7152"/>
    <w:rsid w:val="002F1F9C"/>
    <w:rsid w:val="002F499C"/>
    <w:rsid w:val="002F5EBB"/>
    <w:rsid w:val="0030091A"/>
    <w:rsid w:val="00302FF7"/>
    <w:rsid w:val="00303C50"/>
    <w:rsid w:val="0030546F"/>
    <w:rsid w:val="00305CB7"/>
    <w:rsid w:val="0030775B"/>
    <w:rsid w:val="003103F3"/>
    <w:rsid w:val="00315CFF"/>
    <w:rsid w:val="00317230"/>
    <w:rsid w:val="00320277"/>
    <w:rsid w:val="003223AC"/>
    <w:rsid w:val="00324451"/>
    <w:rsid w:val="00324535"/>
    <w:rsid w:val="00324CC0"/>
    <w:rsid w:val="00327217"/>
    <w:rsid w:val="00327CA3"/>
    <w:rsid w:val="00333178"/>
    <w:rsid w:val="00333520"/>
    <w:rsid w:val="00333BAB"/>
    <w:rsid w:val="003353DA"/>
    <w:rsid w:val="00337991"/>
    <w:rsid w:val="00340DFC"/>
    <w:rsid w:val="00340F3F"/>
    <w:rsid w:val="003413D0"/>
    <w:rsid w:val="00341A81"/>
    <w:rsid w:val="00341BB5"/>
    <w:rsid w:val="00346C95"/>
    <w:rsid w:val="00346FA5"/>
    <w:rsid w:val="003506FD"/>
    <w:rsid w:val="00354117"/>
    <w:rsid w:val="00354CFB"/>
    <w:rsid w:val="003575C0"/>
    <w:rsid w:val="0036069B"/>
    <w:rsid w:val="00361164"/>
    <w:rsid w:val="00367961"/>
    <w:rsid w:val="00371A4D"/>
    <w:rsid w:val="003723DF"/>
    <w:rsid w:val="00372C1A"/>
    <w:rsid w:val="003735D9"/>
    <w:rsid w:val="00380FAB"/>
    <w:rsid w:val="00382350"/>
    <w:rsid w:val="00385B6B"/>
    <w:rsid w:val="00390429"/>
    <w:rsid w:val="003912D2"/>
    <w:rsid w:val="003A0069"/>
    <w:rsid w:val="003A32F0"/>
    <w:rsid w:val="003A34BF"/>
    <w:rsid w:val="003A66AB"/>
    <w:rsid w:val="003B1554"/>
    <w:rsid w:val="003B47C7"/>
    <w:rsid w:val="003C01FE"/>
    <w:rsid w:val="003C1400"/>
    <w:rsid w:val="003C1D73"/>
    <w:rsid w:val="003C25EC"/>
    <w:rsid w:val="003C5B7D"/>
    <w:rsid w:val="003C5C2A"/>
    <w:rsid w:val="003C5F1D"/>
    <w:rsid w:val="003C6670"/>
    <w:rsid w:val="003D0467"/>
    <w:rsid w:val="003D0E91"/>
    <w:rsid w:val="003D29D6"/>
    <w:rsid w:val="003D4A2A"/>
    <w:rsid w:val="003D77DD"/>
    <w:rsid w:val="003E2CCA"/>
    <w:rsid w:val="003E3464"/>
    <w:rsid w:val="003E372F"/>
    <w:rsid w:val="003E40C1"/>
    <w:rsid w:val="003E4F47"/>
    <w:rsid w:val="003F0D3B"/>
    <w:rsid w:val="003F1C08"/>
    <w:rsid w:val="003F2084"/>
    <w:rsid w:val="003F2437"/>
    <w:rsid w:val="003F3CDA"/>
    <w:rsid w:val="003F7A1A"/>
    <w:rsid w:val="003F7D86"/>
    <w:rsid w:val="00403582"/>
    <w:rsid w:val="0040391B"/>
    <w:rsid w:val="00404581"/>
    <w:rsid w:val="004066BA"/>
    <w:rsid w:val="00406782"/>
    <w:rsid w:val="00407F09"/>
    <w:rsid w:val="00411234"/>
    <w:rsid w:val="004115DF"/>
    <w:rsid w:val="00411F13"/>
    <w:rsid w:val="00413C48"/>
    <w:rsid w:val="004144AB"/>
    <w:rsid w:val="00417CEE"/>
    <w:rsid w:val="00417DA7"/>
    <w:rsid w:val="004225EA"/>
    <w:rsid w:val="00425B4D"/>
    <w:rsid w:val="00426639"/>
    <w:rsid w:val="00431071"/>
    <w:rsid w:val="004313E2"/>
    <w:rsid w:val="0043175D"/>
    <w:rsid w:val="00432568"/>
    <w:rsid w:val="0043364A"/>
    <w:rsid w:val="004344BA"/>
    <w:rsid w:val="00434B43"/>
    <w:rsid w:val="004350E1"/>
    <w:rsid w:val="004362CB"/>
    <w:rsid w:val="00440A10"/>
    <w:rsid w:val="004418B4"/>
    <w:rsid w:val="004427E4"/>
    <w:rsid w:val="00444598"/>
    <w:rsid w:val="00444BA6"/>
    <w:rsid w:val="0045427F"/>
    <w:rsid w:val="0045435B"/>
    <w:rsid w:val="00456110"/>
    <w:rsid w:val="00456A47"/>
    <w:rsid w:val="004601F3"/>
    <w:rsid w:val="00460B3B"/>
    <w:rsid w:val="00461A1B"/>
    <w:rsid w:val="004629FC"/>
    <w:rsid w:val="004644B9"/>
    <w:rsid w:val="00481E25"/>
    <w:rsid w:val="0048294A"/>
    <w:rsid w:val="0048348B"/>
    <w:rsid w:val="00483862"/>
    <w:rsid w:val="00484C35"/>
    <w:rsid w:val="00491389"/>
    <w:rsid w:val="00492014"/>
    <w:rsid w:val="00493C11"/>
    <w:rsid w:val="00495547"/>
    <w:rsid w:val="00496FA3"/>
    <w:rsid w:val="004A6448"/>
    <w:rsid w:val="004A6E07"/>
    <w:rsid w:val="004B2ADA"/>
    <w:rsid w:val="004B4632"/>
    <w:rsid w:val="004B7121"/>
    <w:rsid w:val="004B7199"/>
    <w:rsid w:val="004C2BD0"/>
    <w:rsid w:val="004C2EA7"/>
    <w:rsid w:val="004C49CE"/>
    <w:rsid w:val="004C5613"/>
    <w:rsid w:val="004D004E"/>
    <w:rsid w:val="004D1F34"/>
    <w:rsid w:val="004D2F7D"/>
    <w:rsid w:val="004E347B"/>
    <w:rsid w:val="004E4E2D"/>
    <w:rsid w:val="004E6A7B"/>
    <w:rsid w:val="004E6DBF"/>
    <w:rsid w:val="004F0ACF"/>
    <w:rsid w:val="004F1D26"/>
    <w:rsid w:val="004F25B9"/>
    <w:rsid w:val="004F68C5"/>
    <w:rsid w:val="004F6C35"/>
    <w:rsid w:val="005035FE"/>
    <w:rsid w:val="005039D7"/>
    <w:rsid w:val="00503D3A"/>
    <w:rsid w:val="00506E48"/>
    <w:rsid w:val="00507A74"/>
    <w:rsid w:val="005102F8"/>
    <w:rsid w:val="005128D5"/>
    <w:rsid w:val="005150A9"/>
    <w:rsid w:val="0051571D"/>
    <w:rsid w:val="00515B88"/>
    <w:rsid w:val="00517374"/>
    <w:rsid w:val="0052255D"/>
    <w:rsid w:val="00524053"/>
    <w:rsid w:val="00526204"/>
    <w:rsid w:val="00527167"/>
    <w:rsid w:val="00527475"/>
    <w:rsid w:val="00530330"/>
    <w:rsid w:val="00531264"/>
    <w:rsid w:val="00531601"/>
    <w:rsid w:val="00533F4C"/>
    <w:rsid w:val="0054378B"/>
    <w:rsid w:val="005452A1"/>
    <w:rsid w:val="0055017B"/>
    <w:rsid w:val="005518EE"/>
    <w:rsid w:val="00553036"/>
    <w:rsid w:val="005602D0"/>
    <w:rsid w:val="00560945"/>
    <w:rsid w:val="00560B64"/>
    <w:rsid w:val="00563B5A"/>
    <w:rsid w:val="00566A51"/>
    <w:rsid w:val="00566DA4"/>
    <w:rsid w:val="00571CCB"/>
    <w:rsid w:val="00573342"/>
    <w:rsid w:val="005742BF"/>
    <w:rsid w:val="0057509F"/>
    <w:rsid w:val="00577B61"/>
    <w:rsid w:val="00580565"/>
    <w:rsid w:val="00581D1C"/>
    <w:rsid w:val="0058242C"/>
    <w:rsid w:val="00582B5E"/>
    <w:rsid w:val="00587732"/>
    <w:rsid w:val="00587951"/>
    <w:rsid w:val="00590502"/>
    <w:rsid w:val="00591F2D"/>
    <w:rsid w:val="00592ADE"/>
    <w:rsid w:val="005938DD"/>
    <w:rsid w:val="005949BF"/>
    <w:rsid w:val="0059728C"/>
    <w:rsid w:val="00597991"/>
    <w:rsid w:val="005A1BBE"/>
    <w:rsid w:val="005A3450"/>
    <w:rsid w:val="005A6EBB"/>
    <w:rsid w:val="005B0B96"/>
    <w:rsid w:val="005B0D38"/>
    <w:rsid w:val="005B1177"/>
    <w:rsid w:val="005B1249"/>
    <w:rsid w:val="005B152E"/>
    <w:rsid w:val="005C2DDC"/>
    <w:rsid w:val="005C32B8"/>
    <w:rsid w:val="005C541A"/>
    <w:rsid w:val="005C5E9D"/>
    <w:rsid w:val="005D35AD"/>
    <w:rsid w:val="005D360A"/>
    <w:rsid w:val="005D4ED4"/>
    <w:rsid w:val="005D58AA"/>
    <w:rsid w:val="005D62D7"/>
    <w:rsid w:val="005E0F74"/>
    <w:rsid w:val="005E3F0D"/>
    <w:rsid w:val="005E633D"/>
    <w:rsid w:val="005F4072"/>
    <w:rsid w:val="005F5E61"/>
    <w:rsid w:val="005F6A46"/>
    <w:rsid w:val="00600249"/>
    <w:rsid w:val="0060177C"/>
    <w:rsid w:val="00603974"/>
    <w:rsid w:val="006045A2"/>
    <w:rsid w:val="00606A3F"/>
    <w:rsid w:val="00610CB4"/>
    <w:rsid w:val="006122F8"/>
    <w:rsid w:val="00613813"/>
    <w:rsid w:val="00614E7F"/>
    <w:rsid w:val="006164FE"/>
    <w:rsid w:val="00616D22"/>
    <w:rsid w:val="00617459"/>
    <w:rsid w:val="00617D1D"/>
    <w:rsid w:val="00623CED"/>
    <w:rsid w:val="006309B8"/>
    <w:rsid w:val="0063277F"/>
    <w:rsid w:val="00633DDC"/>
    <w:rsid w:val="0064020E"/>
    <w:rsid w:val="00640779"/>
    <w:rsid w:val="00644E2A"/>
    <w:rsid w:val="006476CC"/>
    <w:rsid w:val="00651CA5"/>
    <w:rsid w:val="00661496"/>
    <w:rsid w:val="00663E45"/>
    <w:rsid w:val="00670974"/>
    <w:rsid w:val="006710E3"/>
    <w:rsid w:val="006764A7"/>
    <w:rsid w:val="00676564"/>
    <w:rsid w:val="00681399"/>
    <w:rsid w:val="00683383"/>
    <w:rsid w:val="00683B57"/>
    <w:rsid w:val="00686230"/>
    <w:rsid w:val="00687971"/>
    <w:rsid w:val="00690AFA"/>
    <w:rsid w:val="006923B2"/>
    <w:rsid w:val="0069304D"/>
    <w:rsid w:val="00694130"/>
    <w:rsid w:val="00696935"/>
    <w:rsid w:val="00696DE2"/>
    <w:rsid w:val="006972AF"/>
    <w:rsid w:val="006A17A6"/>
    <w:rsid w:val="006A2378"/>
    <w:rsid w:val="006A570D"/>
    <w:rsid w:val="006B19AF"/>
    <w:rsid w:val="006B4324"/>
    <w:rsid w:val="006B49E9"/>
    <w:rsid w:val="006B6F0A"/>
    <w:rsid w:val="006C4095"/>
    <w:rsid w:val="006C4334"/>
    <w:rsid w:val="006C6480"/>
    <w:rsid w:val="006C769D"/>
    <w:rsid w:val="006D1163"/>
    <w:rsid w:val="006D2080"/>
    <w:rsid w:val="006D3F77"/>
    <w:rsid w:val="006D5546"/>
    <w:rsid w:val="006D564D"/>
    <w:rsid w:val="006D6E4B"/>
    <w:rsid w:val="006D7994"/>
    <w:rsid w:val="006E038B"/>
    <w:rsid w:val="006E1B98"/>
    <w:rsid w:val="006E4231"/>
    <w:rsid w:val="006E5278"/>
    <w:rsid w:val="006E57B2"/>
    <w:rsid w:val="006E6660"/>
    <w:rsid w:val="006E73A3"/>
    <w:rsid w:val="006E7A56"/>
    <w:rsid w:val="006F058D"/>
    <w:rsid w:val="006F1239"/>
    <w:rsid w:val="006F20AD"/>
    <w:rsid w:val="006F4854"/>
    <w:rsid w:val="00700200"/>
    <w:rsid w:val="007008C9"/>
    <w:rsid w:val="00702CF5"/>
    <w:rsid w:val="00703BBF"/>
    <w:rsid w:val="00707CCE"/>
    <w:rsid w:val="0071048A"/>
    <w:rsid w:val="00711BC5"/>
    <w:rsid w:val="0071318C"/>
    <w:rsid w:val="00714B16"/>
    <w:rsid w:val="0071615B"/>
    <w:rsid w:val="00721302"/>
    <w:rsid w:val="007223FF"/>
    <w:rsid w:val="00722A85"/>
    <w:rsid w:val="00722B85"/>
    <w:rsid w:val="007249BB"/>
    <w:rsid w:val="00725568"/>
    <w:rsid w:val="007266A8"/>
    <w:rsid w:val="0072678A"/>
    <w:rsid w:val="0072706B"/>
    <w:rsid w:val="007275C2"/>
    <w:rsid w:val="00727748"/>
    <w:rsid w:val="00731021"/>
    <w:rsid w:val="007312E0"/>
    <w:rsid w:val="00732DE8"/>
    <w:rsid w:val="0073449E"/>
    <w:rsid w:val="00735616"/>
    <w:rsid w:val="00736BFC"/>
    <w:rsid w:val="007404B5"/>
    <w:rsid w:val="007421C8"/>
    <w:rsid w:val="00742BC5"/>
    <w:rsid w:val="0074413F"/>
    <w:rsid w:val="00744430"/>
    <w:rsid w:val="00744CD2"/>
    <w:rsid w:val="00745F4F"/>
    <w:rsid w:val="00754206"/>
    <w:rsid w:val="007603EC"/>
    <w:rsid w:val="00761E79"/>
    <w:rsid w:val="007624E6"/>
    <w:rsid w:val="00763277"/>
    <w:rsid w:val="00767CF8"/>
    <w:rsid w:val="00771299"/>
    <w:rsid w:val="00771E3D"/>
    <w:rsid w:val="0077214D"/>
    <w:rsid w:val="0077617D"/>
    <w:rsid w:val="00777045"/>
    <w:rsid w:val="00780D98"/>
    <w:rsid w:val="0078316D"/>
    <w:rsid w:val="00785077"/>
    <w:rsid w:val="00786414"/>
    <w:rsid w:val="0078747A"/>
    <w:rsid w:val="0078766C"/>
    <w:rsid w:val="00792BBB"/>
    <w:rsid w:val="00794B21"/>
    <w:rsid w:val="00794DB9"/>
    <w:rsid w:val="00795945"/>
    <w:rsid w:val="00797966"/>
    <w:rsid w:val="00797DAA"/>
    <w:rsid w:val="007A0172"/>
    <w:rsid w:val="007A203D"/>
    <w:rsid w:val="007A2D12"/>
    <w:rsid w:val="007A3B0D"/>
    <w:rsid w:val="007A3EB9"/>
    <w:rsid w:val="007A77BB"/>
    <w:rsid w:val="007B25FC"/>
    <w:rsid w:val="007B3A59"/>
    <w:rsid w:val="007C04A7"/>
    <w:rsid w:val="007C0C29"/>
    <w:rsid w:val="007C25AF"/>
    <w:rsid w:val="007C3761"/>
    <w:rsid w:val="007C6B97"/>
    <w:rsid w:val="007C7946"/>
    <w:rsid w:val="007C7B86"/>
    <w:rsid w:val="007D12DF"/>
    <w:rsid w:val="007D3268"/>
    <w:rsid w:val="007D3ABD"/>
    <w:rsid w:val="007D4571"/>
    <w:rsid w:val="007D56D0"/>
    <w:rsid w:val="007D77C6"/>
    <w:rsid w:val="007D7CAA"/>
    <w:rsid w:val="007E136A"/>
    <w:rsid w:val="007E37B0"/>
    <w:rsid w:val="007E3948"/>
    <w:rsid w:val="007E3C24"/>
    <w:rsid w:val="007E4EF0"/>
    <w:rsid w:val="007E5302"/>
    <w:rsid w:val="007E75FC"/>
    <w:rsid w:val="007F1010"/>
    <w:rsid w:val="007F172B"/>
    <w:rsid w:val="007F2C64"/>
    <w:rsid w:val="007F3E29"/>
    <w:rsid w:val="007F6437"/>
    <w:rsid w:val="007F6EBB"/>
    <w:rsid w:val="007F792A"/>
    <w:rsid w:val="008004B4"/>
    <w:rsid w:val="0080179B"/>
    <w:rsid w:val="00803594"/>
    <w:rsid w:val="00805060"/>
    <w:rsid w:val="008053B1"/>
    <w:rsid w:val="0080592D"/>
    <w:rsid w:val="00806B66"/>
    <w:rsid w:val="00807A27"/>
    <w:rsid w:val="008108EB"/>
    <w:rsid w:val="008138F8"/>
    <w:rsid w:val="0081527C"/>
    <w:rsid w:val="008154E2"/>
    <w:rsid w:val="008154FA"/>
    <w:rsid w:val="00821C06"/>
    <w:rsid w:val="008228D4"/>
    <w:rsid w:val="008259EF"/>
    <w:rsid w:val="00831819"/>
    <w:rsid w:val="0084241D"/>
    <w:rsid w:val="00845236"/>
    <w:rsid w:val="00845569"/>
    <w:rsid w:val="00847095"/>
    <w:rsid w:val="0085113E"/>
    <w:rsid w:val="008520FA"/>
    <w:rsid w:val="00853109"/>
    <w:rsid w:val="00860CAC"/>
    <w:rsid w:val="008616B1"/>
    <w:rsid w:val="00862C35"/>
    <w:rsid w:val="00863B5C"/>
    <w:rsid w:val="0086446E"/>
    <w:rsid w:val="00880100"/>
    <w:rsid w:val="00887B8D"/>
    <w:rsid w:val="008902EF"/>
    <w:rsid w:val="008919C0"/>
    <w:rsid w:val="008934CA"/>
    <w:rsid w:val="00894986"/>
    <w:rsid w:val="00895658"/>
    <w:rsid w:val="00896C83"/>
    <w:rsid w:val="00896E60"/>
    <w:rsid w:val="008A075A"/>
    <w:rsid w:val="008A2678"/>
    <w:rsid w:val="008A53AB"/>
    <w:rsid w:val="008A5F00"/>
    <w:rsid w:val="008A637A"/>
    <w:rsid w:val="008A736F"/>
    <w:rsid w:val="008B1F29"/>
    <w:rsid w:val="008B75F5"/>
    <w:rsid w:val="008C23F7"/>
    <w:rsid w:val="008D28F5"/>
    <w:rsid w:val="008D2FB6"/>
    <w:rsid w:val="008D4153"/>
    <w:rsid w:val="008D482A"/>
    <w:rsid w:val="008D6D76"/>
    <w:rsid w:val="008E0639"/>
    <w:rsid w:val="008E1176"/>
    <w:rsid w:val="008E1EF9"/>
    <w:rsid w:val="008E4BBF"/>
    <w:rsid w:val="008E5437"/>
    <w:rsid w:val="008E5CE1"/>
    <w:rsid w:val="008F1BFA"/>
    <w:rsid w:val="008F4736"/>
    <w:rsid w:val="008F7B24"/>
    <w:rsid w:val="009016DD"/>
    <w:rsid w:val="0090411F"/>
    <w:rsid w:val="009044C5"/>
    <w:rsid w:val="00904582"/>
    <w:rsid w:val="00904DE4"/>
    <w:rsid w:val="009105D9"/>
    <w:rsid w:val="00910EBA"/>
    <w:rsid w:val="0091274A"/>
    <w:rsid w:val="00912CAD"/>
    <w:rsid w:val="00914831"/>
    <w:rsid w:val="00915F21"/>
    <w:rsid w:val="009214DC"/>
    <w:rsid w:val="009243E3"/>
    <w:rsid w:val="009252D0"/>
    <w:rsid w:val="009254F7"/>
    <w:rsid w:val="0093021E"/>
    <w:rsid w:val="009325C1"/>
    <w:rsid w:val="009333DC"/>
    <w:rsid w:val="009370FE"/>
    <w:rsid w:val="00941D79"/>
    <w:rsid w:val="00942DD9"/>
    <w:rsid w:val="009430ED"/>
    <w:rsid w:val="009457E4"/>
    <w:rsid w:val="00951C7C"/>
    <w:rsid w:val="00952094"/>
    <w:rsid w:val="00956092"/>
    <w:rsid w:val="00957487"/>
    <w:rsid w:val="00957B05"/>
    <w:rsid w:val="00961D3A"/>
    <w:rsid w:val="00961DE7"/>
    <w:rsid w:val="0096391D"/>
    <w:rsid w:val="00964C1A"/>
    <w:rsid w:val="00965D0C"/>
    <w:rsid w:val="009664B4"/>
    <w:rsid w:val="00967E87"/>
    <w:rsid w:val="0097055F"/>
    <w:rsid w:val="009719E4"/>
    <w:rsid w:val="009736F0"/>
    <w:rsid w:val="0097496C"/>
    <w:rsid w:val="00974F0D"/>
    <w:rsid w:val="009763B8"/>
    <w:rsid w:val="00977F8A"/>
    <w:rsid w:val="00983485"/>
    <w:rsid w:val="00983728"/>
    <w:rsid w:val="009847C7"/>
    <w:rsid w:val="00985E75"/>
    <w:rsid w:val="00986E11"/>
    <w:rsid w:val="00990BCF"/>
    <w:rsid w:val="00992822"/>
    <w:rsid w:val="00993772"/>
    <w:rsid w:val="0099482E"/>
    <w:rsid w:val="00995A9A"/>
    <w:rsid w:val="00996C82"/>
    <w:rsid w:val="009A00DA"/>
    <w:rsid w:val="009A3A5E"/>
    <w:rsid w:val="009A4EED"/>
    <w:rsid w:val="009A52CA"/>
    <w:rsid w:val="009A6ED8"/>
    <w:rsid w:val="009A6FA3"/>
    <w:rsid w:val="009B16E3"/>
    <w:rsid w:val="009B27F4"/>
    <w:rsid w:val="009B3F43"/>
    <w:rsid w:val="009B4CE9"/>
    <w:rsid w:val="009B590A"/>
    <w:rsid w:val="009C0FC5"/>
    <w:rsid w:val="009C1335"/>
    <w:rsid w:val="009C25DA"/>
    <w:rsid w:val="009C44CA"/>
    <w:rsid w:val="009D1766"/>
    <w:rsid w:val="009D1CCF"/>
    <w:rsid w:val="009E0E7C"/>
    <w:rsid w:val="009E15EC"/>
    <w:rsid w:val="009E4073"/>
    <w:rsid w:val="009E5E6E"/>
    <w:rsid w:val="009E7D31"/>
    <w:rsid w:val="009F6886"/>
    <w:rsid w:val="00A01A1D"/>
    <w:rsid w:val="00A02BC2"/>
    <w:rsid w:val="00A031E8"/>
    <w:rsid w:val="00A051C0"/>
    <w:rsid w:val="00A06502"/>
    <w:rsid w:val="00A06D4C"/>
    <w:rsid w:val="00A07F9F"/>
    <w:rsid w:val="00A10238"/>
    <w:rsid w:val="00A11155"/>
    <w:rsid w:val="00A123C9"/>
    <w:rsid w:val="00A162BE"/>
    <w:rsid w:val="00A165DD"/>
    <w:rsid w:val="00A16DE8"/>
    <w:rsid w:val="00A216FE"/>
    <w:rsid w:val="00A23491"/>
    <w:rsid w:val="00A24E2E"/>
    <w:rsid w:val="00A2504A"/>
    <w:rsid w:val="00A259D2"/>
    <w:rsid w:val="00A26647"/>
    <w:rsid w:val="00A31983"/>
    <w:rsid w:val="00A33C46"/>
    <w:rsid w:val="00A34058"/>
    <w:rsid w:val="00A35F6F"/>
    <w:rsid w:val="00A40057"/>
    <w:rsid w:val="00A51ADD"/>
    <w:rsid w:val="00A52587"/>
    <w:rsid w:val="00A5359B"/>
    <w:rsid w:val="00A544CE"/>
    <w:rsid w:val="00A573FA"/>
    <w:rsid w:val="00A60BF8"/>
    <w:rsid w:val="00A63E31"/>
    <w:rsid w:val="00A660EE"/>
    <w:rsid w:val="00A66500"/>
    <w:rsid w:val="00A6663B"/>
    <w:rsid w:val="00A701F0"/>
    <w:rsid w:val="00A738D9"/>
    <w:rsid w:val="00A75149"/>
    <w:rsid w:val="00A765EB"/>
    <w:rsid w:val="00A77E39"/>
    <w:rsid w:val="00A81B5E"/>
    <w:rsid w:val="00A82CB3"/>
    <w:rsid w:val="00A83953"/>
    <w:rsid w:val="00A83B2A"/>
    <w:rsid w:val="00A85E93"/>
    <w:rsid w:val="00A91B97"/>
    <w:rsid w:val="00A9449D"/>
    <w:rsid w:val="00A95A60"/>
    <w:rsid w:val="00AA0C9C"/>
    <w:rsid w:val="00AA1A43"/>
    <w:rsid w:val="00AA1FA7"/>
    <w:rsid w:val="00AA2EB3"/>
    <w:rsid w:val="00AA3E7C"/>
    <w:rsid w:val="00AA5866"/>
    <w:rsid w:val="00AA6FFD"/>
    <w:rsid w:val="00AB00A2"/>
    <w:rsid w:val="00AB0701"/>
    <w:rsid w:val="00AB090B"/>
    <w:rsid w:val="00AB59D7"/>
    <w:rsid w:val="00AB763F"/>
    <w:rsid w:val="00AC197E"/>
    <w:rsid w:val="00AC2322"/>
    <w:rsid w:val="00AC3999"/>
    <w:rsid w:val="00AE1115"/>
    <w:rsid w:val="00AE22E9"/>
    <w:rsid w:val="00AE24EE"/>
    <w:rsid w:val="00AE34DF"/>
    <w:rsid w:val="00AE38AA"/>
    <w:rsid w:val="00AE766E"/>
    <w:rsid w:val="00AF09C5"/>
    <w:rsid w:val="00AF6ECC"/>
    <w:rsid w:val="00B009D0"/>
    <w:rsid w:val="00B01400"/>
    <w:rsid w:val="00B05984"/>
    <w:rsid w:val="00B0676C"/>
    <w:rsid w:val="00B069E3"/>
    <w:rsid w:val="00B115F1"/>
    <w:rsid w:val="00B1180D"/>
    <w:rsid w:val="00B12726"/>
    <w:rsid w:val="00B15B01"/>
    <w:rsid w:val="00B15CB5"/>
    <w:rsid w:val="00B22289"/>
    <w:rsid w:val="00B24FA7"/>
    <w:rsid w:val="00B25A9E"/>
    <w:rsid w:val="00B25AD3"/>
    <w:rsid w:val="00B358E0"/>
    <w:rsid w:val="00B36C7E"/>
    <w:rsid w:val="00B37727"/>
    <w:rsid w:val="00B37A87"/>
    <w:rsid w:val="00B37A93"/>
    <w:rsid w:val="00B40D52"/>
    <w:rsid w:val="00B40E4D"/>
    <w:rsid w:val="00B41C32"/>
    <w:rsid w:val="00B42608"/>
    <w:rsid w:val="00B432B3"/>
    <w:rsid w:val="00B44CD9"/>
    <w:rsid w:val="00B471ED"/>
    <w:rsid w:val="00B52AE1"/>
    <w:rsid w:val="00B53476"/>
    <w:rsid w:val="00B53F1F"/>
    <w:rsid w:val="00B543DA"/>
    <w:rsid w:val="00B605DB"/>
    <w:rsid w:val="00B6540B"/>
    <w:rsid w:val="00B678A9"/>
    <w:rsid w:val="00B67EEC"/>
    <w:rsid w:val="00B70B78"/>
    <w:rsid w:val="00B72259"/>
    <w:rsid w:val="00B73998"/>
    <w:rsid w:val="00B76376"/>
    <w:rsid w:val="00B76554"/>
    <w:rsid w:val="00B80A06"/>
    <w:rsid w:val="00B8297D"/>
    <w:rsid w:val="00B839B6"/>
    <w:rsid w:val="00B84B29"/>
    <w:rsid w:val="00B858B9"/>
    <w:rsid w:val="00B85E21"/>
    <w:rsid w:val="00B87D4C"/>
    <w:rsid w:val="00B927A7"/>
    <w:rsid w:val="00B94085"/>
    <w:rsid w:val="00B97F3B"/>
    <w:rsid w:val="00BA18D9"/>
    <w:rsid w:val="00BA2CB8"/>
    <w:rsid w:val="00BA7B04"/>
    <w:rsid w:val="00BB0CA1"/>
    <w:rsid w:val="00BB432E"/>
    <w:rsid w:val="00BB4DA5"/>
    <w:rsid w:val="00BB5EF5"/>
    <w:rsid w:val="00BB6A2D"/>
    <w:rsid w:val="00BC62AE"/>
    <w:rsid w:val="00BC7C2D"/>
    <w:rsid w:val="00BD09E6"/>
    <w:rsid w:val="00BD1D80"/>
    <w:rsid w:val="00BD62B1"/>
    <w:rsid w:val="00BE0F41"/>
    <w:rsid w:val="00BE163C"/>
    <w:rsid w:val="00BE338E"/>
    <w:rsid w:val="00BE50E7"/>
    <w:rsid w:val="00BF1925"/>
    <w:rsid w:val="00BF19C1"/>
    <w:rsid w:val="00BF3AD3"/>
    <w:rsid w:val="00BF74A9"/>
    <w:rsid w:val="00BF7DB1"/>
    <w:rsid w:val="00C010D2"/>
    <w:rsid w:val="00C03147"/>
    <w:rsid w:val="00C0364E"/>
    <w:rsid w:val="00C0377E"/>
    <w:rsid w:val="00C04758"/>
    <w:rsid w:val="00C048D2"/>
    <w:rsid w:val="00C06C44"/>
    <w:rsid w:val="00C11F00"/>
    <w:rsid w:val="00C12DC0"/>
    <w:rsid w:val="00C15F89"/>
    <w:rsid w:val="00C169C8"/>
    <w:rsid w:val="00C1745E"/>
    <w:rsid w:val="00C178D7"/>
    <w:rsid w:val="00C24E23"/>
    <w:rsid w:val="00C24EE9"/>
    <w:rsid w:val="00C25191"/>
    <w:rsid w:val="00C306B3"/>
    <w:rsid w:val="00C403C0"/>
    <w:rsid w:val="00C447C4"/>
    <w:rsid w:val="00C45759"/>
    <w:rsid w:val="00C46142"/>
    <w:rsid w:val="00C46867"/>
    <w:rsid w:val="00C4717B"/>
    <w:rsid w:val="00C47661"/>
    <w:rsid w:val="00C52DD8"/>
    <w:rsid w:val="00C53A28"/>
    <w:rsid w:val="00C54DB6"/>
    <w:rsid w:val="00C55C4C"/>
    <w:rsid w:val="00C62541"/>
    <w:rsid w:val="00C650D1"/>
    <w:rsid w:val="00C66339"/>
    <w:rsid w:val="00C714CE"/>
    <w:rsid w:val="00C72632"/>
    <w:rsid w:val="00C757EB"/>
    <w:rsid w:val="00C75D58"/>
    <w:rsid w:val="00C771C0"/>
    <w:rsid w:val="00C81577"/>
    <w:rsid w:val="00C81895"/>
    <w:rsid w:val="00C81A52"/>
    <w:rsid w:val="00C86601"/>
    <w:rsid w:val="00C90FF4"/>
    <w:rsid w:val="00C92375"/>
    <w:rsid w:val="00C92940"/>
    <w:rsid w:val="00C92BED"/>
    <w:rsid w:val="00C9434E"/>
    <w:rsid w:val="00C94AEB"/>
    <w:rsid w:val="00C95EA6"/>
    <w:rsid w:val="00C97C92"/>
    <w:rsid w:val="00CA165E"/>
    <w:rsid w:val="00CA18ED"/>
    <w:rsid w:val="00CA40DE"/>
    <w:rsid w:val="00CA4338"/>
    <w:rsid w:val="00CA5386"/>
    <w:rsid w:val="00CB128E"/>
    <w:rsid w:val="00CB12A6"/>
    <w:rsid w:val="00CB23FF"/>
    <w:rsid w:val="00CB2D2C"/>
    <w:rsid w:val="00CB42A3"/>
    <w:rsid w:val="00CB71E6"/>
    <w:rsid w:val="00CB724B"/>
    <w:rsid w:val="00CB7FDC"/>
    <w:rsid w:val="00CC2A20"/>
    <w:rsid w:val="00CC2BE0"/>
    <w:rsid w:val="00CC4647"/>
    <w:rsid w:val="00CC46DB"/>
    <w:rsid w:val="00CC5A86"/>
    <w:rsid w:val="00CC685F"/>
    <w:rsid w:val="00CC6DA3"/>
    <w:rsid w:val="00CC739D"/>
    <w:rsid w:val="00CD0325"/>
    <w:rsid w:val="00CD2E45"/>
    <w:rsid w:val="00CD42BA"/>
    <w:rsid w:val="00CD573E"/>
    <w:rsid w:val="00CD7219"/>
    <w:rsid w:val="00CE1C84"/>
    <w:rsid w:val="00CE3686"/>
    <w:rsid w:val="00CE56A5"/>
    <w:rsid w:val="00CF002C"/>
    <w:rsid w:val="00CF4823"/>
    <w:rsid w:val="00CF5B6D"/>
    <w:rsid w:val="00CF615C"/>
    <w:rsid w:val="00CF6AFF"/>
    <w:rsid w:val="00D02DAA"/>
    <w:rsid w:val="00D04707"/>
    <w:rsid w:val="00D059FB"/>
    <w:rsid w:val="00D06282"/>
    <w:rsid w:val="00D133CA"/>
    <w:rsid w:val="00D2024F"/>
    <w:rsid w:val="00D20B8F"/>
    <w:rsid w:val="00D21CD3"/>
    <w:rsid w:val="00D22E2C"/>
    <w:rsid w:val="00D23E52"/>
    <w:rsid w:val="00D24E80"/>
    <w:rsid w:val="00D26440"/>
    <w:rsid w:val="00D309A7"/>
    <w:rsid w:val="00D348B6"/>
    <w:rsid w:val="00D37B3F"/>
    <w:rsid w:val="00D415B3"/>
    <w:rsid w:val="00D43DC3"/>
    <w:rsid w:val="00D440E3"/>
    <w:rsid w:val="00D4423B"/>
    <w:rsid w:val="00D44810"/>
    <w:rsid w:val="00D52399"/>
    <w:rsid w:val="00D528C2"/>
    <w:rsid w:val="00D52A36"/>
    <w:rsid w:val="00D567A3"/>
    <w:rsid w:val="00D56DE9"/>
    <w:rsid w:val="00D60473"/>
    <w:rsid w:val="00D61FBD"/>
    <w:rsid w:val="00D62581"/>
    <w:rsid w:val="00D65C60"/>
    <w:rsid w:val="00D66830"/>
    <w:rsid w:val="00D71FF6"/>
    <w:rsid w:val="00D72974"/>
    <w:rsid w:val="00D72E34"/>
    <w:rsid w:val="00D748C9"/>
    <w:rsid w:val="00D756A5"/>
    <w:rsid w:val="00D83C89"/>
    <w:rsid w:val="00D85FEA"/>
    <w:rsid w:val="00D870FE"/>
    <w:rsid w:val="00D90F56"/>
    <w:rsid w:val="00D96EAA"/>
    <w:rsid w:val="00D97650"/>
    <w:rsid w:val="00DA0CB0"/>
    <w:rsid w:val="00DA276E"/>
    <w:rsid w:val="00DA331C"/>
    <w:rsid w:val="00DA466C"/>
    <w:rsid w:val="00DA7699"/>
    <w:rsid w:val="00DB11E3"/>
    <w:rsid w:val="00DB1559"/>
    <w:rsid w:val="00DB4BA4"/>
    <w:rsid w:val="00DB709E"/>
    <w:rsid w:val="00DC167C"/>
    <w:rsid w:val="00DC26C0"/>
    <w:rsid w:val="00DC3C51"/>
    <w:rsid w:val="00DC458B"/>
    <w:rsid w:val="00DC551E"/>
    <w:rsid w:val="00DC6F5B"/>
    <w:rsid w:val="00DD068B"/>
    <w:rsid w:val="00DD2B79"/>
    <w:rsid w:val="00DD3396"/>
    <w:rsid w:val="00DD35CE"/>
    <w:rsid w:val="00DD3878"/>
    <w:rsid w:val="00DD71D2"/>
    <w:rsid w:val="00DE00B9"/>
    <w:rsid w:val="00DE1BB8"/>
    <w:rsid w:val="00DE2695"/>
    <w:rsid w:val="00DE3827"/>
    <w:rsid w:val="00DE3A30"/>
    <w:rsid w:val="00DE7D30"/>
    <w:rsid w:val="00DE7FE2"/>
    <w:rsid w:val="00DF012E"/>
    <w:rsid w:val="00DF0664"/>
    <w:rsid w:val="00DF48FE"/>
    <w:rsid w:val="00DF7769"/>
    <w:rsid w:val="00E01C80"/>
    <w:rsid w:val="00E0254B"/>
    <w:rsid w:val="00E0528A"/>
    <w:rsid w:val="00E068A7"/>
    <w:rsid w:val="00E07718"/>
    <w:rsid w:val="00E119F2"/>
    <w:rsid w:val="00E1232D"/>
    <w:rsid w:val="00E1424B"/>
    <w:rsid w:val="00E14A1D"/>
    <w:rsid w:val="00E14D0A"/>
    <w:rsid w:val="00E16500"/>
    <w:rsid w:val="00E16681"/>
    <w:rsid w:val="00E16EE6"/>
    <w:rsid w:val="00E17DAE"/>
    <w:rsid w:val="00E2073B"/>
    <w:rsid w:val="00E21F25"/>
    <w:rsid w:val="00E25E09"/>
    <w:rsid w:val="00E314A5"/>
    <w:rsid w:val="00E34242"/>
    <w:rsid w:val="00E41152"/>
    <w:rsid w:val="00E42258"/>
    <w:rsid w:val="00E42B7E"/>
    <w:rsid w:val="00E43D22"/>
    <w:rsid w:val="00E46A1E"/>
    <w:rsid w:val="00E53E3A"/>
    <w:rsid w:val="00E561E1"/>
    <w:rsid w:val="00E56651"/>
    <w:rsid w:val="00E57B33"/>
    <w:rsid w:val="00E60DFA"/>
    <w:rsid w:val="00E614EE"/>
    <w:rsid w:val="00E61AEA"/>
    <w:rsid w:val="00E63218"/>
    <w:rsid w:val="00E63324"/>
    <w:rsid w:val="00E65829"/>
    <w:rsid w:val="00E67060"/>
    <w:rsid w:val="00E67894"/>
    <w:rsid w:val="00E67DCE"/>
    <w:rsid w:val="00E7565D"/>
    <w:rsid w:val="00E75DF8"/>
    <w:rsid w:val="00E77140"/>
    <w:rsid w:val="00E834A4"/>
    <w:rsid w:val="00E86BA6"/>
    <w:rsid w:val="00E879F2"/>
    <w:rsid w:val="00E910B4"/>
    <w:rsid w:val="00E946A0"/>
    <w:rsid w:val="00E94AE3"/>
    <w:rsid w:val="00E95582"/>
    <w:rsid w:val="00E97726"/>
    <w:rsid w:val="00EA00D0"/>
    <w:rsid w:val="00EA035F"/>
    <w:rsid w:val="00EA3262"/>
    <w:rsid w:val="00EA5475"/>
    <w:rsid w:val="00EB0030"/>
    <w:rsid w:val="00EB62AA"/>
    <w:rsid w:val="00EC3395"/>
    <w:rsid w:val="00EC581D"/>
    <w:rsid w:val="00EC5B27"/>
    <w:rsid w:val="00EC5F3D"/>
    <w:rsid w:val="00EC633D"/>
    <w:rsid w:val="00EC7469"/>
    <w:rsid w:val="00EC7DE9"/>
    <w:rsid w:val="00ED2EC3"/>
    <w:rsid w:val="00ED311C"/>
    <w:rsid w:val="00ED4202"/>
    <w:rsid w:val="00ED56D3"/>
    <w:rsid w:val="00EE266D"/>
    <w:rsid w:val="00EE3A4A"/>
    <w:rsid w:val="00EE4674"/>
    <w:rsid w:val="00EF02E9"/>
    <w:rsid w:val="00EF55DD"/>
    <w:rsid w:val="00F00975"/>
    <w:rsid w:val="00F00E1A"/>
    <w:rsid w:val="00F0425C"/>
    <w:rsid w:val="00F04989"/>
    <w:rsid w:val="00F05A25"/>
    <w:rsid w:val="00F071BC"/>
    <w:rsid w:val="00F107A2"/>
    <w:rsid w:val="00F118ED"/>
    <w:rsid w:val="00F16D54"/>
    <w:rsid w:val="00F174B8"/>
    <w:rsid w:val="00F232BD"/>
    <w:rsid w:val="00F23939"/>
    <w:rsid w:val="00F23E6F"/>
    <w:rsid w:val="00F2666B"/>
    <w:rsid w:val="00F26F57"/>
    <w:rsid w:val="00F303CF"/>
    <w:rsid w:val="00F30AD5"/>
    <w:rsid w:val="00F3130D"/>
    <w:rsid w:val="00F344CD"/>
    <w:rsid w:val="00F415DC"/>
    <w:rsid w:val="00F421BF"/>
    <w:rsid w:val="00F424FC"/>
    <w:rsid w:val="00F43063"/>
    <w:rsid w:val="00F5006D"/>
    <w:rsid w:val="00F50D88"/>
    <w:rsid w:val="00F57AD5"/>
    <w:rsid w:val="00F6198D"/>
    <w:rsid w:val="00F6360D"/>
    <w:rsid w:val="00F65D09"/>
    <w:rsid w:val="00F677A8"/>
    <w:rsid w:val="00F715C4"/>
    <w:rsid w:val="00F7242C"/>
    <w:rsid w:val="00F757F1"/>
    <w:rsid w:val="00F77684"/>
    <w:rsid w:val="00F77ADD"/>
    <w:rsid w:val="00F8506B"/>
    <w:rsid w:val="00F8539A"/>
    <w:rsid w:val="00F86F47"/>
    <w:rsid w:val="00F9179E"/>
    <w:rsid w:val="00F93A34"/>
    <w:rsid w:val="00F93F7A"/>
    <w:rsid w:val="00F95720"/>
    <w:rsid w:val="00FA079D"/>
    <w:rsid w:val="00FA1FF6"/>
    <w:rsid w:val="00FA3388"/>
    <w:rsid w:val="00FA4A5B"/>
    <w:rsid w:val="00FA7D02"/>
    <w:rsid w:val="00FB15CC"/>
    <w:rsid w:val="00FB1B23"/>
    <w:rsid w:val="00FB1DF1"/>
    <w:rsid w:val="00FB32DB"/>
    <w:rsid w:val="00FB6F7C"/>
    <w:rsid w:val="00FB75E4"/>
    <w:rsid w:val="00FC1AC2"/>
    <w:rsid w:val="00FC20FB"/>
    <w:rsid w:val="00FC45D8"/>
    <w:rsid w:val="00FC4B12"/>
    <w:rsid w:val="00FD0978"/>
    <w:rsid w:val="00FD1E68"/>
    <w:rsid w:val="00FD3D9C"/>
    <w:rsid w:val="00FD615D"/>
    <w:rsid w:val="00FD7C66"/>
    <w:rsid w:val="00FE4FEC"/>
    <w:rsid w:val="00FE7A16"/>
    <w:rsid w:val="00FF0623"/>
    <w:rsid w:val="00FF165C"/>
    <w:rsid w:val="00FF1B9E"/>
    <w:rsid w:val="00FF440B"/>
    <w:rsid w:val="00FF70DD"/>
    <w:rsid w:val="057A2CC7"/>
    <w:rsid w:val="095F9A2D"/>
    <w:rsid w:val="0BE1E2CB"/>
    <w:rsid w:val="0E7A6F0C"/>
    <w:rsid w:val="1B7B5539"/>
    <w:rsid w:val="21DA4AA6"/>
    <w:rsid w:val="38771B67"/>
    <w:rsid w:val="3C3C2126"/>
    <w:rsid w:val="46C2686E"/>
    <w:rsid w:val="4BC3DF75"/>
    <w:rsid w:val="50F0E07A"/>
    <w:rsid w:val="7C9F47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3D3A1"/>
  <w15:chartTrackingRefBased/>
  <w15:docId w15:val="{EC1D1718-3B92-4553-B50C-829F7607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DE9"/>
    <w:pPr>
      <w:spacing w:after="120" w:line="360" w:lineRule="auto"/>
      <w:jc w:val="both"/>
    </w:pPr>
    <w:rPr>
      <w:rFonts w:ascii="Times New Roman" w:eastAsia="Times New Roman" w:hAnsi="Times New Roman" w:cs="Segoe UI"/>
      <w:color w:val="000000" w:themeColor="text1"/>
      <w:kern w:val="0"/>
      <w:szCs w:val="20"/>
      <w:lang w:val="en-US" w:eastAsia="es-ES"/>
      <w14:ligatures w14:val="none"/>
    </w:rPr>
  </w:style>
  <w:style w:type="paragraph" w:styleId="Ttulo1">
    <w:name w:val="heading 1"/>
    <w:basedOn w:val="Normal"/>
    <w:next w:val="Normal"/>
    <w:link w:val="Ttulo1Car"/>
    <w:uiPriority w:val="9"/>
    <w:qFormat/>
    <w:rsid w:val="00C44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D30E3"/>
    <w:pPr>
      <w:keepNext/>
      <w:keepLines/>
      <w:spacing w:before="160" w:after="80"/>
      <w:outlineLvl w:val="1"/>
    </w:pPr>
    <w:rPr>
      <w:rFonts w:eastAsiaTheme="majorEastAsia" w:cstheme="majorBidi"/>
      <w:b/>
      <w:sz w:val="32"/>
      <w:szCs w:val="32"/>
    </w:rPr>
  </w:style>
  <w:style w:type="paragraph" w:styleId="Ttulo3">
    <w:name w:val="heading 3"/>
    <w:basedOn w:val="Normal"/>
    <w:next w:val="Normal"/>
    <w:link w:val="Ttulo3Car"/>
    <w:uiPriority w:val="9"/>
    <w:unhideWhenUsed/>
    <w:qFormat/>
    <w:rsid w:val="00C24EE9"/>
    <w:pPr>
      <w:keepNext/>
      <w:keepLines/>
      <w:spacing w:before="160" w:after="80"/>
      <w:outlineLvl w:val="2"/>
    </w:pPr>
    <w:rPr>
      <w:rFonts w:eastAsiaTheme="majorEastAsia" w:cstheme="majorBidi"/>
      <w:color w:val="auto"/>
      <w:sz w:val="28"/>
      <w:szCs w:val="28"/>
    </w:rPr>
  </w:style>
  <w:style w:type="paragraph" w:styleId="Ttulo4">
    <w:name w:val="heading 4"/>
    <w:basedOn w:val="Normal"/>
    <w:next w:val="Normal"/>
    <w:link w:val="Ttulo4Car"/>
    <w:uiPriority w:val="9"/>
    <w:semiHidden/>
    <w:unhideWhenUsed/>
    <w:qFormat/>
    <w:rsid w:val="00C447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447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447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47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47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47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47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1D30E3"/>
    <w:rPr>
      <w:rFonts w:ascii="Palatino Linotype" w:eastAsiaTheme="majorEastAsia" w:hAnsi="Palatino Linotype" w:cstheme="majorBidi"/>
      <w:b/>
      <w:sz w:val="32"/>
      <w:szCs w:val="32"/>
    </w:rPr>
  </w:style>
  <w:style w:type="character" w:customStyle="1" w:styleId="Ttulo3Car">
    <w:name w:val="Título 3 Car"/>
    <w:basedOn w:val="Fuentedeprrafopredeter"/>
    <w:link w:val="Ttulo3"/>
    <w:uiPriority w:val="9"/>
    <w:rsid w:val="00C24EE9"/>
    <w:rPr>
      <w:rFonts w:ascii="Palatino Linotype" w:eastAsiaTheme="majorEastAsia" w:hAnsi="Palatino Linotype" w:cstheme="majorBidi"/>
      <w:kern w:val="0"/>
      <w:sz w:val="28"/>
      <w:szCs w:val="28"/>
      <w:lang w:val="en-US" w:eastAsia="es-ES"/>
      <w14:ligatures w14:val="none"/>
    </w:rPr>
  </w:style>
  <w:style w:type="character" w:customStyle="1" w:styleId="Ttulo4Car">
    <w:name w:val="Título 4 Car"/>
    <w:basedOn w:val="Fuentedeprrafopredeter"/>
    <w:link w:val="Ttulo4"/>
    <w:uiPriority w:val="9"/>
    <w:semiHidden/>
    <w:rsid w:val="00C447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447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447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447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447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447C4"/>
    <w:rPr>
      <w:rFonts w:eastAsiaTheme="majorEastAsia" w:cstheme="majorBidi"/>
      <w:color w:val="272727" w:themeColor="text1" w:themeTint="D8"/>
    </w:rPr>
  </w:style>
  <w:style w:type="paragraph" w:styleId="Ttulo">
    <w:name w:val="Title"/>
    <w:basedOn w:val="Normal"/>
    <w:next w:val="Normal"/>
    <w:link w:val="TtuloCar"/>
    <w:uiPriority w:val="10"/>
    <w:qFormat/>
    <w:rsid w:val="00C447C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47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447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47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47C4"/>
    <w:pPr>
      <w:spacing w:before="160"/>
      <w:jc w:val="center"/>
    </w:pPr>
    <w:rPr>
      <w:i/>
      <w:iCs/>
      <w:color w:val="404040" w:themeColor="text1" w:themeTint="BF"/>
    </w:rPr>
  </w:style>
  <w:style w:type="character" w:customStyle="1" w:styleId="CitaCar">
    <w:name w:val="Cita Car"/>
    <w:basedOn w:val="Fuentedeprrafopredeter"/>
    <w:link w:val="Cita"/>
    <w:uiPriority w:val="29"/>
    <w:rsid w:val="00C447C4"/>
    <w:rPr>
      <w:i/>
      <w:iCs/>
      <w:color w:val="404040" w:themeColor="text1" w:themeTint="BF"/>
    </w:rPr>
  </w:style>
  <w:style w:type="paragraph" w:styleId="Prrafodelista">
    <w:name w:val="List Paragraph"/>
    <w:basedOn w:val="Normal"/>
    <w:uiPriority w:val="34"/>
    <w:qFormat/>
    <w:rsid w:val="00C447C4"/>
    <w:pPr>
      <w:ind w:left="720"/>
      <w:contextualSpacing/>
    </w:pPr>
  </w:style>
  <w:style w:type="character" w:styleId="nfasisintenso">
    <w:name w:val="Intense Emphasis"/>
    <w:basedOn w:val="Fuentedeprrafopredeter"/>
    <w:uiPriority w:val="21"/>
    <w:qFormat/>
    <w:rsid w:val="00C447C4"/>
    <w:rPr>
      <w:i/>
      <w:iCs/>
      <w:color w:val="0F4761" w:themeColor="accent1" w:themeShade="BF"/>
    </w:rPr>
  </w:style>
  <w:style w:type="paragraph" w:styleId="Citadestacada">
    <w:name w:val="Intense Quote"/>
    <w:basedOn w:val="Normal"/>
    <w:next w:val="Normal"/>
    <w:link w:val="CitadestacadaCar"/>
    <w:uiPriority w:val="30"/>
    <w:qFormat/>
    <w:rsid w:val="00C44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447C4"/>
    <w:rPr>
      <w:i/>
      <w:iCs/>
      <w:color w:val="0F4761" w:themeColor="accent1" w:themeShade="BF"/>
    </w:rPr>
  </w:style>
  <w:style w:type="character" w:styleId="Referenciaintensa">
    <w:name w:val="Intense Reference"/>
    <w:basedOn w:val="Fuentedeprrafopredeter"/>
    <w:uiPriority w:val="32"/>
    <w:qFormat/>
    <w:rsid w:val="00C447C4"/>
    <w:rPr>
      <w:b/>
      <w:bCs/>
      <w:smallCaps/>
      <w:color w:val="0F4761" w:themeColor="accent1" w:themeShade="BF"/>
      <w:spacing w:val="5"/>
    </w:rPr>
  </w:style>
  <w:style w:type="paragraph" w:styleId="NormalWeb">
    <w:name w:val="Normal (Web)"/>
    <w:basedOn w:val="Normal"/>
    <w:uiPriority w:val="99"/>
    <w:unhideWhenUsed/>
    <w:rsid w:val="002B0B96"/>
    <w:pPr>
      <w:spacing w:before="100" w:beforeAutospacing="1" w:after="100" w:afterAutospacing="1"/>
    </w:pPr>
    <w:rPr>
      <w:rFonts w:cs="Times New Roman"/>
      <w:sz w:val="24"/>
      <w:szCs w:val="24"/>
    </w:rPr>
  </w:style>
  <w:style w:type="character" w:customStyle="1" w:styleId="math-inline">
    <w:name w:val="math-inline"/>
    <w:basedOn w:val="Fuentedeprrafopredeter"/>
    <w:rsid w:val="002B0B96"/>
  </w:style>
  <w:style w:type="character" w:styleId="Fuerte">
    <w:name w:val="Strong"/>
    <w:basedOn w:val="Fuentedeprrafopredeter"/>
    <w:uiPriority w:val="22"/>
    <w:qFormat/>
    <w:rsid w:val="00771E3D"/>
    <w:rPr>
      <w:rFonts w:ascii="Palatino Linotype" w:hAnsi="Palatino Linotype"/>
      <w:b w:val="0"/>
      <w:bCs/>
      <w:i/>
      <w:color w:val="auto"/>
      <w:sz w:val="18"/>
    </w:rPr>
  </w:style>
  <w:style w:type="character" w:customStyle="1" w:styleId="ng-star-inserted">
    <w:name w:val="ng-star-inserted"/>
    <w:basedOn w:val="Fuentedeprrafopredeter"/>
    <w:rsid w:val="009333DC"/>
  </w:style>
  <w:style w:type="character" w:styleId="Textodelmarcadordeposicin">
    <w:name w:val="Placeholder Text"/>
    <w:basedOn w:val="Fuentedeprrafopredeter"/>
    <w:uiPriority w:val="99"/>
    <w:semiHidden/>
    <w:rsid w:val="001B1685"/>
    <w:rPr>
      <w:color w:val="666666"/>
    </w:rPr>
  </w:style>
  <w:style w:type="character" w:customStyle="1" w:styleId="citation-119">
    <w:name w:val="citation-119"/>
    <w:basedOn w:val="Fuentedeprrafopredeter"/>
    <w:rsid w:val="00030470"/>
  </w:style>
  <w:style w:type="character" w:customStyle="1" w:styleId="citation-118">
    <w:name w:val="citation-118"/>
    <w:basedOn w:val="Fuentedeprrafopredeter"/>
    <w:rsid w:val="00030470"/>
  </w:style>
  <w:style w:type="character" w:styleId="CdigoHTML">
    <w:name w:val="HTML Code"/>
    <w:basedOn w:val="Fuentedeprrafopredeter"/>
    <w:uiPriority w:val="99"/>
    <w:semiHidden/>
    <w:unhideWhenUsed/>
    <w:rsid w:val="000E5764"/>
    <w:rPr>
      <w:rFonts w:ascii="Courier New" w:eastAsia="Times New Roman" w:hAnsi="Courier New" w:cs="Courier New"/>
      <w:sz w:val="20"/>
      <w:szCs w:val="20"/>
    </w:rPr>
  </w:style>
  <w:style w:type="character" w:customStyle="1" w:styleId="citation-2">
    <w:name w:val="citation-2"/>
    <w:basedOn w:val="Fuentedeprrafopredeter"/>
    <w:rsid w:val="001C526C"/>
  </w:style>
  <w:style w:type="character" w:styleId="Hipervnculo">
    <w:name w:val="Hyperlink"/>
    <w:basedOn w:val="Fuentedeprrafopredeter"/>
    <w:uiPriority w:val="99"/>
    <w:unhideWhenUsed/>
    <w:rsid w:val="001D30E3"/>
    <w:rPr>
      <w:color w:val="0000FF"/>
      <w:u w:val="single"/>
    </w:rPr>
  </w:style>
  <w:style w:type="character" w:styleId="Refdecomentario">
    <w:name w:val="annotation reference"/>
    <w:basedOn w:val="Fuentedeprrafopredeter"/>
    <w:uiPriority w:val="99"/>
    <w:semiHidden/>
    <w:unhideWhenUsed/>
    <w:rsid w:val="0021170E"/>
    <w:rPr>
      <w:sz w:val="16"/>
      <w:szCs w:val="16"/>
    </w:rPr>
  </w:style>
  <w:style w:type="paragraph" w:styleId="Textocomentario">
    <w:name w:val="annotation text"/>
    <w:basedOn w:val="Normal"/>
    <w:link w:val="TextocomentarioCar"/>
    <w:uiPriority w:val="99"/>
    <w:unhideWhenUsed/>
    <w:rsid w:val="0021170E"/>
    <w:rPr>
      <w:sz w:val="20"/>
    </w:rPr>
  </w:style>
  <w:style w:type="character" w:customStyle="1" w:styleId="TextocomentarioCar">
    <w:name w:val="Texto comentario Car"/>
    <w:basedOn w:val="Fuentedeprrafopredeter"/>
    <w:link w:val="Textocomentario"/>
    <w:uiPriority w:val="99"/>
    <w:rsid w:val="0021170E"/>
    <w:rPr>
      <w:rFonts w:ascii="Palatino Linotype" w:hAnsi="Palatino Linotype"/>
      <w:sz w:val="20"/>
      <w:szCs w:val="20"/>
    </w:rPr>
  </w:style>
  <w:style w:type="paragraph" w:styleId="Asuntodelcomentario">
    <w:name w:val="annotation subject"/>
    <w:basedOn w:val="Textocomentario"/>
    <w:next w:val="Textocomentario"/>
    <w:link w:val="AsuntodelcomentarioCar"/>
    <w:uiPriority w:val="99"/>
    <w:semiHidden/>
    <w:unhideWhenUsed/>
    <w:rsid w:val="0021170E"/>
    <w:rPr>
      <w:b/>
      <w:bCs/>
    </w:rPr>
  </w:style>
  <w:style w:type="character" w:customStyle="1" w:styleId="AsuntodelcomentarioCar">
    <w:name w:val="Asunto del comentario Car"/>
    <w:basedOn w:val="TextocomentarioCar"/>
    <w:link w:val="Asuntodelcomentario"/>
    <w:uiPriority w:val="99"/>
    <w:semiHidden/>
    <w:rsid w:val="0021170E"/>
    <w:rPr>
      <w:rFonts w:ascii="Palatino Linotype" w:hAnsi="Palatino Linotype"/>
      <w:b/>
      <w:bCs/>
      <w:sz w:val="20"/>
      <w:szCs w:val="20"/>
    </w:rPr>
  </w:style>
  <w:style w:type="paragraph" w:styleId="Textodeglobo">
    <w:name w:val="Balloon Text"/>
    <w:basedOn w:val="Normal"/>
    <w:link w:val="TextodegloboCar"/>
    <w:uiPriority w:val="99"/>
    <w:semiHidden/>
    <w:unhideWhenUsed/>
    <w:rsid w:val="0021170E"/>
    <w:pPr>
      <w:spacing w:after="0"/>
    </w:pPr>
    <w:rPr>
      <w:rFonts w:ascii="Segoe UI" w:hAnsi="Segoe UI"/>
      <w:sz w:val="18"/>
      <w:szCs w:val="18"/>
    </w:rPr>
  </w:style>
  <w:style w:type="character" w:customStyle="1" w:styleId="TextodegloboCar">
    <w:name w:val="Texto de globo Car"/>
    <w:basedOn w:val="Fuentedeprrafopredeter"/>
    <w:link w:val="Textodeglobo"/>
    <w:uiPriority w:val="99"/>
    <w:semiHidden/>
    <w:rsid w:val="0021170E"/>
    <w:rPr>
      <w:rFonts w:ascii="Segoe UI" w:hAnsi="Segoe UI" w:cs="Segoe UI"/>
      <w:sz w:val="18"/>
      <w:szCs w:val="18"/>
    </w:rPr>
  </w:style>
  <w:style w:type="character" w:styleId="nfasis">
    <w:name w:val="Emphasis"/>
    <w:basedOn w:val="Fuentedeprrafopredeter"/>
    <w:uiPriority w:val="20"/>
    <w:qFormat/>
    <w:rsid w:val="001C0432"/>
    <w:rPr>
      <w:i/>
      <w:iCs/>
    </w:rPr>
  </w:style>
  <w:style w:type="paragraph" w:styleId="Textonotapie">
    <w:name w:val="footnote text"/>
    <w:basedOn w:val="Normal"/>
    <w:link w:val="TextonotapieCar"/>
    <w:uiPriority w:val="99"/>
    <w:unhideWhenUsed/>
    <w:rsid w:val="001B1F32"/>
    <w:pPr>
      <w:spacing w:after="0"/>
    </w:pPr>
    <w:rPr>
      <w:sz w:val="20"/>
    </w:rPr>
  </w:style>
  <w:style w:type="character" w:customStyle="1" w:styleId="TextonotapieCar">
    <w:name w:val="Texto nota pie Car"/>
    <w:basedOn w:val="Fuentedeprrafopredeter"/>
    <w:link w:val="Textonotapie"/>
    <w:uiPriority w:val="99"/>
    <w:rsid w:val="001B1F32"/>
    <w:rPr>
      <w:rFonts w:ascii="Palatino Linotype" w:hAnsi="Palatino Linotype"/>
      <w:sz w:val="20"/>
      <w:szCs w:val="20"/>
    </w:rPr>
  </w:style>
  <w:style w:type="character" w:styleId="Refdenotaalpie">
    <w:name w:val="footnote reference"/>
    <w:basedOn w:val="Fuentedeprrafopredeter"/>
    <w:uiPriority w:val="99"/>
    <w:semiHidden/>
    <w:unhideWhenUsed/>
    <w:rsid w:val="001B1F32"/>
    <w:rPr>
      <w:vertAlign w:val="superscript"/>
    </w:rPr>
  </w:style>
  <w:style w:type="paragraph" w:styleId="Revisin">
    <w:name w:val="Revision"/>
    <w:hidden/>
    <w:uiPriority w:val="99"/>
    <w:semiHidden/>
    <w:rsid w:val="003D0467"/>
    <w:pPr>
      <w:spacing w:after="0" w:line="240" w:lineRule="auto"/>
    </w:pPr>
    <w:rPr>
      <w:rFonts w:ascii="Palatino Linotype" w:hAnsi="Palatino Linotype"/>
    </w:rPr>
  </w:style>
  <w:style w:type="character" w:customStyle="1" w:styleId="cf01">
    <w:name w:val="cf01"/>
    <w:basedOn w:val="Fuentedeprrafopredeter"/>
    <w:rsid w:val="000D37D8"/>
    <w:rPr>
      <w:rFonts w:ascii="Segoe UI" w:hAnsi="Segoe UI" w:cs="Segoe UI" w:hint="default"/>
      <w:sz w:val="18"/>
      <w:szCs w:val="18"/>
    </w:rPr>
  </w:style>
  <w:style w:type="character" w:customStyle="1" w:styleId="cf11">
    <w:name w:val="cf11"/>
    <w:basedOn w:val="Fuentedeprrafopredeter"/>
    <w:rsid w:val="000D37D8"/>
    <w:rPr>
      <w:rFonts w:ascii="Segoe UI" w:hAnsi="Segoe UI" w:cs="Segoe UI" w:hint="default"/>
      <w:i/>
      <w:iCs/>
      <w:sz w:val="18"/>
      <w:szCs w:val="18"/>
    </w:rPr>
  </w:style>
  <w:style w:type="paragraph" w:customStyle="1" w:styleId="pf0">
    <w:name w:val="pf0"/>
    <w:basedOn w:val="Normal"/>
    <w:rsid w:val="006F1239"/>
    <w:pPr>
      <w:spacing w:before="100" w:beforeAutospacing="1" w:after="100" w:afterAutospacing="1"/>
      <w:jc w:val="left"/>
    </w:pPr>
    <w:rPr>
      <w:rFonts w:cs="Times New Roman"/>
      <w:sz w:val="24"/>
      <w:szCs w:val="24"/>
    </w:rPr>
  </w:style>
  <w:style w:type="paragraph" w:styleId="Encabezado">
    <w:name w:val="header"/>
    <w:basedOn w:val="Normal"/>
    <w:link w:val="EncabezadoCar"/>
    <w:uiPriority w:val="99"/>
    <w:unhideWhenUsed/>
    <w:rsid w:val="00F8506B"/>
    <w:pPr>
      <w:tabs>
        <w:tab w:val="center" w:pos="4252"/>
        <w:tab w:val="right" w:pos="8504"/>
      </w:tabs>
      <w:spacing w:after="0"/>
    </w:pPr>
  </w:style>
  <w:style w:type="character" w:customStyle="1" w:styleId="EncabezadoCar">
    <w:name w:val="Encabezado Car"/>
    <w:basedOn w:val="Fuentedeprrafopredeter"/>
    <w:link w:val="Encabezado"/>
    <w:uiPriority w:val="99"/>
    <w:rsid w:val="00F8506B"/>
    <w:rPr>
      <w:rFonts w:ascii="Palatino Linotype" w:hAnsi="Palatino Linotype"/>
      <w:lang w:val="en-US" w:eastAsia="es-ES"/>
    </w:rPr>
  </w:style>
  <w:style w:type="paragraph" w:styleId="Piedepgina">
    <w:name w:val="footer"/>
    <w:basedOn w:val="Normal"/>
    <w:link w:val="PiedepginaCar"/>
    <w:uiPriority w:val="99"/>
    <w:unhideWhenUsed/>
    <w:rsid w:val="00F8506B"/>
    <w:pPr>
      <w:tabs>
        <w:tab w:val="center" w:pos="4252"/>
        <w:tab w:val="right" w:pos="8504"/>
      </w:tabs>
      <w:spacing w:after="0"/>
    </w:pPr>
  </w:style>
  <w:style w:type="character" w:customStyle="1" w:styleId="PiedepginaCar">
    <w:name w:val="Pie de página Car"/>
    <w:basedOn w:val="Fuentedeprrafopredeter"/>
    <w:link w:val="Piedepgina"/>
    <w:uiPriority w:val="99"/>
    <w:rsid w:val="00F8506B"/>
    <w:rPr>
      <w:rFonts w:ascii="Palatino Linotype" w:hAnsi="Palatino Linotype"/>
      <w:lang w:val="en-US" w:eastAsia="es-ES"/>
    </w:rPr>
  </w:style>
  <w:style w:type="paragraph" w:customStyle="1" w:styleId="Equation">
    <w:name w:val="Equation"/>
    <w:rsid w:val="00DC3C51"/>
    <w:pPr>
      <w:spacing w:after="200" w:line="276" w:lineRule="auto"/>
    </w:pPr>
    <w:rPr>
      <w:rFonts w:ascii="Cambria" w:eastAsia="Cambria" w:hAnsi="Cambria"/>
      <w:kern w:val="0"/>
      <w:sz w:val="24"/>
      <w:lang w:val="en-US"/>
      <w14:ligatures w14:val="none"/>
    </w:rPr>
  </w:style>
  <w:style w:type="paragraph" w:customStyle="1" w:styleId="SectionHead">
    <w:name w:val="SectionHead"/>
    <w:basedOn w:val="Normal"/>
    <w:rsid w:val="00794DB9"/>
    <w:pPr>
      <w:spacing w:after="200" w:line="276" w:lineRule="auto"/>
    </w:pPr>
    <w:rPr>
      <w:rFonts w:ascii="Arial" w:eastAsia="Arial" w:hAnsi="Arial"/>
      <w:b/>
      <w:sz w:val="21"/>
      <w:lang w:eastAsia="en-US"/>
    </w:rPr>
  </w:style>
  <w:style w:type="character" w:styleId="Referenciasutil">
    <w:name w:val="Subtle Reference"/>
    <w:basedOn w:val="Fuentedeprrafopredeter"/>
    <w:uiPriority w:val="31"/>
    <w:qFormat/>
    <w:rsid w:val="00771E3D"/>
    <w:rPr>
      <w:rFonts w:ascii="Palatino Linotype" w:hAnsi="Palatino Linotype"/>
      <w:b w:val="0"/>
      <w:i/>
      <w:smallCaps/>
      <w:color w:val="5A5A5A" w:themeColor="text1" w:themeTint="A5"/>
      <w:sz w:val="18"/>
    </w:rPr>
  </w:style>
  <w:style w:type="character" w:styleId="Mencinsinresolver">
    <w:name w:val="Unresolved Mention"/>
    <w:basedOn w:val="Fuentedeprrafopredeter"/>
    <w:uiPriority w:val="99"/>
    <w:semiHidden/>
    <w:unhideWhenUsed/>
    <w:rsid w:val="006C4095"/>
    <w:rPr>
      <w:color w:val="605E5C"/>
      <w:shd w:val="clear" w:color="auto" w:fill="E1DFDD"/>
    </w:rPr>
  </w:style>
  <w:style w:type="character" w:styleId="Refdenotaalfinal">
    <w:name w:val="endnote reference"/>
    <w:basedOn w:val="Fuentedeprrafopredeter"/>
    <w:uiPriority w:val="99"/>
    <w:semiHidden/>
    <w:unhideWhenUsed/>
    <w:rsid w:val="008A2678"/>
    <w:rPr>
      <w:vertAlign w:val="superscript"/>
    </w:rPr>
  </w:style>
  <w:style w:type="paragraph" w:styleId="Bibliografa">
    <w:name w:val="Bibliography"/>
    <w:basedOn w:val="Normal"/>
    <w:next w:val="Normal"/>
    <w:uiPriority w:val="37"/>
    <w:unhideWhenUsed/>
    <w:rsid w:val="000A0816"/>
    <w:pPr>
      <w:tabs>
        <w:tab w:val="left" w:pos="384"/>
      </w:tabs>
      <w:spacing w:after="0" w:line="480" w:lineRule="auto"/>
      <w:ind w:left="384" w:hanging="384"/>
    </w:pPr>
  </w:style>
  <w:style w:type="table" w:styleId="Tablaconcuadrcula">
    <w:name w:val="Table Grid"/>
    <w:basedOn w:val="Tablanormal"/>
    <w:uiPriority w:val="39"/>
    <w:rsid w:val="00246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ertText">
    <w:name w:val="InsertText"/>
    <w:rsid w:val="0015270F"/>
    <w:pPr>
      <w:spacing w:after="120" w:line="256" w:lineRule="auto"/>
    </w:pPr>
    <w:rPr>
      <w:rFonts w:ascii="Aptos" w:eastAsia="Aptos" w:hAnsi="Aptos"/>
      <w:kern w:val="0"/>
      <w:sz w:val="21"/>
      <w:lang w:val="en-US"/>
      <w14:ligatures w14:val="none"/>
    </w:rPr>
  </w:style>
  <w:style w:type="character" w:customStyle="1" w:styleId="citation-55">
    <w:name w:val="citation-55"/>
    <w:basedOn w:val="Fuentedeprrafopredeter"/>
    <w:rsid w:val="00C95EA6"/>
  </w:style>
  <w:style w:type="character" w:customStyle="1" w:styleId="citation-54">
    <w:name w:val="citation-54"/>
    <w:basedOn w:val="Fuentedeprrafopredeter"/>
    <w:rsid w:val="00C95EA6"/>
  </w:style>
  <w:style w:type="character" w:customStyle="1" w:styleId="citation-53">
    <w:name w:val="citation-53"/>
    <w:basedOn w:val="Fuentedeprrafopredeter"/>
    <w:rsid w:val="00C95EA6"/>
  </w:style>
  <w:style w:type="character" w:customStyle="1" w:styleId="citation-52">
    <w:name w:val="citation-52"/>
    <w:basedOn w:val="Fuentedeprrafopredeter"/>
    <w:rsid w:val="00C95EA6"/>
  </w:style>
  <w:style w:type="character" w:customStyle="1" w:styleId="citation-51">
    <w:name w:val="citation-51"/>
    <w:basedOn w:val="Fuentedeprrafopredeter"/>
    <w:rsid w:val="00C95EA6"/>
  </w:style>
  <w:style w:type="character" w:customStyle="1" w:styleId="citation-50">
    <w:name w:val="citation-50"/>
    <w:basedOn w:val="Fuentedeprrafopredeter"/>
    <w:rsid w:val="00C95EA6"/>
  </w:style>
  <w:style w:type="character" w:customStyle="1" w:styleId="citation-49">
    <w:name w:val="citation-49"/>
    <w:basedOn w:val="Fuentedeprrafopredeter"/>
    <w:rsid w:val="00C95EA6"/>
  </w:style>
  <w:style w:type="character" w:customStyle="1" w:styleId="citation-48">
    <w:name w:val="citation-48"/>
    <w:basedOn w:val="Fuentedeprrafopredeter"/>
    <w:rsid w:val="00C95EA6"/>
  </w:style>
  <w:style w:type="table" w:styleId="Tablanormal5">
    <w:name w:val="Plain Table 5"/>
    <w:basedOn w:val="Tablanormal"/>
    <w:uiPriority w:val="45"/>
    <w:rsid w:val="00F3130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unhideWhenUsed/>
    <w:rsid w:val="00FE4FEC"/>
    <w:pPr>
      <w:spacing w:after="0"/>
      <w:jc w:val="left"/>
    </w:pPr>
    <w:rPr>
      <w:rFonts w:ascii="Consolas" w:eastAsiaTheme="minorHAnsi" w:hAnsi="Consolas" w:cstheme="minorBidi"/>
      <w:color w:val="auto"/>
      <w:kern w:val="2"/>
      <w:sz w:val="21"/>
      <w:szCs w:val="21"/>
      <w:lang w:val="es-ES" w:eastAsia="en-US"/>
      <w14:ligatures w14:val="standardContextual"/>
    </w:rPr>
  </w:style>
  <w:style w:type="character" w:customStyle="1" w:styleId="TextosinformatoCar">
    <w:name w:val="Texto sin formato Car"/>
    <w:basedOn w:val="Fuentedeprrafopredeter"/>
    <w:link w:val="Textosinformato"/>
    <w:uiPriority w:val="99"/>
    <w:rsid w:val="00FE4FEC"/>
    <w:rPr>
      <w:rFonts w:ascii="Consolas" w:hAnsi="Consolas"/>
      <w:sz w:val="21"/>
      <w:szCs w:val="21"/>
    </w:rPr>
  </w:style>
  <w:style w:type="paragraph" w:styleId="HTMLconformatoprevio">
    <w:name w:val="HTML Preformatted"/>
    <w:basedOn w:val="Normal"/>
    <w:link w:val="HTMLconformatoprevioCar"/>
    <w:uiPriority w:val="99"/>
    <w:semiHidden/>
    <w:unhideWhenUsed/>
    <w:rsid w:val="00BB5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color w:val="auto"/>
      <w:sz w:val="20"/>
      <w:lang w:val="es-ES"/>
    </w:rPr>
  </w:style>
  <w:style w:type="character" w:customStyle="1" w:styleId="HTMLconformatoprevioCar">
    <w:name w:val="HTML con formato previo Car"/>
    <w:basedOn w:val="Fuentedeprrafopredeter"/>
    <w:link w:val="HTMLconformatoprevio"/>
    <w:uiPriority w:val="99"/>
    <w:semiHidden/>
    <w:rsid w:val="00BB5EF5"/>
    <w:rPr>
      <w:rFonts w:ascii="Courier New" w:eastAsia="Times New Roman" w:hAnsi="Courier New" w:cs="Courier New"/>
      <w:kern w:val="0"/>
      <w:sz w:val="20"/>
      <w:szCs w:val="20"/>
      <w:lang w:eastAsia="es-ES"/>
      <w14:ligatures w14:val="none"/>
    </w:rPr>
  </w:style>
  <w:style w:type="paragraph" w:customStyle="1" w:styleId="msonormal0">
    <w:name w:val="msonormal"/>
    <w:basedOn w:val="Normal"/>
    <w:rsid w:val="004E4E2D"/>
    <w:pPr>
      <w:spacing w:before="100" w:beforeAutospacing="1" w:after="100" w:afterAutospacing="1" w:line="240" w:lineRule="auto"/>
      <w:jc w:val="left"/>
    </w:pPr>
    <w:rPr>
      <w:rFonts w:cs="Times New Roman"/>
      <w:color w:val="auto"/>
      <w:sz w:val="24"/>
      <w:szCs w:val="24"/>
      <w:lang w:val="es-ES"/>
    </w:rPr>
  </w:style>
  <w:style w:type="paragraph" w:customStyle="1" w:styleId="paragraph">
    <w:name w:val="paragraph"/>
    <w:basedOn w:val="Normal"/>
    <w:rsid w:val="004E4E2D"/>
    <w:pPr>
      <w:spacing w:before="100" w:beforeAutospacing="1" w:after="100" w:afterAutospacing="1" w:line="240" w:lineRule="auto"/>
      <w:jc w:val="left"/>
    </w:pPr>
    <w:rPr>
      <w:rFonts w:cs="Times New Roman"/>
      <w:color w:val="auto"/>
      <w:sz w:val="24"/>
      <w:szCs w:val="24"/>
      <w:lang w:val="es-ES"/>
    </w:rPr>
  </w:style>
  <w:style w:type="character" w:customStyle="1" w:styleId="textrun">
    <w:name w:val="textrun"/>
    <w:basedOn w:val="Fuentedeprrafopredeter"/>
    <w:rsid w:val="004E4E2D"/>
  </w:style>
  <w:style w:type="character" w:customStyle="1" w:styleId="normaltextrun">
    <w:name w:val="normaltextrun"/>
    <w:basedOn w:val="Fuentedeprrafopredeter"/>
    <w:rsid w:val="004E4E2D"/>
  </w:style>
  <w:style w:type="character" w:customStyle="1" w:styleId="eop">
    <w:name w:val="eop"/>
    <w:basedOn w:val="Fuentedeprrafopredeter"/>
    <w:rsid w:val="004E4E2D"/>
  </w:style>
  <w:style w:type="character" w:customStyle="1" w:styleId="mathequationcontainer">
    <w:name w:val="mathequationcontainer"/>
    <w:basedOn w:val="Fuentedeprrafopredeter"/>
    <w:rsid w:val="004E4E2D"/>
  </w:style>
  <w:style w:type="character" w:customStyle="1" w:styleId="mathspan">
    <w:name w:val="mathspan"/>
    <w:basedOn w:val="Fuentedeprrafopredeter"/>
    <w:rsid w:val="004E4E2D"/>
  </w:style>
  <w:style w:type="character" w:customStyle="1" w:styleId="mathjaxpreview">
    <w:name w:val="mathjax_preview"/>
    <w:basedOn w:val="Fuentedeprrafopredeter"/>
    <w:rsid w:val="004E4E2D"/>
  </w:style>
  <w:style w:type="character" w:customStyle="1" w:styleId="mathjax">
    <w:name w:val="mathjax"/>
    <w:basedOn w:val="Fuentedeprrafopredeter"/>
    <w:rsid w:val="004E4E2D"/>
  </w:style>
  <w:style w:type="character" w:customStyle="1" w:styleId="math">
    <w:name w:val="math"/>
    <w:basedOn w:val="Fuentedeprrafopredeter"/>
    <w:rsid w:val="004E4E2D"/>
  </w:style>
  <w:style w:type="character" w:customStyle="1" w:styleId="scxw237421559">
    <w:name w:val="scxw237421559"/>
    <w:basedOn w:val="Fuentedeprrafopredeter"/>
    <w:rsid w:val="004E4E2D"/>
  </w:style>
  <w:style w:type="character" w:customStyle="1" w:styleId="mrow">
    <w:name w:val="mrow"/>
    <w:basedOn w:val="Fuentedeprrafopredeter"/>
    <w:rsid w:val="004E4E2D"/>
  </w:style>
  <w:style w:type="character" w:customStyle="1" w:styleId="msub">
    <w:name w:val="msub"/>
    <w:basedOn w:val="Fuentedeprrafopredeter"/>
    <w:rsid w:val="004E4E2D"/>
  </w:style>
  <w:style w:type="character" w:customStyle="1" w:styleId="mi">
    <w:name w:val="mi"/>
    <w:basedOn w:val="Fuentedeprrafopredeter"/>
    <w:rsid w:val="004E4E2D"/>
  </w:style>
  <w:style w:type="character" w:customStyle="1" w:styleId="mn">
    <w:name w:val="mn"/>
    <w:basedOn w:val="Fuentedeprrafopredeter"/>
    <w:rsid w:val="004E4E2D"/>
  </w:style>
  <w:style w:type="character" w:customStyle="1" w:styleId="mjxassistivemathml">
    <w:name w:val="mjx_assistive_mathml"/>
    <w:basedOn w:val="Fuentedeprrafopredeter"/>
    <w:rsid w:val="004E4E2D"/>
  </w:style>
  <w:style w:type="character" w:customStyle="1" w:styleId="mo">
    <w:name w:val="mo"/>
    <w:basedOn w:val="Fuentedeprrafopredeter"/>
    <w:rsid w:val="004E4E2D"/>
  </w:style>
  <w:style w:type="character" w:customStyle="1" w:styleId="mfenced">
    <w:name w:val="mfenced"/>
    <w:basedOn w:val="Fuentedeprrafopredeter"/>
    <w:rsid w:val="004E4E2D"/>
  </w:style>
  <w:style w:type="character" w:customStyle="1" w:styleId="munder">
    <w:name w:val="munder"/>
    <w:basedOn w:val="Fuentedeprrafopredeter"/>
    <w:rsid w:val="004E4E2D"/>
  </w:style>
  <w:style w:type="character" w:customStyle="1" w:styleId="mfrac">
    <w:name w:val="mfrac"/>
    <w:basedOn w:val="Fuentedeprrafopredeter"/>
    <w:rsid w:val="004E4E2D"/>
  </w:style>
  <w:style w:type="character" w:customStyle="1" w:styleId="mtext">
    <w:name w:val="mtext"/>
    <w:basedOn w:val="Fuentedeprrafopredeter"/>
    <w:rsid w:val="004E4E2D"/>
  </w:style>
  <w:style w:type="character" w:customStyle="1" w:styleId="msubsup">
    <w:name w:val="msubsup"/>
    <w:basedOn w:val="Fuentedeprrafopredeter"/>
    <w:rsid w:val="004E4E2D"/>
  </w:style>
  <w:style w:type="character" w:customStyle="1" w:styleId="msup">
    <w:name w:val="msup"/>
    <w:basedOn w:val="Fuentedeprrafopredeter"/>
    <w:rsid w:val="004E4E2D"/>
  </w:style>
  <w:style w:type="paragraph" w:customStyle="1" w:styleId="outlineelement">
    <w:name w:val="outlineelement"/>
    <w:basedOn w:val="Normal"/>
    <w:rsid w:val="004E4E2D"/>
    <w:pPr>
      <w:spacing w:before="100" w:beforeAutospacing="1" w:after="100" w:afterAutospacing="1" w:line="240" w:lineRule="auto"/>
      <w:jc w:val="left"/>
    </w:pPr>
    <w:rPr>
      <w:rFonts w:cs="Times New Roman"/>
      <w:color w:val="auto"/>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57F27-0177-45CD-A0B0-58EA4A3A6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761</TotalTime>
  <Pages>1</Pages>
  <Words>1856</Words>
  <Characters>10211</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Soriano Giammauro</dc:creator>
  <cp:keywords/>
  <dc:description/>
  <cp:lastModifiedBy>Giammauro Soriano</cp:lastModifiedBy>
  <cp:revision>83</cp:revision>
  <cp:lastPrinted>2026-05-14T07:40:00Z</cp:lastPrinted>
  <dcterms:created xsi:type="dcterms:W3CDTF">2026-07-23T07:26:00Z</dcterms:created>
  <dcterms:modified xsi:type="dcterms:W3CDTF">2026-09-23T10:23:00Z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id="wp1HIWnv"/&gt;&lt;style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 name="delayCitationUpdates" value="true"/&gt;&lt;pref name="dontAskDelayCitationUpdates" value="true"/&gt;&lt;/prefs&gt;&lt;/data&gt;</vt:lpwstr>
  </property>
</Properties>
</file>