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Methods and Results</w:t>
      </w:r>
    </w:p>
    <w:p>
      <w:r>
        <w:t>Additional file 1 | Companion to the BMC Medical Informatics and Decision Making manuscript v0.3 | 23 September 2026</w:t>
      </w:r>
    </w:p>
    <w:p>
      <w:pPr>
        <w:pStyle w:val="Heading1"/>
      </w:pPr>
      <w:r>
        <w:t>S1. Purpose and evidence boundary</w:t>
      </w:r>
    </w:p>
    <w:p>
      <w:r>
        <w:t>This supplement describes the executed analysis and retains all reported analysis cases. It was assembled from frozen rule files, code, execution receipts and allowlisted aggregate results. No training, threshold selection or test reevaluation was performed to prepare this revision. New local descriptive extraction of demographic and data-availability summaries was performed after test evaluation; only aggregate summaries were released for manuscript preparation. A supplementary table entry records the executed procedure; it does not convert a later specification into an earlier preregistration.</w:t>
      </w:r>
    </w:p>
    <w:p>
      <w:pPr>
        <w:pStyle w:val="Heading1"/>
      </w:pPr>
      <w:r>
        <w:t>S2. Cohort construction and reference labels</w:t>
      </w:r>
    </w:p>
    <w:p>
      <w:r>
        <w:t>Age eligibility used the year-level expression anchor_age + examination year − anchor_year for integer anchor_age values from 0 through 89. The estimate had to be at least 18 years. For the top-coded value 91, the conservative lower bound 89 + examination year − anchor_year had to meet the adult criterion; the code was not treated as an exact age. Values of 90 or above 91 and missing or invalid anchor information were ineligible. This procedure approximates age by year and does not recover a date of birth.</w:t>
      </w:r>
    </w:p>
    <w:p>
      <w:r>
        <w:t>Linkage used subject_id, while measurement_id identified an echocardiographic examination and study_id identified an ECG. Conflicting examination metadata were flagged and excluded. Exact duplicates were ignored for label assignment. The earliest eligible TTE with an ECG in the preceding 0–168 hours was selected, and the nearest preceding ECG was paired. Ties used the smaller relevant examination identifier. Index selection preceded label joining. Neither an unknown label nor waveform exclusion permitted substitution of a later examination.</w:t>
      </w:r>
    </w:p>
    <w:p>
      <w:r>
        <w:t>Patient partitioning used SHA256("rv-ecg-20260918-v0.1:" + subject_id), interpreted the first 16 hexadecimal digits as an unsigned integer and reduced it modulo 10,000. Values 0–6,999, 7,000–8,499 and 8,500–9,999 defined training, validation and test, respectively. Labels were not used to stratify the split. The three internal training folds used SHA256("a-rv-inner-20260923:" + subject_id), the first 16 hexadecimal digits and reduction modulo three. Membership was retained after exclusions and subset restrictions.</w:t>
      </w:r>
    </w:p>
    <w:p>
      <w:pPr>
        <w:keepNext/>
      </w:pPr>
      <w:r>
        <w:rPr>
          <w:b/>
        </w:rPr>
        <w:t>Table S1. Reference-category mapping</w:t>
      </w:r>
    </w:p>
    <w:tbl>
      <w:tblPr>
        <w:tblW w:type="auto" w:w="0"/>
        <w:jc w:val="center"/>
        <w:tblLayout w:type="fixed"/>
        <w:tblLook w:firstColumn="1" w:firstRow="1" w:lastColumn="0" w:lastRow="0" w:noHBand="0" w:noVBand="1" w:val="04A0"/>
      </w:tblPr>
      <w:tblGrid>
        <w:gridCol w:w="4752"/>
        <w:gridCol w:w="2664"/>
        <w:gridCol w:w="2664"/>
      </w:tblGrid>
      <w:tr>
        <w:trPr>
          <w:tblHeade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Recorded category meaning</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Primary label</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Secondary label</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Normal function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Low-normal function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Hyperdynamic function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Mild global hypokinesis</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Negative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Moderate global hypokinesis</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Severe global hypokinesis</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Reduced function, severity unspecified</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Positive</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Apical free-wall hypokinesis only</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Basal hypokinesis / McConnell-type regional finding</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Function cannot be assessed / RV not well seen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Blank, absent, unrecognized or incompatible metadata</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Unknown</w:t>
            </w:r>
          </w:p>
        </w:tc>
      </w:tr>
    </w:tbl>
    <w:p>
      <w:pPr>
        <w:spacing w:after="0"/>
      </w:pPr>
    </w:p>
    <w:p>
      <w:r>
        <w:t>The expected field was rv_function, description Right Ventricle - Function, unit blank and test type tte. Text normalization stripped and collapsed whitespace and used lowercase exact matching while preserving punctuation and qualifiers. No fuzzy mapping or numeric imputation was used. Any regional-only, unassessable or unrecognized nonempty category made a multiple-category examination unknown under the strict rule. Otherwise, all categories had to agree on the binary primary label. The secondary rule additionally required known and agreeing severity mappings. Exact machine-readable mappings are retained in the local phenotype rule file listed in the evidence ledger; these category meanings are not patient report quotations.</w:t>
      </w:r>
    </w:p>
    <w:p>
      <w:r>
        <w:t>TAPSE, tricuspid regurgitation pressure gradient, estimated pulmonary artery pressure, right ventricular chamber size and stress-state right ventricular function did not create or replace the resting outcome. The auxiliary TAPSE audit converted centimeters to millimeters by multiplying by 10 and required a finite positive value. It did not apply a diagnostic threshold or certify physiological validity.</w:t>
      </w:r>
    </w:p>
    <w:p>
      <w:pPr>
        <w:pStyle w:val="Heading1"/>
      </w:pPr>
      <w:r>
        <w:t>S3. Waveform checks and missing measurements</w:t>
      </w:r>
    </w:p>
    <w:p>
      <w:r>
        <w:t>The reader required a single format-16 data file, one sample per frame and zero skew. It accepted the 12 expected lead names I, II, III, aVR, aVL, aVF and V1–V6, reordered to a fixed sequence. Each recording required 5,000 samples at 500 Hz, finite positive gain, a recognized voltage unit and an interpretable baseline. A documented baseline fallback was allowed and flagged; a default gain was not substituted. Byte length was checked. Format-16 digital missing values (−32768) and nonfinite calibrated voltages failed. When a checksum was present, the full unskewed digital channel sum was checked modulo 65,536. An absent checksum was flagged, not reported as verified. Nonzero skew was outside the implemented reader's supported inputs and therefore excluded. These checks did not apply an empirically selected noise or amplitude cutoff.</w:t>
      </w:r>
    </w:p>
    <w:p>
      <w:r>
        <w:t>Before waveform exclusions, 12,747 of 39,890 index ECGs had at least one of the prespecified numerical sentinel codes; 27,143 had all nine measurements operationally usable. No separate group with an unusable measurement but no sentinel was observed under the implemented parser. Of the sentinel-bearing recordings, 12,588 passed and 159 failed waveform checks. Of the complete recordings, 26,699 passed and 444 failed. These counts describe the parser and checks, not causes of measurement failure.</w:t>
      </w:r>
    </w:p>
    <w:p>
      <w:r>
        <w:t>The model code treated codes 29999, 32767, 65534, 65535 and −32768 as unavailable, together with missing, unparseable, nonfinite or invalid-RR values. It retained field-specific unavailable, code and reason indicators. Neither a rhythm diagnosis nor a device mechanism was assigned from a sentinel code. A complete9 restriction was used only as a fixed-model sensitivity analysis.</w:t>
      </w:r>
    </w:p>
    <w:p>
      <w:pPr>
        <w:pStyle w:val="Heading1"/>
      </w:pPr>
      <w:r>
        <w:t>S4. Reproducible model specification</w:t>
      </w:r>
    </w:p>
    <w:p>
      <w:pPr>
        <w:keepNext/>
      </w:pPr>
      <w:r>
        <w:rPr>
          <w:b/>
        </w:rPr>
        <w:t>Table S2. Model selection and fitting settings</w:t>
      </w:r>
    </w:p>
    <w:tbl>
      <w:tblPr>
        <w:tblW w:type="auto" w:w="0"/>
        <w:jc w:val="center"/>
        <w:tblLayout w:type="fixed"/>
        <w:tblLook w:firstColumn="1" w:firstRow="1" w:lastColumn="0" w:lastRow="0" w:noHBand="0" w:noVBand="1" w:val="04A0"/>
      </w:tblPr>
      <w:tblGrid>
        <w:gridCol w:w="2880"/>
        <w:gridCol w:w="7200"/>
      </w:tblGrid>
      <w:tr>
        <w:trPr>
          <w:tblHeade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Component</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Frozen setting</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Logistic regression candidates</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L2 penalty; C = 0.01, 0.1, 1; lbfgs; max_iter 3000; tolerance 10⁻⁶; no class weighting</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XGBoost candidates</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Maximum depth 2, 4, 6; 500 trees; learning rate 0.03; min_child_weight 5; subsample 0.8; colsample_bytree 0.8; lambda 5; alpha 0; max_bin 256</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XGBoost execution</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Version 3.0.5; CPU histogram method; eight threads; seed 2026092300; no early stopping</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Candidate selection</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Three patient-level folds; minimum pooled out-of-fold log-loss; tolerance 10⁻⁶ and frozen candidate ordering for ties</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Waveform input</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 leads; 500 Hz to 250 Hz with resample_poly(up=1, down=2), Kaiser beta 5, line padding; 2500 samples; per-lead median centering</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CNN stem</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 to 32 channels; kernel 7; stride 2; batch normalization and ReLU</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CNN residual stages</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Widths 32, 64, 128, 128; two blocks per stage; two kernel-7 convolutions per block; stage transitions downsample with stride 2; projection shortcuts when required</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CNN output</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Global average pooling; dropout 0.2; one logit; 1022145 parameters</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CNN optimization</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AdamW; learning rate 0.001; weight decay 0.0001; cosine schedule to 0.00001; 25 epochs; batch size 128; unweighted binary cross-entropy; gradient norm clipped at 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CNN repetitions</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Seeds 2026092301, 2026092302, 2026092303; FP32; deterministic settings; TF32 disabled; four threads</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Waveform score</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Mean of three probabilities; clipping to [10⁻⁶, 1−10⁻⁶]; logit transformation; centering/scaling using training out-of-fold scores</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Augmented model</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All machine-feature columns plus the single waveform score; same selected baseline configuration, refitted</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Validation</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Two-parameter unpenalized logistic calibration; finite coefficients and positive slope required; separate 90% and 95% sensitivity-target thresholds</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Execution budget</w:t>
            </w:r>
          </w:p>
        </w:tc>
        <w:tc>
          <w:tcPr>
            <w:tcW w:type="dxa" w:w="72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Eight branch-by-endpoint units; 256 planned model fits plus 16 calibrations; 24-hour cumulative subprocess cap</w:t>
            </w:r>
          </w:p>
        </w:tc>
      </w:tr>
    </w:tbl>
    <w:p>
      <w:pPr>
        <w:spacing w:after="0"/>
      </w:pPr>
    </w:p>
    <w:p>
      <w:r>
        <w:t>Within each internal fold, preprocessing and text vocabulary were fitted only on that fold's training patients. A final processor was then fitted on the full corresponding training partition. Each eligible report statement was a binary feature; the frequency requirement was at least five training patients. Missing report text had an explicit indicator. The 731 primary and 719 secondary B columns include all retained numerical channels and indicators as well as text, and are not vocabulary-size counts.</w:t>
      </w:r>
    </w:p>
    <w:p>
      <w:r>
        <w:t>The waveform network used no external pretraining, amplitude normalization, augmentation or extra signal filtering. The prepared float32 input repeated median centering under the same transformation at training and inference. Cross-fitting produced the waveform score for training the augmented classifier. Full-training CNNs produced held-out scores. A possible distribution difference between these two score sources remains a limitation rather than being removed by the stacking design.</w:t>
      </w:r>
    </w:p>
    <w:p>
      <w:r>
        <w:t>All 272 planned fit/calibration tasks completed. There were 273 starts because one task had a recorded technical retry. Recorded subprocess time was 22,605.689 seconds, within the 24-hour cap. The selected main primary and secondary baseline configurations were XGB_D4. Fit completion does not substitute for a test-performance assessment.</w:t>
      </w:r>
    </w:p>
    <w:p>
      <w:pPr>
        <w:pStyle w:val="Heading1"/>
      </w:pPr>
      <w:r>
        <w:t>S5. Calibration, threshold selection and uncertainty</w:t>
      </w:r>
    </w:p>
    <w:p>
      <w:r>
        <w:t>For each fitted system, validation logistic recalibration estimated both intercept and slope. The calibrated validation scores determined the largest observed threshold attaining at least ceil(target × positive count) positive identifications. Both targets were applied to both endpoints. These fitted maps and thresholds remained fixed during testing and bootstrap resampling.</w:t>
      </w:r>
    </w:p>
    <w:p>
      <w:r>
        <w:t>The paired bootstrap used 2,000 ordinary patient resamples and nominal percentile intervals at the 2.5th and 97.5th percentiles, with NumPy's linear quantile rule. Seeds were 2026092201 for the primary endpoint, 2026092202 for the observed secondary endpoint and 2026092203 for the secondary label-assumption analysis. If a required statistic was undefined in any draw, its interval was withheld under the frozen all-defined rule. No replacement draws, preferred alternative interval or post-result threshold was used. No multiplicity adjustment was made.</w:t>
      </w:r>
    </w:p>
    <w:p>
      <w:r>
        <w:t>Test calibration-in-the-large fitted an intercept with the frozen probability logit as an offset and slope fixed at one. A separate logistic regression fitted a joint intercept and slope. The logits were clipped to the interval induced by [10⁻⁶, 1−10⁻⁶] for these diagnostics. A finite estimable zero or negative diagnostic slope was retained rather than removed. These regressions were diagnostic and never updated predictions.</w:t>
      </w:r>
    </w:p>
    <w:p>
      <w:r>
        <w:t>The original calibration display was expit(a + b × logit(p)), evaluated on a fixed 0.001–0.999 grid restricted to the observed test-score range. Its bootstrap bands were pointwise, conditional on the frozen system, and required all joint diagnostic fits to be defined. A prespecified failure display used 10 fixed bins with Wilson intervals and unconnected points; it was not triggered. Figure 3 in the main manuscript shows aggregate coefficients rather than the local original curve. These summaries do not exclude nonlinear miscalibration.</w:t>
      </w:r>
    </w:p>
    <w:p>
      <w:pPr>
        <w:pStyle w:val="Heading1"/>
      </w:pPr>
      <w:r>
        <w:t>S6. Analysis branches and label assumptions</w:t>
      </w:r>
    </w:p>
    <w:p>
      <w:pPr>
        <w:keepNext/>
      </w:pPr>
      <w:r>
        <w:rPr>
          <w:b/>
        </w:rPr>
        <w:t>Table S3. Roles of prespecified analysis cases</w:t>
      </w:r>
    </w:p>
    <w:tbl>
      <w:tblPr>
        <w:tblW w:type="auto" w:w="0"/>
        <w:jc w:val="center"/>
        <w:tblLayout w:type="fixed"/>
        <w:tblLook w:firstColumn="1" w:firstRow="1" w:lastColumn="0" w:lastRow="0" w:noHBand="0" w:noVBand="1" w:val="04A0"/>
      </w:tblPr>
      <w:tblGrid>
        <w:gridCol w:w="1728"/>
        <w:gridCol w:w="2592"/>
        <w:gridCol w:w="2880"/>
        <w:gridCol w:w="2880"/>
      </w:tblGrid>
      <w:tr>
        <w:trPr>
          <w:tblHeade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Case</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Population / change</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Model and threshold handling</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Role</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All QC-passing index pairs with the relevant known label</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 development and validation</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Primary endpoint at 90% target is the main comparison</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 fixed-main</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Concordant index versus measurement timestamps</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Frozen main system</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 refit</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Same concordance restriction in all partitions</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Repeat fixed development procedure within restriction</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 fixed-main</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Original pairing interval no more than 24 hours</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Frozen main system</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 refit</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Same interval restriction in all partitions</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Repeat fixed development procedure within restriction</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complete9</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All nine measurements operationally usable</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Frozen main system</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 no causal claim from changes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Remove p_end continuous feature and related indicators</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Repeat fixed development procedure</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Sensitivity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Ungraded primary-positive cases assigned non-moderate/severe</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Frozen secondary system, no retraining or recalibration</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Label-assumption analysis</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H</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Ungraded primary-positive cases assigned moderate/severe</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Frozen secondary system, no retraining or recalibration</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Label-assumption analysis</w:t>
            </w:r>
          </w:p>
        </w:tc>
      </w:tr>
    </w:tbl>
    <w:p>
      <w:pPr>
        <w:spacing w:after="0"/>
      </w:pPr>
    </w:p>
    <w:p>
      <w:r>
        <w:t>S1 and S2 retained each patient's original index pair. S3 preserved the endpoint and population. None of these analyses is an independent external validation. Differences between their estimates may reflect patient composition as well as model development and do not isolate a causal mechanism.</w:t>
      </w:r>
    </w:p>
    <w:p>
      <w:pPr>
        <w:pStyle w:val="Heading1"/>
      </w:pPr>
      <w:r>
        <w:t>S7. Specification and data-exposure chronology</w:t>
      </w:r>
    </w:p>
    <w:p>
      <w:pPr>
        <w:keepNext/>
      </w:pPr>
      <w:r>
        <w:rPr>
          <w:b/>
        </w:rPr>
        <w:t>Table S4. Chronology of the executed specification</w:t>
      </w:r>
    </w:p>
    <w:tbl>
      <w:tblPr>
        <w:tblW w:type="auto" w:w="0"/>
        <w:jc w:val="center"/>
        <w:tblLayout w:type="fixed"/>
        <w:tblLook w:firstColumn="1" w:firstRow="1" w:lastColumn="0" w:lastRow="0" w:noHBand="0" w:noVBand="1" w:val="04A0"/>
      </w:tblPr>
      <w:tblGrid>
        <w:gridCol w:w="1872"/>
        <w:gridCol w:w="4104"/>
        <w:gridCol w:w="4104"/>
      </w:tblGrid>
      <w:tr>
        <w:trPr>
          <w:tblHeade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Document / event</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Timing and information available</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Interpretation</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Stage 1 v0.1</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Dated 18 September 2026; after public ECG inspection, before individual Echo labels in the recorded workflow; OSF grs6q</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Partially specified stage registration; OSF date does not authenticate the earlier local timestamp</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Phenotype v0.2</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 September 2026; after structural field inspection and before phenotype-frequency reporting</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Operational label specification, not an entirely pre-data choice</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Age/pairing v0.2.1</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 September 2026; after Echo-only counts, before Clinical-age pairing counts</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Cohort specification at a later recorded stage</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Training v0.3 freeze</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 September 2026, 00:03:11.935265 UTC; labels and feasibility counts known, before first fit</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Final executable configuration for this run</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Sparse-to-L2 disclosure</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 September 2026, 09:36 Asia/Shanghai; 55 model fits and two calibrations completed across units, before formal test predictions</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Deviates from the Stage 1 sparse-regularization constraint; no evidence-based claim that the change was conservative</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Working-point clarification</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Local evaluation supplement applied 90% and 95% targets to both endpoints</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Describes executed interpretation; no test target guarantee</w:t>
            </w:r>
          </w:p>
        </w:tc>
      </w:tr>
      <w:tr>
        <w:trPr>
          <w:cantSplit/>
        </w:trPr>
        <w:tc>
          <w:tcPr>
            <w:tcW w:type="dxa" w:w="187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Formal internal evaluation</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 September 2026, 07:02:46–07:14:20 UTC; one authorized execution</w:t>
            </w:r>
          </w:p>
        </w:tc>
        <w:tc>
          <w:tcPr>
            <w:tcW w:type="dxa" w:w="410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No post-test model or threshold selection in this manuscript preparation</w:t>
            </w:r>
          </w:p>
        </w:tc>
      </w:tr>
    </w:tbl>
    <w:p>
      <w:pPr>
        <w:spacing w:after="0"/>
      </w:pPr>
    </w:p>
    <w:p>
      <w:r>
        <w:t>Local appendices and their hashes are retained in the evidence ledger. They are not described as having been uploaded to OSF. Full label counts and data structure were inspected for feasibility, so outcome-blind planning is not claimed for the entire project. The clinical minimum useful gain remained undetermined, and no clinical-utility threshold was added after testing.</w:t>
      </w:r>
    </w:p>
    <w:p>
      <w:pPr>
        <w:pStyle w:val="Heading1"/>
      </w:pPr>
      <w:r>
        <w:t>S8. Complete working-point results</w:t>
      </w:r>
    </w:p>
    <w:p>
      <w:r>
        <w:t>Rates are percentages and rate differences are percentage points. All intervals below are nominal 95% confidence intervals. Differences are BW minus B, except net fewer false positives, which is B minus BW. The row labels preserve the frozen branch and scenario identifiers. No favorable rows have replaced their less favorable counterparts.</w:t>
      </w:r>
    </w:p>
    <w:p>
      <w:pPr>
        <w:keepNext/>
      </w:pPr>
      <w:r>
        <w:rPr>
          <w:b/>
        </w:rPr>
        <w:t>Table S5a. Actual sensitivity at validation-selected working points</w:t>
      </w:r>
    </w:p>
    <w:tbl>
      <w:tblPr>
        <w:tblW w:type="auto" w:w="0"/>
        <w:jc w:val="center"/>
        <w:tblLayout w:type="fixed"/>
        <w:tblLook w:firstColumn="1" w:firstRow="1" w:lastColumn="0" w:lastRow="0" w:noHBand="0" w:noVBand="1" w:val="04A0"/>
      </w:tblPr>
      <w:tblGrid>
        <w:gridCol w:w="2664"/>
        <w:gridCol w:w="648"/>
        <w:gridCol w:w="1008"/>
        <w:gridCol w:w="1915"/>
        <w:gridCol w:w="1915"/>
        <w:gridCol w:w="1930"/>
      </w:tblGrid>
      <w:tr>
        <w:trPr>
          <w:tblHeade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Case / target</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N</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Positive</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B sensitivity % (95% CI)</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BW sensitivity % (95% CI)</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Difference pp (95% CI)</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703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92.18 (90.30, 94.02)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91.89 (89.87, 93.78)</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-0.28 (-2.29, 1.63)</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703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96.30 (94.93, 97.62)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95.59 (94.07, 96.96)</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-0.71 (-2.07, 0.67)</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5402</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92.16 (90.11, 94.11)</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91.87 (89.79, 93.91)</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-0.29 (-2.22, 1.56)</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5402</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96.37 (94.93, 97.74)</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95.65 (94.13, 97.08)</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-0.73 (-2.03, 0.73)</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3321</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486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92.80 (90.49, 95.09)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92.39 (90.11, 94.77)</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-0.41 (-2.70, 1.78)</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3321</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486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96.71 (94.98, 98.22)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96.09 (94.23, 97.72)</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-0.62 (-2.10, 0.82)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3726</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86.43 (82.62, 89.97)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86.14 (82.52, 90.00)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-0.29 (-3.68, 3.19)</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3726</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93.51 (90.62, 96.06)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92.33 (89.44, 95.10)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-1.18 (-3.80, 1.22)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93.92 (90.91, 96.67)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95.06 (92.31, 97.60)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1.14 (-1.87, 4.15)</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97.34 (95.24, 98.92)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96.20 (93.67, 98.41)</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-1.14 (-3.66, 1.19)</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93.77 (90.59, 96.56)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94.94 (91.97, 97.40)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1.17 (-1.99, 4.38)</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97.28 (95.19, 99.16)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96.11 (93.68, 98.33)</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-1.17 (-3.67, 1.42)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3200</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94.74 (91.35, 97.73)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96.32 (93.30, 98.79)</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1.58 (-1.45, 4.81)</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3200</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97.37 (94.86, 99.46)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97.37 (94.71, 99.46)</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 (-2.50, 2.66)</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3627</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90.16 (84.62, 95.12)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94.26 (89.74, 98.23)</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4.10 (-0.94, 9.45)</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3627</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95.90 (91.96, 99.17)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95.08 (90.83, 98.45)</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-0.82 (-5.19, 3.20)</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93.92 (90.87, 96.64)</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95.06 (92.31, 97.48)</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1.14 (-1.98, 4.31)</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434</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90.78 (87.95, 93.52)</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88.25 (85.01, 91.36)</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-2.53 (-5.18, 0.23)</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97.34 (95.33, 99.20)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96.20 (93.73, 98.40)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-1.14 (-3.45, 1.20)</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434</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95.16 (93.06, 97.07)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91.94 (89.20, 94.31)</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-3.23 (-5.84, -0.90)</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5402</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91.58 (89.50, 93.56)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92.02 (90.00, 94.05)</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0.44 (-1.48, 2.32)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5402</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96.66 (95.31, 97.93)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96.66 (95.30, 97.87)</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 (-1.33, 1.31)</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94.94 (92.10, 97.46)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92.61 (89.34, 95.67)</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-2.33 (-5.78, 1.13)</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257</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98.05 (96.23, 99.61)</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96.50 (94.16, 98.52)</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-1.56 (-3.94, 0.82)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3321</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486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89.92 (87.32, 92.53)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92.39 (89.94, 94.68)</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2.47 (0.00, 4.82)</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3321</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486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96.30 (94.55, 97.85)</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97.74 (96.33, 98.98)</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1.44 (-0.20, 3.19)</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3200</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95.26 (91.96, 98.06)</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94.74 (91.38, 97.60)</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-0.53 (-4.23, 3.23)</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3200</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98.95 (97.30, 100.00)</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97.37 (94.86, 99.47)</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-1.58 (-3.98, 0.55)</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703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91.75 (89.78, 93.63)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91.18 (89.10, 93.16)</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-0.57 (-2.49, 1.28)</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5505</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703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95.87 (94.36, 97.29)</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95.87 (94.33, 97.21)</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 (-1.29, 1.34)</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 / 90%</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92.40 (88.93, 95.38)</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94.30 (91.32, 96.99)</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 (-1.15, 5.00)</w:t>
            </w:r>
          </w:p>
        </w:tc>
      </w:tr>
      <w:tr>
        <w:trPr>
          <w:cantSplit/>
        </w:trPr>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 / 95%</w:t>
            </w:r>
          </w:p>
        </w:tc>
        <w:tc>
          <w:tcPr>
            <w:tcW w:type="dxa" w:w="64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5334</w:t>
            </w:r>
          </w:p>
        </w:tc>
        <w:tc>
          <w:tcPr>
            <w:tcW w:type="dxa" w:w="100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263</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98.48 (96.81, 99.64)</w:t>
            </w:r>
          </w:p>
        </w:tc>
        <w:tc>
          <w:tcPr>
            <w:tcW w:type="dxa" w:w="1915"/>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96.20 (93.67, 98.41)</w:t>
            </w:r>
          </w:p>
        </w:tc>
        <w:tc>
          <w:tcPr>
            <w:tcW w:type="dxa" w:w="193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-2.28 (-4.74, 0.00)</w:t>
            </w:r>
          </w:p>
        </w:tc>
      </w:tr>
    </w:tbl>
    <w:p>
      <w:pPr>
        <w:spacing w:after="0"/>
      </w:pPr>
    </w:p>
    <w:p>
      <w:pPr>
        <w:keepNext/>
      </w:pPr>
      <w:r>
        <w:rPr>
          <w:b/>
        </w:rPr>
        <w:t>Table S5b. Specificity, discrimination and false-positive differences</w:t>
      </w:r>
    </w:p>
    <w:tbl>
      <w:tblPr>
        <w:tblW w:type="auto" w:w="0"/>
        <w:jc w:val="center"/>
        <w:tblLayout w:type="fixed"/>
        <w:tblLook w:firstColumn="1" w:firstRow="1" w:lastColumn="0" w:lastRow="0" w:noHBand="0" w:noVBand="1" w:val="04A0"/>
      </w:tblPr>
      <w:tblGrid>
        <w:gridCol w:w="1728"/>
        <w:gridCol w:w="2592"/>
        <w:gridCol w:w="2880"/>
        <w:gridCol w:w="2880"/>
      </w:tblGrid>
      <w:tr>
        <w:trPr>
          <w:tblHeade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Case / target</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Specificity difference pp (95% CI)</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AUROC difference (95% CI)</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Net fewer false positives (95% CI)</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9.58 (8.40, 10.79)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(0.057, 0.080)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460 (403, 518)</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12.04 (10.88, 13.18)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(0.057, 0.080)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578 (523, 633)</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9.78 (8.54, 11.00)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(0.057, 0.082)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461 (402, 518)</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12.05 (10.88, 13.16)</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(0.057, 0.082)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568 (513, 621)</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9.24 (7.64, 10.80)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0.067 (0.052, 0.081)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262 (217, 307)</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11.25 (9.80, 12.77)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0.067 (0.052, 0.081)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319 (278, 363)</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10.07 (8.45, 11.51)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0.083 (0.064, 0.101)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341 (287, 390)</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13.91 (12.35, 15.44)</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0.083 (0.064, 0.101)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471 (419, 522)</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16.60 (15.35, 17.95)</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0.071 (0.054, 0.090)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842 (779, 910)</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24.79 (23.45, 26.08)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0.071 (0.054, 0.090)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1257 (1189, 1322)</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16.56 (15.29, 17.78)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0.073 (0.055, 0.092)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824 (762, 885)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24.91 (23.57, 26.11)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0.073 (0.055, 0.092)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1240 (1174, 1300)</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17.08 (15.48, 18.72)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0.072 (0.051, 0.093)</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514 (465, 565)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24.25 (22.59, 26.03)</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0.072 (0.051, 0.093)</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730 (680, 785)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16.23 (14.71, 17.77)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0.087 (0.061, 0.112)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569 (515, 623)</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27.28 (25.58, 28.77)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0.087 (0.061, 0.112)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956 (896, 1009)</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16.33 (15.15, 17.58)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0.070 (0.053, 0.089)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856 (795, 923)</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16.60 (15.37, 17.88)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0.065 (0.050, 0.080)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842 (780, 907)</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24.19 (22.91, 25.47)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0.070 (0.053, 0.089)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1268 (1202, 1335)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24.79 (23.49, 26.06)</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0.065 (0.050, 0.080)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1257 (1191, 1321)</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13.64 (12.43, 14.96)</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0.070 (0.058, 0.083)</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643 (585, 704)</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9.59 (8.45, 10.70)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0.070 (0.058, 0.083)</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452 (398, 504)</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19.19 (17.85, 20.49)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0.076 (0.055, 0.098)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955 (889, 1020)</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22.80 (21.51, 24.01)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0.076 (0.055, 0.098)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1135 (1071, 1197)</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11.01 (9.27, 12.70)</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0.063 (0.048, 0.077)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312 (262, 361)</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8.22 (6.71, 9.74)</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0.063 (0.048, 0.077)</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233 (189, 276)</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15.75 (14.01, 17.51)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0.055 (0.033, 0.078)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474 (421, 527)</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24.49 (22.89, 26.22)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0.055 (0.033, 0.078)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737 (690, 788)</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10.12 (8.86, 11.32)</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(0.058, 0.081)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486 (426, 545)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10.22 (9.09, 11.39)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(0.058, 0.081)</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491 (436, 547)</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 / 90%</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16.90 (15.60, 18.25)</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(0.052, 0.088)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857 (792, 925)</w:t>
            </w:r>
          </w:p>
        </w:tc>
      </w:tr>
      <w:tr>
        <w:trPr>
          <w:cantSplit/>
        </w:trPr>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 / 95%</w:t>
            </w:r>
          </w:p>
        </w:tc>
        <w:tc>
          <w:tcPr>
            <w:tcW w:type="dxa" w:w="259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24.99 (23.67, 26.29)</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0.069 (0.052, 0.088)</w:t>
            </w:r>
          </w:p>
        </w:tc>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1267 (1200, 1334)</w:t>
            </w:r>
          </w:p>
        </w:tc>
      </w:tr>
    </w:tbl>
    <w:p>
      <w:pPr>
        <w:spacing w:after="0"/>
      </w:pPr>
    </w:p>
    <w:p>
      <w:pPr>
        <w:pStyle w:val="Heading1"/>
      </w:pPr>
      <w:r>
        <w:t>S9. Complete calibration summaries</w:t>
      </w:r>
    </w:p>
    <w:p>
      <w:r>
        <w:t>CITL denotes an offset intercept with slope fixed at one. Joint intercept and slope come from a different diagnostic model. None of these coefficients updates the frozen test predictions. Intervals are nominal 95% confidence intervals.</w:t>
      </w:r>
    </w:p>
    <w:p>
      <w:pPr>
        <w:keepNext/>
      </w:pPr>
      <w:r>
        <w:rPr>
          <w:b/>
        </w:rPr>
        <w:t>Table S6. Calibration diagnostics for all analysis cases</w:t>
      </w:r>
    </w:p>
    <w:tbl>
      <w:tblPr>
        <w:tblW w:type="auto" w:w="0"/>
        <w:jc w:val="center"/>
        <w:tblLayout w:type="fixed"/>
        <w:tblLook w:firstColumn="1" w:firstRow="1" w:lastColumn="0" w:lastRow="0" w:noHBand="0" w:noVBand="1" w:val="04A0"/>
      </w:tblPr>
      <w:tblGrid>
        <w:gridCol w:w="2880"/>
        <w:gridCol w:w="1800"/>
        <w:gridCol w:w="1800"/>
        <w:gridCol w:w="1800"/>
        <w:gridCol w:w="1800"/>
      </w:tblGrid>
      <w:tr>
        <w:trPr>
          <w:tblHeade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Case</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Model</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CITL (95% CI)</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Joint intercept (95% CI)</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Joint slope (95% CI)</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0.009 (-0.076, 0.098)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0.024 (-0.129, 0.188)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1.009 (0.932, 1.093)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-0.002 (-0.091, 0.089)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0.054 (-0.078, 0.188)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1.041 (0.972, 1.115)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0.008 (-0.077, 0.091)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0.015 (-0.141, 0.183)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1.005 (0.921, 1.097)</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S1.fixed_main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-0.003 (-0.091, 0.087)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0.051 (-0.079, 0.191)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1.039 (0.969, 1.118)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0.133 (0.027, 0.235)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0.158 (-0.034, 0.356)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1.017 (0.921, 1.123)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S2.fixed_main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0.087 (-0.024, 0.200)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0.104 (-0.062, 0.274)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1.012 (0.931, 1.104)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0.004 (-0.122, 0.117)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0.044 (-0.226, 0.324)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1.020 (0.900, 1.155)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 / complete9.fixed_main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-0.017 (-0.148, 0.103)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0.078 (-0.129, 0.287)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1.056 (0.963, 1.162)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0.066 (-0.070, 0.194)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0.246 (-0.072, 0.578)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1.073 (0.961, 1.199)</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0.066 (-0.072, 0.197)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0.263 (0.023, 0.527)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1.096 (0.998, 1.210)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0.061 (-0.083, 0.192)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0.205 (-0.112, 0.539)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1.059 (0.948, 1.183)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S1.fixed_main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0.062 (-0.085, 0.198)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0.255 (0.007, 0.527)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1.094 (0.995, 1.208)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0.228 (0.067, 0.375)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0.500 (0.123, 0.870)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1.112 (0.980, 1.266)</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S2.fixed_main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0.197 (0.024, 0.351)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0.407 (0.114, 0.701)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1.103 (0.991, 1.233)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0.043 (-0.163, 0.214)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0.369 (-0.150, 0.878)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1.117 (0.956, 1.293)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complete9.fixed_main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0.095 (-0.114, 0.271)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0.520 (0.125, 0.927)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1.180 (1.040, 1.334)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-0.000 (-0.133, 0.119)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0.100 (-0.208, 0.415)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1.041 (0.930, 1.158)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L</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-0.031 (-0.170, 0.097)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0.085 (-0.158, 0.326)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1.058 (0.962, 1.168)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0.596 (0.482, 0.699)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0.335 (0.060, 0.609)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0.900 (0.806, 1.000)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 / severity_LH / H</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0.638 (0.516, 0.750)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0.374 (0.152, 0.577)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0.889 (0.811, 0.968)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0.002 (-0.082, 0.085)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0.023 (-0.132, 0.193)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1.013 (0.930, 1.106)</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 / S1.refitted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-0.006 (-0.094, 0.084)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0.043 (-0.087, 0.183)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1.036 (0.964, 1.112)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0.062 (-0.084, 0.194)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0.146 (-0.161, 0.484)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1.033 (0.925, 1.154)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 / S1.refitted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0.065 (-0.081, 0.196)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0.259 (0.015, 0.505)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1.094 (1.001, 1.200)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0.040 (-0.064, 0.141)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0.133 (-0.060, 0.336)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1.063 (0.962, 1.180)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 / S2.refitted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0.034 (-0.076, 0.141)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0.121 (-0.047, 0.283)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1.065 (0.978, 1.161)</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0.076 (-0.088, 0.226)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0.283 (-0.068, 0.640)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1.089 (0.962, 1.235)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 / S2.refitted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0.031 (-0.135, 0.186)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0.138 (-0.135, 0.397)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1.055 (0.946, 1.174)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0.011 (-0.075, 0.099)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0.011 (-0.143, 0.173)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1.000 (0.923, 1.085)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 / S3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-0.003 (-0.093, 0.089)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0.042 (-0.088, 0.176)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1.033 (0.965, 1.106)</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0.065 (-0.071, 0.191)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0.274 (-0.043, 0.603)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1.086 (0.971, 1.211)</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 / S3 / observed</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BW</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0.064 (-0.072, 0.197)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0.246 (0.005, 0.503)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1.089 (0.990, 1.200)</w:t>
            </w:r>
          </w:p>
        </w:tc>
      </w:tr>
    </w:tbl>
    <w:p>
      <w:pPr>
        <w:spacing w:after="0"/>
      </w:pPr>
    </w:p>
    <w:p>
      <w:pPr>
        <w:pStyle w:val="Heading1"/>
      </w:pPr>
      <w:r>
        <w:t>S10. Descriptive reporting and data access</w:t>
      </w:r>
    </w:p>
    <w:p>
      <w:pPr>
        <w:keepNext/>
      </w:pPr>
      <w:r>
        <w:rPr>
          <w:b/>
        </w:rPr>
        <w:t>Table S7. Complete descriptive characteristics by partition</w:t>
      </w:r>
    </w:p>
    <w:tbl>
      <w:tblPr>
        <w:tblW w:type="auto" w:w="0"/>
        <w:jc w:val="center"/>
        <w:tblLayout w:type="fixed"/>
        <w:tblLook w:firstColumn="1" w:firstRow="1" w:lastColumn="0" w:lastRow="0" w:noHBand="0" w:noVBand="1" w:val="04A0"/>
      </w:tblPr>
      <w:tblGrid>
        <w:gridCol w:w="2880"/>
        <w:gridCol w:w="1800"/>
        <w:gridCol w:w="1800"/>
        <w:gridCol w:w="1800"/>
        <w:gridCol w:w="1800"/>
      </w:tblGrid>
      <w:tr>
        <w:trPr>
          <w:tblHeade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Characteristic</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Training (n=25315)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Validation (n=5442)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Test (n=5505)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Overall (n=36262)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Primary endpoint positive,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3165 (12.5)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682 (12.5)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703 (12.8)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4550 (12.5)</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Female in source gender field,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11780 (46.5)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2579 (47.4)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2664 (48.4)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17023 (46.9)</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Male in source gender field,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13535 (53.5)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2863 (52.6)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2841 (51.6)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19239 (53.1)</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Source gender field unavailable,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among non-topcoded patients, years, median [IQR]</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67.0 [56.0, 78.0]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67.0 [56.0, 78.0]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68.0 [56.0, 78.0]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67.0 [56.0, 78.0]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Age topcoded at anchor,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1307 (5.2)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274 (5.0)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288 (5.2)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1869 (5.2)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18–39 years,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1969 (7.8)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409 (7.5)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396 (7.2)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2774 (7.7)</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40–59 years,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5782 (22.8)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1241 (22.8)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1232 (22.4)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8255 (22.8)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60–79 years,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11115 (43.9)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2424 (44.5)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2469 (44.9)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16008 (44.1)</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≥80 years, non-topcoded,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5142 (20.3)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1094 (20.1)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1120 (20.3)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7356 (20.3)</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ECG-to-echocardiography interval, hours, median [IQR]</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19.2 [6.1, 41.5]</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18.8 [6.2, 41.7]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18.6 [5.7, 40.9]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 [6.0, 41.4]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ECG within 24 hours before echocardiography,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15202 (60.1)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3324 (61.1)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3321 (60.3)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21847 (60.2)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Any prespecified sentinel in nine machine measurements,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8096 (32.0)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1717 (31.6)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1779 (32.3)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11592 (32.0)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Other unavailable measurement without a sentinel,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All nine machine measurements operationally usable,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17219 (68.0)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3725 (68.4)</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3726 (67.7)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24670 (68.0)</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D01,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3632 (14.3)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779 (14.3)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821 (14.9)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5232 (14.4)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D02,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1026 (4.1)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252 (4.6)</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256 (4.7)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1534 (4.2)</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D03,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1045 (4.1)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227 (4.2)</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223 (4.1)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1495 (4.1)</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D04,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939 (3.7)</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207 (3.8)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238 (4.3)</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1384 (3.8)</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Remaining device groups,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18673 (73.8)</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3977 (73.1)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3967 (72.1)</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26617 (73.4)</w:t>
            </w:r>
          </w:p>
        </w:tc>
      </w:tr>
      <w:tr>
        <w:trPr>
          <w:cantSplit/>
        </w:trPr>
        <w:tc>
          <w:tcPr>
            <w:tcW w:type="dxa" w:w="28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Conflict between ECG index and machine-measurement timestamps, n (%)</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504 (2.0)</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 (1.9)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 (1.9)</w:t>
            </w:r>
          </w:p>
        </w:tc>
        <w:tc>
          <w:tcPr>
            <w:tcW w:type="dxa" w:w="180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710 (2.0)</w:t>
            </w:r>
          </w:p>
        </w:tc>
      </w:tr>
    </w:tbl>
    <w:p>
      <w:pPr>
        <w:spacing w:after="0"/>
      </w:pPr>
    </w:p>
    <w:p>
      <w:r>
        <w:t>Values are counts (percentages) or medians [interquartile ranges]. Age is estimated at year level; patients with top-coded age anchors are excluded from age quantiles and reported separately. F and M are the source patient-table gender codes. Pairing intervals use the operational ECG timestamp and do not establish clock accuracy. Measurement availability follows the frozen nine-field rules. Descriptive summaries were prepared after test evaluation without changing the cohort or fitted models. Table S8 provides the corresponding unknown-label comparison.</w:t>
      </w:r>
    </w:p>
    <w:p>
      <w:r>
        <w:t>Device groups D01–D04 follow the existing outcome-independent grouping of the original index cohort. Other groups are combined; they are not interpreted as specific wards, institutions or manufacturers. Source gender was available for every included patient. No additional nonsentinel measurement-unavailability category was observed under the implemented parser.</w:t>
      </w:r>
    </w:p>
    <w:p>
      <w:pPr>
        <w:keepNext/>
      </w:pPr>
      <w:r>
        <w:rPr>
          <w:b/>
        </w:rPr>
        <w:t>Table S8. Characteristics by primary-label availability after waveform quality control</w:t>
      </w:r>
    </w:p>
    <w:tbl>
      <w:tblPr>
        <w:tblW w:type="auto" w:w="0"/>
        <w:jc w:val="center"/>
        <w:tblLayout w:type="fixed"/>
        <w:tblLook w:firstColumn="1" w:firstRow="1" w:lastColumn="0" w:lastRow="0" w:noHBand="0" w:noVBand="1" w:val="04A0"/>
      </w:tblPr>
      <w:tblGrid>
        <w:gridCol w:w="4752"/>
        <w:gridCol w:w="2664"/>
        <w:gridCol w:w="2664"/>
      </w:tblGrid>
      <w:tr>
        <w:trPr>
          <w:tblHeade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Characteristic</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Primary label known (n=36262)</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Primary label unknown (n=3025)</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Female in source gender field,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17023 (46.9)</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1316 (43.5)</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Male in source gender field,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19239 (53.1)</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1709 (56.5)</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Source gender field unavailable,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among non-topcoded patients, years, median [IQR]</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67.0 [56.0, 78.0]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68.0 [57.0, 78.0]</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Age topcoded at anchor,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1869 (5.2)</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174 (5.8)</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18–39 years,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2774 (7.7)</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169 (5.6)</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40–59 years,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8255 (22.8)</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684 (22.6)</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60–79 years,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16008 (44.1)</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1397 (46.2)</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Estimated age ≥80 years, non-topcoded,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7356 (20.3)</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601 (19.9)</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ECG-to-echocardiography interval, hours, median [IQR]</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19.0 [6.0, 41.4]</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14.2 [3.9, 31.7]</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ECG within 24 hours before echocardiography,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21847 (60.2)</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2037 (67.3)</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Any prespecified sentinel in nine machine measurements,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11592 (32.0)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996 (32.9)</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Other unavailable measurement without a sentinel,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0 (0.0)</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All nine machine measurements operationally usable,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24670 (68.0)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2029 (67.1)</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D01,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5232 (14.4)</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334 (11.0)</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D02,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1534 (4.2)</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103 (3.4)</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D03,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1495 (4.1)</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138 (4.6)</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Device group D04,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1384 (3.8)</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133 (4.4)</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Remaining device groups,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26617 (73.4)</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2317 (76.6)</w:t>
            </w:r>
          </w:p>
        </w:tc>
      </w:tr>
      <w:tr>
        <w:trPr>
          <w:cantSplit/>
        </w:trPr>
        <w:tc>
          <w:tcPr>
            <w:tcW w:type="dxa" w:w="47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Conflict between ECG index and machine-measurement timestamps, n (%)</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710 (2.0)</w:t>
            </w:r>
          </w:p>
        </w:tc>
        <w:tc>
          <w:tcPr>
            <w:tcW w:type="dxa" w:w="266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 (1.8)</w:t>
            </w:r>
          </w:p>
        </w:tc>
      </w:tr>
    </w:tbl>
    <w:p>
      <w:pPr>
        <w:spacing w:after="0"/>
      </w:pPr>
    </w:p>
    <w:p>
      <w:r>
        <w:t>Values are counts (percentages) or medians [interquartile ranges]. Known and unknown refer to the frozen primary label among quality-control-passing index pairs. The 3025 patients with an unknown label are distinct from the 3072 unknown-label patients before waveform quality control. The same age, measurement and device-group conventions apply as in Table S7. These contrasts describe the selected populations and do not establish the mechanism of missing labels.</w:t>
      </w:r>
    </w:p>
    <w:p>
      <w:r>
        <w:t>The new summaries were assembled for manuscript reporting after the test results were available. They did not alter the fixed patient cohort, partitions, endpoints or predictive systems. They are descriptive and are not interpreted as tests of covariate balance or fairness. Clinical comorbidities, care-setting classification and examination indications were not extracted for this revision.</w:t>
      </w:r>
    </w:p>
    <w:p>
      <w:pPr>
        <w:pStyle w:val="Heading1"/>
      </w:pPr>
      <w:r>
        <w:t>S11. Reproducibility and evidence provenance</w:t>
      </w:r>
    </w:p>
    <w:p>
      <w:r>
        <w:t>Additional file 3 contains executable analysis modules, frozen configuration files, a static integrity-check entry point and a manifest linking the archived implementation to this manuscript. It excludes patient-level data and results. The preserved implementation expects the original prepared inputs, local paths and hash gates; it is not an independently runnable end-to-end release. The implementation archive includes phenotype construction, adult eligibility and index pairing, waveform QC, preprocessing, training and evaluation source. Authorized data access, appropriate local configuration and the required execution evidence remain necessary; an independent end-to-end reproduction of the redistributed package has not been tested. Additional file 3 supplies the implementation for editor and reviewer inspection; no public repository deposition is claimed. Additional file 4 supplies copies of the registered Stage 1 documents and dated local specifications and amendments, which retain their distinct status. External validation and clinical-impact evaluation were not performed.</w:t>
      </w:r>
    </w:p>
    <w:p>
      <w:r>
        <w:t>The formal result source is A_aggregate_results.json, SHA256 51f88e19b8953a7b26abf34f0c17a70b04cd635859a26c56763dc8b0f4f1efcd. The source figures and their English legends were preserved from the reviewed result package. Source traceability, reference-reading status, local rule pointers and the final prose-review record accompany the local author package.</w:t>
      </w:r>
    </w:p>
    <w:p>
      <w:pPr>
        <w:pStyle w:val="Heading1"/>
      </w:pPr>
      <w:r>
        <w:t>S12. Development sample sizes and recorded computing environment</w:t>
      </w:r>
    </w:p>
    <w:p>
      <w:pPr>
        <w:keepNext/>
      </w:pPr>
      <w:r>
        <w:rPr>
          <w:b/>
        </w:rPr>
        <w:t>Table S9. Development populations and selected model configurations</w:t>
      </w:r>
    </w:p>
    <w:tbl>
      <w:tblPr>
        <w:tblW w:type="auto" w:w="0"/>
        <w:jc w:val="center"/>
        <w:tblLayout w:type="fixed"/>
        <w:tblLook w:firstColumn="1" w:firstRow="1" w:lastColumn="0" w:lastRow="0" w:noHBand="0" w:noVBand="1" w:val="04A0"/>
      </w:tblPr>
      <w:tblGrid>
        <w:gridCol w:w="1584"/>
        <w:gridCol w:w="1080"/>
        <w:gridCol w:w="1152"/>
        <w:gridCol w:w="1152"/>
        <w:gridCol w:w="1368"/>
        <w:gridCol w:w="2016"/>
        <w:gridCol w:w="1728"/>
      </w:tblGrid>
      <w:tr>
        <w:trPr>
          <w:tblHeade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Branch / endpoint</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Training N</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Training positive</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Validation N</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Validation positive</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Selected baseline</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spacing w:line="276" w:lineRule="auto" w:after="40"/>
            </w:pPr>
            <w:r>
              <w:rPr>
                <w:b/>
                <w:sz w:val="20"/>
              </w:rPr>
              <w:t>B feature columns</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main.primary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25315</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3165</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5442</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682</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731</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main.secondary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24628</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1121</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5297</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241</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719</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S1.primary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24811</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3102</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5339</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Suppressed</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727</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S1.secondary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24134</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1096</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5196</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Suppressed</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XGB_D2</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715</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S2.primary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15202</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2184</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3324</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472</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590</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S2.secondary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14720</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814</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3220</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174</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XGB_D2</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572</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S3.primary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25315</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3165</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5442</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682</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728</w:t>
            </w:r>
          </w:p>
        </w:tc>
      </w:tr>
      <w:tr>
        <w:trPr>
          <w:cantSplit/>
        </w:trPr>
        <w:tc>
          <w:tcPr>
            <w:tcW w:type="dxa" w:w="1584"/>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S3.secondary</w:t>
            </w:r>
          </w:p>
        </w:tc>
        <w:tc>
          <w:tcPr>
            <w:tcW w:type="dxa" w:w="1080"/>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24628</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1121</w:t>
            </w:r>
          </w:p>
        </w:tc>
        <w:tc>
          <w:tcPr>
            <w:tcW w:type="dxa" w:w="1152"/>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5297</w:t>
            </w:r>
          </w:p>
        </w:tc>
        <w:tc>
          <w:tcPr>
            <w:tcW w:type="dxa" w:w="136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241</w:t>
            </w:r>
          </w:p>
        </w:tc>
        <w:tc>
          <w:tcPr>
            <w:tcW w:type="dxa" w:w="2016"/>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XGB_D4</w:t>
            </w:r>
          </w:p>
        </w:tc>
        <w:tc>
          <w:tcPr>
            <w:tcW w:type="dxa" w:w="1728"/>
            <w:vAlign w:val="center"/>
            <w:tcMar>
              <w:top w:w="75" w:type="dxa"/>
              <w:bottom w:w="75" w:type="dxa"/>
              <w:left w:w="70" w:type="dxa"/>
              <w:right w:w="70" w:type="dxa"/>
            </w:tcMar>
            <w:tcBorders>
              <w:top w:val="single" w:sz="4" w:color="D9D9D9"/>
              <w:left w:val="single" w:sz="4" w:color="D9D9D9"/>
              <w:bottom w:val="single" w:sz="4" w:color="D9D9D9"/>
              <w:right w:val="single" w:sz="4" w:color="D9D9D9"/>
              <w:insideH w:val="single" w:sz="4" w:color="D9D9D9"/>
              <w:insideV w:val="single" w:sz="4" w:color="D9D9D9"/>
            </w:tcBorders>
          </w:tcPr>
          <w:p>
            <w:pPr>
              <w:keepNext w:val="0"/>
              <w:spacing w:line="276" w:lineRule="auto" w:after="40"/>
            </w:pPr>
            <w:r>
              <w:rPr>
                <w:b w:val="0"/>
                <w:sz w:val="20"/>
              </w:rPr>
              <w:t>716</w:t>
            </w:r>
          </w:p>
        </w:tc>
      </w:tr>
    </w:tbl>
    <w:p>
      <w:pPr>
        <w:spacing w:after="0"/>
      </w:pPr>
    </w:p>
    <w:p>
      <w:r>
        <w:t>S1 and S2 are refitted within their restrictions; S3 removes p_end features while retaining the main population. Fixed-main, complete9 and L/H analyses add no fitted units. B feature counts include numerical channels, indicators and text. S1 validation-positive counts are suppressed in this new descriptive table to avoid disclosing small exclusion counts by subtraction from the main population. Test counts remain available in the original complete performance tables.</w:t>
      </w:r>
    </w:p>
    <w:p>
      <w:r>
        <w:t>The recorded training environment was PyTorch 2.9.1+cu128, NumPy 2.2.6, SciPy 1.17.1, pandas 2.3.3, scikit-learn 1.9.0 and XGBoost 3.0.5, with CUDA 12.8, an NVIDIA GeForce RTX 5090 Laptop GPU and driver 592.01. The exact Python interpreter version was not recorded in the reviewed training freeze and is not inferred from a later environment. Recorded subprocess time is reported in Section S4; it is not the total investigator time or end-to-end wall-clock duration.</w:t>
      </w:r>
    </w:p>
    <w:sectPr w:rsidR="00FC693F" w:rsidRPr="0006063C" w:rsidSect="00034616">
      <w:footerReference w:type="default" r:id="rId9"/>
      <w:pgSz w:w="12240" w:h="15840"/>
      <w:pgMar w:top="1152" w:right="1080" w:bottom="1152" w:left="1080" w:header="720" w:footer="720" w:gutter="0"/>
      <w:cols w:space="720"/>
      <w:docGrid w:linePitch="360"/>
      <w:lnNumType w:countBy="1" w:start="1" w:restart="continuous" w:distance="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12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asciiTheme="majorHAnsi" w:eastAsiaTheme="majorEastAsia" w:hAnsiTheme="majorHAnsi" w:cstheme="majorBidi" w:ascii="Times New Roman" w:hAnsi="Times New Roman"/>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Methods and Results</dc:title>
  <dc:subject>BMC Medical Informatics and Decision Making submission preparation</dc:subject>
  <dc:creator>Junze Li; Yongfeng Shao</dc:creator>
  <cp:keywords/>
  <dc:description>generated by python-docx</dc:description>
  <cp:lastModifiedBy/>
  <cp:revision>1</cp:revision>
  <dcterms:created xsi:type="dcterms:W3CDTF">2013-12-23T23:15:00Z</dcterms:created>
  <dcterms:modified xsi:type="dcterms:W3CDTF">2013-12-23T23:15:00Z</dcterms:modified>
  <cp:category/>
</cp:coreProperties>
</file>