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ind w:leftChars="0"/>
        <w:rPr>
          <w:rFonts w:hint="default" w:ascii="Times New Roman" w:hAnsi="Times New Roman" w:cs="Times New Roman"/>
          <w:b/>
          <w:bCs/>
          <w:color w:val="auto"/>
          <w:kern w:val="0"/>
          <w:sz w:val="24"/>
          <w:szCs w:val="24"/>
          <w:shd w:val="clear" w:color="auto" w:fill="auto"/>
          <w:lang w:val="en-US" w:eastAsia="zh-CN"/>
        </w:rPr>
      </w:pPr>
      <w:r>
        <w:rPr>
          <w:rFonts w:hint="eastAsia" w:ascii="Times New Roman" w:hAnsi="Times New Roman" w:cs="Times New Roman"/>
          <w:b/>
          <w:bCs/>
          <w:color w:val="auto"/>
          <w:kern w:val="0"/>
          <w:sz w:val="24"/>
          <w:szCs w:val="24"/>
          <w:shd w:val="clear" w:color="auto" w:fill="auto"/>
          <w:lang w:val="en-US" w:eastAsia="zh-CN"/>
        </w:rPr>
        <w:t xml:space="preserve">Supplementary Text S1: </w:t>
      </w:r>
      <w:bookmarkStart w:id="0" w:name="_GoBack"/>
      <w:bookmarkEnd w:id="0"/>
      <w:r>
        <w:rPr>
          <w:rFonts w:hint="eastAsia" w:ascii="Times New Roman" w:hAnsi="Times New Roman" w:cs="Times New Roman"/>
          <w:b/>
          <w:bCs/>
          <w:color w:val="auto"/>
          <w:kern w:val="0"/>
          <w:sz w:val="24"/>
          <w:szCs w:val="24"/>
          <w:shd w:val="clear" w:color="auto" w:fill="auto"/>
          <w:lang w:val="en-US" w:eastAsia="zh-CN"/>
        </w:rPr>
        <w:t>Methods of calculate DSST, AFT and CERAD immediate recall test score:</w:t>
      </w:r>
    </w:p>
    <w:p>
      <w:pPr>
        <w:numPr>
          <w:ilvl w:val="0"/>
          <w:numId w:val="0"/>
        </w:numPr>
        <w:autoSpaceDE w:val="0"/>
        <w:autoSpaceDN w:val="0"/>
        <w:adjustRightInd w:val="0"/>
        <w:spacing w:line="360" w:lineRule="auto"/>
        <w:ind w:leftChars="0"/>
        <w:rPr>
          <w:rFonts w:hint="eastAsia" w:ascii="Times New Roman" w:hAnsi="Times New Roman" w:cs="Times New Roman"/>
          <w:b w:val="0"/>
          <w:bCs w:val="0"/>
          <w:color w:val="auto"/>
          <w:kern w:val="0"/>
          <w:sz w:val="24"/>
          <w:szCs w:val="24"/>
          <w:shd w:val="clear" w:color="auto" w:fill="auto"/>
          <w:lang w:val="en-US" w:eastAsia="zh-CN"/>
        </w:rPr>
      </w:pPr>
      <w:r>
        <w:rPr>
          <w:rFonts w:hint="eastAsia" w:ascii="Times New Roman" w:hAnsi="Times New Roman" w:cs="Times New Roman"/>
          <w:b w:val="0"/>
          <w:bCs w:val="0"/>
          <w:color w:val="auto"/>
          <w:kern w:val="0"/>
          <w:sz w:val="24"/>
          <w:szCs w:val="24"/>
          <w:shd w:val="clear" w:color="auto" w:fill="auto"/>
          <w:lang w:val="en-US" w:eastAsia="zh-CN"/>
        </w:rPr>
        <w:t xml:space="preserve">Firstly, DSST is an an executive function subtest of the Wechsler Adult Intelligence Scale, Third Edition (WAIS III)[1]. In this test, participants were given a key to pair symbols and numbers. Then, they got a list of numbers and had to use the substitution key to draw the symbol under the corresponding number within 120s. The DSST score represents the correct number of symbols drawn, and the highest score is 133. It is considered as a sensitive test for cognitive impairment because it can record participants' reaction speed, associative learning, sustained attention, visual spatial skills and working memory [2]. </w:t>
      </w:r>
    </w:p>
    <w:p>
      <w:pPr>
        <w:numPr>
          <w:ilvl w:val="0"/>
          <w:numId w:val="0"/>
        </w:numPr>
        <w:autoSpaceDE w:val="0"/>
        <w:autoSpaceDN w:val="0"/>
        <w:adjustRightInd w:val="0"/>
        <w:spacing w:line="360" w:lineRule="auto"/>
        <w:ind w:leftChars="0"/>
        <w:rPr>
          <w:rFonts w:hint="default" w:ascii="Times New Roman" w:hAnsi="Times New Roman" w:cs="Times New Roman"/>
          <w:b w:val="0"/>
          <w:bCs w:val="0"/>
          <w:color w:val="auto"/>
          <w:kern w:val="0"/>
          <w:sz w:val="24"/>
          <w:szCs w:val="24"/>
          <w:shd w:val="clear" w:color="auto" w:fill="auto"/>
          <w:lang w:val="en-US" w:eastAsia="zh-CN"/>
        </w:rPr>
      </w:pPr>
      <w:r>
        <w:rPr>
          <w:rFonts w:hint="eastAsia" w:ascii="Times New Roman" w:hAnsi="Times New Roman" w:cs="Times New Roman"/>
          <w:b w:val="0"/>
          <w:bCs w:val="0"/>
          <w:color w:val="auto"/>
          <w:kern w:val="0"/>
          <w:sz w:val="24"/>
          <w:szCs w:val="24"/>
          <w:shd w:val="clear" w:color="auto" w:fill="auto"/>
          <w:lang w:val="en-US" w:eastAsia="zh-CN"/>
        </w:rPr>
        <w:t>Secondly, in the AFT, which is simple method to assess the categorical verbal fluency field of executive function[3], participants were asked to name as many different animals as they could within 60s. Responses were recorded verbatim and the score included the number of new animal names produced[4]. NHANES participants were administered a practice test in which they were asked to name three clothing items in order to adapt to the categorical naming demand of the AFT. If the participant was unable to name three clothing items, the AFT was not performed[5].</w:t>
      </w:r>
    </w:p>
    <w:p>
      <w:pPr>
        <w:numPr>
          <w:ilvl w:val="0"/>
          <w:numId w:val="0"/>
        </w:numPr>
        <w:autoSpaceDE w:val="0"/>
        <w:autoSpaceDN w:val="0"/>
        <w:adjustRightInd w:val="0"/>
        <w:spacing w:line="360" w:lineRule="auto"/>
        <w:ind w:leftChars="0"/>
        <w:rPr>
          <w:rFonts w:hint="eastAsia" w:ascii="Times New Roman" w:hAnsi="Times New Roman" w:cs="Times New Roman"/>
          <w:b w:val="0"/>
          <w:bCs w:val="0"/>
          <w:color w:val="auto"/>
          <w:kern w:val="0"/>
          <w:sz w:val="24"/>
          <w:szCs w:val="24"/>
          <w:shd w:val="clear" w:color="auto" w:fill="auto"/>
          <w:lang w:val="en-US" w:eastAsia="zh-CN"/>
        </w:rPr>
      </w:pPr>
      <w:r>
        <w:rPr>
          <w:rFonts w:hint="eastAsia" w:ascii="Times New Roman" w:hAnsi="Times New Roman" w:cs="Times New Roman"/>
          <w:b w:val="0"/>
          <w:bCs w:val="0"/>
          <w:color w:val="auto"/>
          <w:kern w:val="0"/>
          <w:sz w:val="24"/>
          <w:szCs w:val="24"/>
          <w:shd w:val="clear" w:color="auto" w:fill="auto"/>
          <w:lang w:val="en-US" w:eastAsia="zh-CN"/>
        </w:rPr>
        <w:t>Thirdly, the CERAD immediate recall test is used to assess immediate learning of new verbal information[6]. Three consecutive word learning trials of 10 words were performed. In each experiment, participants were presented with 10 identical unrelated words printed in different order. After reading the 10 words aloud, participants immediately recalled as many presented words as possible. The total number of words recalled correctly and immediately was calculated as the score of individual word test. The CERAD instant learning score for this analysis was the average number of words recalled in the three trials[5].</w:t>
      </w:r>
    </w:p>
    <w:p>
      <w:pPr>
        <w:numPr>
          <w:ilvl w:val="0"/>
          <w:numId w:val="0"/>
        </w:numPr>
        <w:autoSpaceDE w:val="0"/>
        <w:autoSpaceDN w:val="0"/>
        <w:adjustRightInd w:val="0"/>
        <w:spacing w:line="360" w:lineRule="auto"/>
        <w:ind w:leftChars="0"/>
        <w:rPr>
          <w:rFonts w:hint="eastAsia" w:ascii="Times New Roman" w:hAnsi="Times New Roman" w:cs="Times New Roman"/>
          <w:b w:val="0"/>
          <w:bCs w:val="0"/>
          <w:color w:val="auto"/>
          <w:kern w:val="0"/>
          <w:sz w:val="24"/>
          <w:szCs w:val="24"/>
          <w:shd w:val="clear" w:color="auto" w:fill="auto"/>
          <w:lang w:val="en-US" w:eastAsia="zh-CN"/>
        </w:rPr>
      </w:pPr>
    </w:p>
    <w:p>
      <w:pPr>
        <w:autoSpaceDE w:val="0"/>
        <w:autoSpaceDN w:val="0"/>
        <w:adjustRightInd w:val="0"/>
        <w:spacing w:line="360" w:lineRule="auto"/>
        <w:rPr>
          <w:rFonts w:hint="eastAsia" w:ascii="Times New Roman" w:hAnsi="Times New Roman" w:cs="Times New Roman"/>
          <w:b/>
          <w:kern w:val="0"/>
          <w:sz w:val="24"/>
          <w:szCs w:val="24"/>
          <w:lang w:val="en-US" w:eastAsia="zh-CN"/>
        </w:rPr>
      </w:pPr>
      <w:r>
        <w:rPr>
          <w:rFonts w:hint="eastAsia" w:ascii="Times New Roman" w:hAnsi="Times New Roman" w:cs="Times New Roman"/>
          <w:b/>
          <w:kern w:val="0"/>
          <w:sz w:val="24"/>
          <w:szCs w:val="24"/>
          <w:lang w:val="en-US" w:eastAsia="zh-CN"/>
        </w:rPr>
        <w:t>References</w:t>
      </w:r>
    </w:p>
    <w:p>
      <w:pPr>
        <w:numPr>
          <w:ilvl w:val="0"/>
          <w:numId w:val="1"/>
        </w:numPr>
        <w:autoSpaceDE w:val="0"/>
        <w:autoSpaceDN w:val="0"/>
        <w:adjustRightInd w:val="0"/>
        <w:spacing w:line="360" w:lineRule="auto"/>
        <w:rPr>
          <w:rFonts w:hint="default" w:ascii="Times New Roman" w:hAnsi="Times New Roman" w:cs="Times New Roman"/>
          <w:b w:val="0"/>
          <w:bCs/>
          <w:kern w:val="0"/>
          <w:sz w:val="18"/>
          <w:szCs w:val="18"/>
          <w:lang w:val="en-US" w:eastAsia="zh-CN"/>
        </w:rPr>
      </w:pPr>
      <w:r>
        <w:rPr>
          <w:rFonts w:hint="eastAsia" w:ascii="Times New Roman" w:hAnsi="Times New Roman" w:cs="Times New Roman"/>
          <w:b w:val="0"/>
          <w:bCs/>
          <w:kern w:val="0"/>
          <w:sz w:val="18"/>
          <w:szCs w:val="18"/>
          <w:lang w:val="en-US" w:eastAsia="zh-CN"/>
        </w:rPr>
        <w:t xml:space="preserve"> Oberlin BS, Tangney CC, Gustashaw KA, Rasmussen HE. Vitamin B12 deficiency in relation to functional disabilities. Nutrients. 2013 Nov 12;5(11):4462-75. doi: 10.3390/nu5114462. PMID: 24225845; PMCID: PMC3847742.</w:t>
      </w:r>
    </w:p>
    <w:p>
      <w:pPr>
        <w:numPr>
          <w:ilvl w:val="0"/>
          <w:numId w:val="1"/>
        </w:numPr>
        <w:autoSpaceDE w:val="0"/>
        <w:autoSpaceDN w:val="0"/>
        <w:adjustRightInd w:val="0"/>
        <w:spacing w:line="360" w:lineRule="auto"/>
        <w:rPr>
          <w:rFonts w:hint="default" w:ascii="Times New Roman" w:hAnsi="Times New Roman" w:cs="Times New Roman"/>
          <w:b w:val="0"/>
          <w:bCs/>
          <w:kern w:val="0"/>
          <w:sz w:val="18"/>
          <w:szCs w:val="18"/>
          <w:lang w:val="en-US" w:eastAsia="zh-CN"/>
        </w:rPr>
      </w:pPr>
      <w:r>
        <w:rPr>
          <w:rFonts w:hint="eastAsia" w:ascii="Times New Roman" w:hAnsi="Times New Roman" w:cs="Times New Roman"/>
          <w:b w:val="0"/>
          <w:bCs/>
          <w:kern w:val="0"/>
          <w:sz w:val="18"/>
          <w:szCs w:val="18"/>
          <w:lang w:val="en-US" w:eastAsia="zh-CN"/>
        </w:rPr>
        <w:t xml:space="preserve"> Boake C. From the Binet-Simon to the Wechsler-Bellevue: tracing the history of intelligence testing. J Clin Exp Neuropsychol. 2002 May;24(3):383-405. doi: 10.1076/jcen.24.3.383.981. PMID: 11992219.</w:t>
      </w:r>
    </w:p>
    <w:p>
      <w:pPr>
        <w:numPr>
          <w:ilvl w:val="0"/>
          <w:numId w:val="1"/>
        </w:numPr>
        <w:autoSpaceDE w:val="0"/>
        <w:autoSpaceDN w:val="0"/>
        <w:adjustRightInd w:val="0"/>
        <w:spacing w:line="360" w:lineRule="auto"/>
        <w:rPr>
          <w:rFonts w:hint="default" w:ascii="Times New Roman" w:hAnsi="Times New Roman" w:cs="Times New Roman"/>
          <w:b w:val="0"/>
          <w:bCs/>
          <w:kern w:val="0"/>
          <w:sz w:val="18"/>
          <w:szCs w:val="18"/>
          <w:lang w:val="en-US" w:eastAsia="zh-CN"/>
        </w:rPr>
      </w:pPr>
      <w:r>
        <w:rPr>
          <w:rFonts w:hint="eastAsia" w:ascii="Times New Roman" w:hAnsi="Times New Roman" w:cs="Times New Roman"/>
          <w:b w:val="0"/>
          <w:bCs/>
          <w:kern w:val="0"/>
          <w:sz w:val="18"/>
          <w:szCs w:val="18"/>
          <w:lang w:val="en-US" w:eastAsia="zh-CN"/>
        </w:rPr>
        <w:t xml:space="preserve"> Strauss, E.; Sherman, E.M.S.; Spreen, O.; Spreen, O. A compendium of Neuropsychological Tests: Administration, Norms, and Commentary, 3rd ed.; Oxford University Press: Oxford, UK; New York, NY, USA, 2006. </w:t>
      </w:r>
    </w:p>
    <w:p>
      <w:pPr>
        <w:numPr>
          <w:ilvl w:val="0"/>
          <w:numId w:val="1"/>
        </w:numPr>
        <w:autoSpaceDE w:val="0"/>
        <w:autoSpaceDN w:val="0"/>
        <w:adjustRightInd w:val="0"/>
        <w:spacing w:line="360" w:lineRule="auto"/>
        <w:rPr>
          <w:rFonts w:hint="default" w:ascii="Times New Roman" w:hAnsi="Times New Roman" w:cs="Times New Roman"/>
          <w:b w:val="0"/>
          <w:bCs/>
          <w:kern w:val="0"/>
          <w:sz w:val="18"/>
          <w:szCs w:val="18"/>
          <w:lang w:val="en-US" w:eastAsia="zh-CN"/>
        </w:rPr>
      </w:pPr>
      <w:r>
        <w:rPr>
          <w:rFonts w:hint="eastAsia" w:ascii="Times New Roman" w:hAnsi="Times New Roman" w:cs="Times New Roman"/>
          <w:b w:val="0"/>
          <w:bCs/>
          <w:kern w:val="0"/>
          <w:sz w:val="18"/>
          <w:szCs w:val="18"/>
          <w:lang w:val="en-US" w:eastAsia="zh-CN"/>
        </w:rPr>
        <w:t xml:space="preserve"> Canning SJ, Leach L, Stuss D, Ngo L, Black SE. Diagnostic utility of abbreviated fluency measures in Alzheimer disease and vascular dementia. Neurology. 2004 Feb 24;62(4):556-62. doi: 10.1212/wnl.62.4.556. PMID: 14981170.</w:t>
      </w:r>
    </w:p>
    <w:p>
      <w:pPr>
        <w:numPr>
          <w:ilvl w:val="0"/>
          <w:numId w:val="1"/>
        </w:numPr>
        <w:autoSpaceDE w:val="0"/>
        <w:autoSpaceDN w:val="0"/>
        <w:adjustRightInd w:val="0"/>
        <w:spacing w:line="360" w:lineRule="auto"/>
        <w:rPr>
          <w:rFonts w:hint="default" w:ascii="Times New Roman" w:hAnsi="Times New Roman" w:cs="Times New Roman"/>
          <w:b w:val="0"/>
          <w:bCs/>
          <w:kern w:val="0"/>
          <w:sz w:val="18"/>
          <w:szCs w:val="18"/>
          <w:lang w:val="en-US" w:eastAsia="zh-CN"/>
        </w:rPr>
      </w:pPr>
      <w:r>
        <w:rPr>
          <w:rFonts w:hint="eastAsia" w:ascii="Times New Roman" w:hAnsi="Times New Roman" w:cs="Times New Roman"/>
          <w:b w:val="0"/>
          <w:bCs/>
          <w:kern w:val="0"/>
          <w:sz w:val="18"/>
          <w:szCs w:val="18"/>
          <w:lang w:val="en-US" w:eastAsia="zh-CN"/>
        </w:rPr>
        <w:t xml:space="preserve"> Taylor MK, Mahnken JD, Sullivan DK. NHANES 2011-2014 Reveals Cognition of US Older Adults may Benefit from Better Adaptation to the Mediterranean Diet. Nutrients. 2020 Jun 29;12(7):1929. doi: 10.3390/nu12071929. PMID: 32610616; PMCID: PMC7399952.</w:t>
      </w:r>
    </w:p>
    <w:p>
      <w:pPr>
        <w:numPr>
          <w:ilvl w:val="0"/>
          <w:numId w:val="1"/>
        </w:numPr>
        <w:autoSpaceDE w:val="0"/>
        <w:autoSpaceDN w:val="0"/>
        <w:adjustRightInd w:val="0"/>
        <w:spacing w:line="360" w:lineRule="auto"/>
        <w:rPr>
          <w:rFonts w:hint="default" w:ascii="Times New Roman" w:hAnsi="Times New Roman" w:cs="Times New Roman"/>
          <w:b w:val="0"/>
          <w:bCs/>
          <w:kern w:val="0"/>
          <w:sz w:val="18"/>
          <w:szCs w:val="18"/>
          <w:lang w:val="en-US" w:eastAsia="zh-CN"/>
        </w:rPr>
      </w:pPr>
      <w:r>
        <w:rPr>
          <w:rFonts w:hint="eastAsia" w:ascii="Times New Roman" w:hAnsi="Times New Roman" w:cs="Times New Roman"/>
          <w:b w:val="0"/>
          <w:bCs/>
          <w:kern w:val="0"/>
          <w:sz w:val="18"/>
          <w:szCs w:val="18"/>
          <w:lang w:val="en-US" w:eastAsia="zh-CN"/>
        </w:rPr>
        <w:t xml:space="preserve"> Morris JC, Heyman A, Mohs RC, Hughes JP, van Belle G, Fillenbaum G, Mellits ED, Clark C. The Consortium to Establish a Registry for Alzheimer's Disease (CERAD). Part I. Clinical and neuropsychological assessment of Alzheimer's disease. Neurology. 1989 Sep;39(9):1159-65. doi: 10.1212/wnl.39.9.1159. PMID: 2771064.</w:t>
      </w:r>
    </w:p>
    <w:p>
      <w:pPr>
        <w:numPr>
          <w:ilvl w:val="0"/>
          <w:numId w:val="0"/>
        </w:numPr>
        <w:autoSpaceDE w:val="0"/>
        <w:autoSpaceDN w:val="0"/>
        <w:adjustRightInd w:val="0"/>
        <w:spacing w:line="360" w:lineRule="auto"/>
        <w:ind w:leftChars="0"/>
        <w:rPr>
          <w:rFonts w:hint="eastAsia" w:ascii="Times New Roman" w:hAnsi="Times New Roman" w:cs="Times New Roman"/>
          <w:b w:val="0"/>
          <w:bCs w:val="0"/>
          <w:color w:val="auto"/>
          <w:kern w:val="0"/>
          <w:sz w:val="24"/>
          <w:szCs w:val="24"/>
          <w:shd w:val="clear" w:color="auto" w:fill="auto"/>
          <w:lang w:val="en-US"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EB7D9D"/>
    <w:multiLevelType w:val="singleLevel"/>
    <w:tmpl w:val="B2EB7D9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2E3D41"/>
    <w:rsid w:val="173D0838"/>
    <w:rsid w:val="2286650A"/>
    <w:rsid w:val="330C11D2"/>
    <w:rsid w:val="36867345"/>
    <w:rsid w:val="39037345"/>
    <w:rsid w:val="50103B46"/>
    <w:rsid w:val="53C0360B"/>
    <w:rsid w:val="59F6009A"/>
    <w:rsid w:val="5DE77016"/>
    <w:rsid w:val="639F3A44"/>
    <w:rsid w:val="66CF6465"/>
    <w:rsid w:val="6D6E40DB"/>
    <w:rsid w:val="778A155C"/>
    <w:rsid w:val="7C0E1F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2021-05-06T13:56:00Z</dcterms:created>
  <dc:creator>Lenovo</dc:creator>
  <cp:lastModifiedBy>gonegoon</cp:lastModifiedBy>
  <dcterms:modified xsi:type="dcterms:W3CDTF">2021-09-02T03:41:02Z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A1DA6953CE3942A89C718F60CB5F63D3</vt:lpwstr>
  </property>
</Properties>
</file>