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1275F4" w14:textId="58615579" w:rsidR="00AE10A6" w:rsidRDefault="00AE10A6" w:rsidP="00377FA6">
      <w:pPr>
        <w:spacing w:line="480" w:lineRule="auto"/>
        <w:rPr>
          <w:rFonts w:ascii="Arial" w:hAnsi="Arial" w:cs="Arial"/>
          <w:b/>
          <w:bCs/>
          <w:color w:val="000000"/>
        </w:rPr>
      </w:pPr>
      <w:r>
        <w:rPr>
          <w:rFonts w:ascii="Arial" w:hAnsi="Arial" w:cs="Arial"/>
          <w:b/>
          <w:bCs/>
          <w:color w:val="000000"/>
        </w:rPr>
        <w:t>Supplementary Information</w:t>
      </w:r>
    </w:p>
    <w:p w14:paraId="4200C21F" w14:textId="48556FBE" w:rsidR="00267027" w:rsidRDefault="00267027" w:rsidP="00377FA6">
      <w:pPr>
        <w:spacing w:line="480" w:lineRule="auto"/>
        <w:rPr>
          <w:rFonts w:ascii="Arial" w:hAnsi="Arial" w:cs="Arial"/>
          <w:color w:val="000000"/>
        </w:rPr>
      </w:pPr>
      <w:r w:rsidRPr="00BD035E">
        <w:rPr>
          <w:rFonts w:ascii="Arial" w:hAnsi="Arial" w:cs="Arial"/>
          <w:color w:val="000000"/>
        </w:rPr>
        <w:t xml:space="preserve">Captivity </w:t>
      </w:r>
      <w:r>
        <w:rPr>
          <w:rFonts w:ascii="Arial" w:hAnsi="Arial" w:cs="Arial"/>
          <w:color w:val="000000"/>
        </w:rPr>
        <w:t>reduces diversity and shifts composition of</w:t>
      </w:r>
      <w:r w:rsidRPr="00BD035E">
        <w:rPr>
          <w:rFonts w:ascii="Arial" w:hAnsi="Arial" w:cs="Arial"/>
          <w:color w:val="000000"/>
        </w:rPr>
        <w:t xml:space="preserve"> </w:t>
      </w:r>
      <w:r w:rsidR="000B6C0C">
        <w:rPr>
          <w:rFonts w:ascii="Arial" w:hAnsi="Arial" w:cs="Arial"/>
          <w:color w:val="000000"/>
        </w:rPr>
        <w:t xml:space="preserve">the </w:t>
      </w:r>
      <w:r w:rsidRPr="00554CFA">
        <w:rPr>
          <w:rFonts w:ascii="Arial" w:hAnsi="Arial" w:cs="Arial"/>
          <w:color w:val="000000"/>
        </w:rPr>
        <w:t xml:space="preserve">Brown </w:t>
      </w:r>
      <w:r>
        <w:rPr>
          <w:rFonts w:ascii="Arial" w:hAnsi="Arial" w:cs="Arial"/>
          <w:color w:val="000000"/>
        </w:rPr>
        <w:t>K</w:t>
      </w:r>
      <w:r w:rsidRPr="00BD035E">
        <w:rPr>
          <w:rFonts w:ascii="Arial" w:hAnsi="Arial" w:cs="Arial"/>
          <w:color w:val="000000"/>
        </w:rPr>
        <w:t>iwi</w:t>
      </w:r>
      <w:r>
        <w:rPr>
          <w:rFonts w:ascii="Arial" w:hAnsi="Arial" w:cs="Arial"/>
          <w:color w:val="000000"/>
        </w:rPr>
        <w:t xml:space="preserve"> </w:t>
      </w:r>
      <w:r w:rsidR="00174B09">
        <w:rPr>
          <w:rFonts w:ascii="Arial" w:hAnsi="Arial" w:cs="Arial"/>
          <w:color w:val="000000"/>
        </w:rPr>
        <w:t>microbiome</w:t>
      </w:r>
      <w:r w:rsidRPr="00554CFA">
        <w:rPr>
          <w:rFonts w:ascii="Arial" w:hAnsi="Arial" w:cs="Arial"/>
          <w:color w:val="000000"/>
        </w:rPr>
        <w:t xml:space="preserve"> </w:t>
      </w:r>
    </w:p>
    <w:p w14:paraId="31DC21DD" w14:textId="19D9578F" w:rsidR="00AE10A6" w:rsidRPr="00FA74E0" w:rsidRDefault="00AE10A6" w:rsidP="00377FA6">
      <w:pPr>
        <w:spacing w:line="480" w:lineRule="auto"/>
        <w:rPr>
          <w:rFonts w:ascii="Arial" w:hAnsi="Arial" w:cs="Arial"/>
          <w:color w:val="000000"/>
        </w:rPr>
      </w:pPr>
      <w:r w:rsidRPr="00554CFA">
        <w:rPr>
          <w:rFonts w:ascii="Arial" w:hAnsi="Arial" w:cs="Arial"/>
          <w:color w:val="000000"/>
        </w:rPr>
        <w:t xml:space="preserve">Priscilla </w:t>
      </w:r>
      <w:r>
        <w:rPr>
          <w:rFonts w:ascii="Arial" w:hAnsi="Arial" w:cs="Arial"/>
          <w:color w:val="000000"/>
        </w:rPr>
        <w:t xml:space="preserve">A. </w:t>
      </w:r>
      <w:r w:rsidRPr="00554CFA">
        <w:rPr>
          <w:rFonts w:ascii="Arial" w:hAnsi="Arial" w:cs="Arial"/>
          <w:color w:val="000000"/>
        </w:rPr>
        <w:t>San Juan</w:t>
      </w:r>
      <w:r w:rsidRPr="00554CFA">
        <w:rPr>
          <w:rFonts w:ascii="Arial" w:hAnsi="Arial" w:cs="Arial"/>
          <w:color w:val="000000"/>
          <w:vertAlign w:val="superscript"/>
        </w:rPr>
        <w:t>1,2</w:t>
      </w:r>
      <w:r>
        <w:rPr>
          <w:rFonts w:ascii="Arial" w:hAnsi="Arial" w:cs="Arial"/>
          <w:color w:val="000000"/>
          <w:vertAlign w:val="superscript"/>
        </w:rPr>
        <w:t>,3</w:t>
      </w:r>
      <w:r w:rsidRPr="00554CFA">
        <w:rPr>
          <w:rFonts w:ascii="Arial" w:hAnsi="Arial" w:cs="Arial"/>
          <w:color w:val="000000"/>
        </w:rPr>
        <w:t>, Isabel Castro</w:t>
      </w:r>
      <w:r>
        <w:rPr>
          <w:rFonts w:ascii="Arial" w:hAnsi="Arial" w:cs="Arial"/>
          <w:color w:val="000000"/>
          <w:vertAlign w:val="superscript"/>
        </w:rPr>
        <w:t>4</w:t>
      </w:r>
      <w:r w:rsidRPr="00554CFA">
        <w:rPr>
          <w:rFonts w:ascii="Arial" w:hAnsi="Arial" w:cs="Arial"/>
          <w:color w:val="000000"/>
        </w:rPr>
        <w:t>, and Manpreet Dhami</w:t>
      </w:r>
      <w:r>
        <w:rPr>
          <w:rFonts w:ascii="Arial" w:hAnsi="Arial" w:cs="Arial"/>
          <w:color w:val="000000"/>
          <w:vertAlign w:val="superscript"/>
        </w:rPr>
        <w:t>1,5</w:t>
      </w:r>
    </w:p>
    <w:p w14:paraId="650BE982" w14:textId="77777777" w:rsidR="00AE10A6" w:rsidRDefault="00AE10A6" w:rsidP="00377FA6">
      <w:pPr>
        <w:spacing w:line="480" w:lineRule="auto"/>
        <w:outlineLvl w:val="0"/>
        <w:rPr>
          <w:rFonts w:ascii="Arial" w:hAnsi="Arial" w:cs="Arial"/>
        </w:rPr>
      </w:pPr>
      <w:r w:rsidRPr="29CE0D37">
        <w:rPr>
          <w:rFonts w:ascii="Arial" w:hAnsi="Arial" w:cs="Arial"/>
          <w:vertAlign w:val="superscript"/>
        </w:rPr>
        <w:t>1</w:t>
      </w:r>
      <w:r w:rsidRPr="29CE0D37">
        <w:rPr>
          <w:rFonts w:ascii="Arial" w:hAnsi="Arial" w:cs="Arial"/>
        </w:rPr>
        <w:t>C</w:t>
      </w:r>
      <w:r>
        <w:rPr>
          <w:rFonts w:ascii="Arial" w:hAnsi="Arial" w:cs="Arial"/>
        </w:rPr>
        <w:t>o-c</w:t>
      </w:r>
      <w:r w:rsidRPr="29CE0D37">
        <w:rPr>
          <w:rFonts w:ascii="Arial" w:hAnsi="Arial" w:cs="Arial"/>
        </w:rPr>
        <w:t>orresponding author</w:t>
      </w:r>
      <w:r>
        <w:rPr>
          <w:rFonts w:ascii="Arial" w:hAnsi="Arial" w:cs="Arial"/>
        </w:rPr>
        <w:t>s</w:t>
      </w:r>
      <w:r w:rsidRPr="29CE0D37">
        <w:rPr>
          <w:rFonts w:ascii="Arial" w:hAnsi="Arial" w:cs="Arial"/>
        </w:rPr>
        <w:t xml:space="preserve">: 371 Serra Mall, Stanford, California 94305; </w:t>
      </w:r>
      <w:r>
        <w:rPr>
          <w:rFonts w:ascii="Arial" w:hAnsi="Arial" w:cs="Arial"/>
        </w:rPr>
        <w:t xml:space="preserve">+ 1 </w:t>
      </w:r>
      <w:r w:rsidRPr="29CE0D37">
        <w:rPr>
          <w:rFonts w:ascii="Arial" w:hAnsi="Arial" w:cs="Arial"/>
        </w:rPr>
        <w:t>562 712</w:t>
      </w:r>
      <w:r>
        <w:rPr>
          <w:rFonts w:ascii="Arial" w:hAnsi="Arial" w:cs="Arial"/>
        </w:rPr>
        <w:t xml:space="preserve"> </w:t>
      </w:r>
      <w:r w:rsidRPr="29CE0D37">
        <w:rPr>
          <w:rFonts w:ascii="Arial" w:hAnsi="Arial" w:cs="Arial"/>
        </w:rPr>
        <w:t xml:space="preserve">5779; </w:t>
      </w:r>
      <w:r>
        <w:rPr>
          <w:rFonts w:ascii="Arial" w:hAnsi="Arial" w:cs="Arial"/>
        </w:rPr>
        <w:t xml:space="preserve">54 Gerald Street, Lincoln, New Zealand 7608; +64 21 211 2174;  </w:t>
      </w:r>
      <w:hyperlink r:id="rId5" w:history="1">
        <w:r w:rsidRPr="00F05233">
          <w:rPr>
            <w:rStyle w:val="Hyperlink"/>
            <w:rFonts w:ascii="Arial" w:hAnsi="Arial" w:cs="Arial"/>
          </w:rPr>
          <w:t>psanjuan@stanford.edu</w:t>
        </w:r>
      </w:hyperlink>
      <w:r>
        <w:rPr>
          <w:rFonts w:ascii="Arial" w:hAnsi="Arial" w:cs="Arial"/>
        </w:rPr>
        <w:t xml:space="preserve"> and</w:t>
      </w:r>
      <w:r w:rsidRPr="005479EC">
        <w:rPr>
          <w:rStyle w:val="Hyperlink"/>
          <w:rFonts w:ascii="Arial" w:hAnsi="Arial" w:cs="Arial"/>
        </w:rPr>
        <w:t xml:space="preserve"> </w:t>
      </w:r>
      <w:r>
        <w:rPr>
          <w:rStyle w:val="Hyperlink"/>
          <w:rFonts w:ascii="Arial" w:hAnsi="Arial" w:cs="Arial"/>
        </w:rPr>
        <w:t>d</w:t>
      </w:r>
      <w:r w:rsidRPr="00F05233">
        <w:rPr>
          <w:rStyle w:val="Hyperlink"/>
          <w:rFonts w:ascii="Arial" w:hAnsi="Arial" w:cs="Arial"/>
        </w:rPr>
        <w:t>hami</w:t>
      </w:r>
      <w:r>
        <w:rPr>
          <w:rStyle w:val="Hyperlink"/>
          <w:rFonts w:ascii="Arial" w:hAnsi="Arial" w:cs="Arial"/>
        </w:rPr>
        <w:t>m</w:t>
      </w:r>
      <w:r w:rsidRPr="00F05233">
        <w:rPr>
          <w:rStyle w:val="Hyperlink"/>
          <w:rFonts w:ascii="Arial" w:hAnsi="Arial" w:cs="Arial"/>
        </w:rPr>
        <w:t>@landcareresearch.co.nz</w:t>
      </w:r>
      <w:r w:rsidRPr="29CE0D37">
        <w:rPr>
          <w:rFonts w:ascii="Arial" w:hAnsi="Arial" w:cs="Arial"/>
        </w:rPr>
        <w:t xml:space="preserve"> </w:t>
      </w:r>
    </w:p>
    <w:p w14:paraId="150A1258" w14:textId="77777777" w:rsidR="00AE10A6" w:rsidRPr="00554CFA" w:rsidRDefault="00AE10A6" w:rsidP="00377FA6">
      <w:pPr>
        <w:spacing w:line="480" w:lineRule="auto"/>
        <w:outlineLvl w:val="0"/>
        <w:rPr>
          <w:rFonts w:ascii="Arial" w:hAnsi="Arial" w:cs="Arial"/>
        </w:rPr>
      </w:pPr>
      <w:r w:rsidRPr="00554CFA">
        <w:rPr>
          <w:rFonts w:ascii="Arial" w:hAnsi="Arial" w:cs="Arial"/>
          <w:vertAlign w:val="superscript"/>
        </w:rPr>
        <w:t>2</w:t>
      </w:r>
      <w:r w:rsidRPr="00554CFA">
        <w:rPr>
          <w:rFonts w:ascii="Arial" w:hAnsi="Arial" w:cs="Arial"/>
        </w:rPr>
        <w:t>Department of Biology, Stanford University, Stanford, California, USA</w:t>
      </w:r>
    </w:p>
    <w:p w14:paraId="3E6E85F2" w14:textId="77777777" w:rsidR="00AE10A6" w:rsidRPr="00554CFA" w:rsidRDefault="00AE10A6" w:rsidP="00377FA6">
      <w:pPr>
        <w:spacing w:line="480" w:lineRule="auto"/>
        <w:outlineLvl w:val="0"/>
        <w:rPr>
          <w:rFonts w:ascii="Arial" w:hAnsi="Arial" w:cs="Arial"/>
        </w:rPr>
      </w:pPr>
      <w:r w:rsidRPr="00554CFA">
        <w:rPr>
          <w:rFonts w:ascii="Arial" w:hAnsi="Arial" w:cs="Arial"/>
          <w:vertAlign w:val="superscript"/>
        </w:rPr>
        <w:t>3</w:t>
      </w:r>
      <w:r w:rsidRPr="00554CFA">
        <w:rPr>
          <w:rFonts w:ascii="Arial" w:hAnsi="Arial" w:cs="Arial"/>
        </w:rPr>
        <w:t>Center for Conservation Biology, Stanford University, Stanford, California, USA</w:t>
      </w:r>
    </w:p>
    <w:p w14:paraId="311575CC" w14:textId="77777777" w:rsidR="00AE10A6" w:rsidRPr="00554CFA" w:rsidRDefault="00AE10A6" w:rsidP="00377FA6">
      <w:pPr>
        <w:spacing w:line="480" w:lineRule="auto"/>
        <w:rPr>
          <w:rFonts w:ascii="Arial" w:hAnsi="Arial" w:cs="Arial"/>
        </w:rPr>
      </w:pPr>
      <w:r w:rsidRPr="00554CFA">
        <w:rPr>
          <w:rFonts w:ascii="Arial" w:hAnsi="Arial" w:cs="Arial"/>
          <w:vertAlign w:val="superscript"/>
        </w:rPr>
        <w:t>4</w:t>
      </w:r>
      <w:r>
        <w:rPr>
          <w:rFonts w:ascii="Arial" w:hAnsi="Arial" w:cs="Arial"/>
        </w:rPr>
        <w:t>Wildlife and Ecology Group, School of Agriculture and Environment</w:t>
      </w:r>
      <w:r w:rsidRPr="00554CFA">
        <w:rPr>
          <w:rFonts w:ascii="Arial" w:hAnsi="Arial" w:cs="Arial"/>
        </w:rPr>
        <w:t xml:space="preserve">, </w:t>
      </w:r>
      <w:r>
        <w:rPr>
          <w:rFonts w:ascii="Arial" w:hAnsi="Arial" w:cs="Arial"/>
        </w:rPr>
        <w:t>Massey</w:t>
      </w:r>
      <w:r w:rsidRPr="00554CFA">
        <w:rPr>
          <w:rFonts w:ascii="Arial" w:hAnsi="Arial" w:cs="Arial"/>
        </w:rPr>
        <w:t xml:space="preserve"> University; </w:t>
      </w:r>
      <w:r>
        <w:rPr>
          <w:rFonts w:ascii="Arial" w:hAnsi="Arial" w:cs="Arial"/>
        </w:rPr>
        <w:t>Palmerston North</w:t>
      </w:r>
      <w:r w:rsidRPr="00554CFA">
        <w:rPr>
          <w:rFonts w:ascii="Arial" w:hAnsi="Arial" w:cs="Arial"/>
        </w:rPr>
        <w:t xml:space="preserve">, </w:t>
      </w:r>
      <w:r>
        <w:rPr>
          <w:rFonts w:ascii="Arial" w:hAnsi="Arial" w:cs="Arial"/>
        </w:rPr>
        <w:t>New Zealand</w:t>
      </w:r>
    </w:p>
    <w:p w14:paraId="1A0EECD7" w14:textId="05E9FE0D" w:rsidR="00AE10A6" w:rsidRDefault="00AE10A6" w:rsidP="00377FA6">
      <w:pPr>
        <w:spacing w:line="480" w:lineRule="auto"/>
        <w:outlineLvl w:val="0"/>
        <w:rPr>
          <w:rFonts w:ascii="Arial" w:hAnsi="Arial" w:cs="Arial"/>
        </w:rPr>
      </w:pPr>
      <w:r w:rsidRPr="00554CFA">
        <w:rPr>
          <w:rFonts w:ascii="Arial" w:hAnsi="Arial" w:cs="Arial"/>
          <w:vertAlign w:val="superscript"/>
        </w:rPr>
        <w:t>5</w:t>
      </w:r>
      <w:r>
        <w:rPr>
          <w:rFonts w:ascii="Arial" w:hAnsi="Arial" w:cs="Arial"/>
        </w:rPr>
        <w:t>Manaaki Whenua – Landcare Research</w:t>
      </w:r>
      <w:r w:rsidRPr="00554CFA">
        <w:rPr>
          <w:rFonts w:ascii="Arial" w:hAnsi="Arial" w:cs="Arial"/>
        </w:rPr>
        <w:t xml:space="preserve">; </w:t>
      </w:r>
      <w:r>
        <w:rPr>
          <w:rFonts w:ascii="Arial" w:hAnsi="Arial" w:cs="Arial"/>
        </w:rPr>
        <w:t>Lincoln</w:t>
      </w:r>
      <w:r w:rsidRPr="00554CFA">
        <w:rPr>
          <w:rFonts w:ascii="Arial" w:hAnsi="Arial" w:cs="Arial"/>
        </w:rPr>
        <w:t xml:space="preserve">, </w:t>
      </w:r>
      <w:r>
        <w:rPr>
          <w:rFonts w:ascii="Arial" w:hAnsi="Arial" w:cs="Arial"/>
        </w:rPr>
        <w:t>New Zealand</w:t>
      </w:r>
    </w:p>
    <w:p w14:paraId="7CC3D9FD" w14:textId="77777777" w:rsidR="00377FA6" w:rsidRPr="00377FA6" w:rsidRDefault="00377FA6" w:rsidP="00377FA6">
      <w:pPr>
        <w:spacing w:line="480" w:lineRule="auto"/>
        <w:outlineLvl w:val="0"/>
        <w:rPr>
          <w:rFonts w:ascii="Arial" w:hAnsi="Arial" w:cs="Arial"/>
          <w:b/>
        </w:rPr>
      </w:pPr>
    </w:p>
    <w:p w14:paraId="40A3A6B2" w14:textId="058F7614" w:rsidR="00F74F1F" w:rsidRPr="00F74F1F" w:rsidRDefault="00F74F1F" w:rsidP="00377FA6">
      <w:pPr>
        <w:spacing w:line="480" w:lineRule="auto"/>
        <w:rPr>
          <w:rFonts w:ascii="Arial" w:eastAsia="Times New Roman" w:hAnsi="Arial" w:cs="Arial"/>
          <w:b/>
          <w:bCs/>
          <w:color w:val="000000"/>
        </w:rPr>
      </w:pPr>
      <w:r w:rsidRPr="00F74F1F">
        <w:rPr>
          <w:rFonts w:ascii="Arial" w:eastAsia="Times New Roman" w:hAnsi="Arial" w:cs="Arial"/>
          <w:b/>
          <w:bCs/>
          <w:color w:val="000000"/>
        </w:rPr>
        <w:t>Supplemental Results</w:t>
      </w:r>
    </w:p>
    <w:p w14:paraId="7B1839E1" w14:textId="4D127AC5" w:rsidR="00F74F1F" w:rsidRPr="00BD035E" w:rsidRDefault="00F74F1F" w:rsidP="00377FA6">
      <w:pPr>
        <w:spacing w:line="480" w:lineRule="auto"/>
        <w:rPr>
          <w:rFonts w:ascii="Arial" w:eastAsia="Times New Roman" w:hAnsi="Arial" w:cs="Arial"/>
          <w:color w:val="000000"/>
        </w:rPr>
      </w:pPr>
      <w:r w:rsidRPr="00BD035E">
        <w:rPr>
          <w:rFonts w:ascii="Arial" w:eastAsia="Times New Roman" w:hAnsi="Arial" w:cs="Arial"/>
          <w:b/>
          <w:bCs/>
          <w:color w:val="000000"/>
        </w:rPr>
        <w:t>Results</w:t>
      </w:r>
      <w:r w:rsidR="00916074">
        <w:rPr>
          <w:rFonts w:ascii="Arial" w:eastAsia="Times New Roman" w:hAnsi="Arial" w:cs="Arial"/>
          <w:b/>
          <w:bCs/>
          <w:color w:val="000000"/>
        </w:rPr>
        <w:t xml:space="preserve"> and Discussion</w:t>
      </w:r>
    </w:p>
    <w:p w14:paraId="7EC7B5B7" w14:textId="47299BD7" w:rsidR="000E4054" w:rsidRDefault="000E4054" w:rsidP="00377FA6">
      <w:pPr>
        <w:spacing w:line="480" w:lineRule="auto"/>
        <w:rPr>
          <w:rFonts w:ascii="Arial" w:hAnsi="Arial" w:cs="Arial"/>
          <w:i/>
          <w:iCs/>
        </w:rPr>
      </w:pPr>
      <w:r>
        <w:rPr>
          <w:rFonts w:ascii="Arial" w:hAnsi="Arial" w:cs="Arial"/>
          <w:i/>
          <w:iCs/>
        </w:rPr>
        <w:t>Microbial diversity</w:t>
      </w:r>
    </w:p>
    <w:p w14:paraId="2CC9B460" w14:textId="0A0B63B3" w:rsidR="004E2849" w:rsidRDefault="0050196F" w:rsidP="00377FA6">
      <w:pPr>
        <w:spacing w:line="480" w:lineRule="auto"/>
        <w:rPr>
          <w:rFonts w:ascii="Arial" w:hAnsi="Arial" w:cs="Arial"/>
        </w:rPr>
      </w:pPr>
      <w:r>
        <w:rPr>
          <w:rFonts w:ascii="Arial" w:hAnsi="Arial" w:cs="Arial"/>
        </w:rPr>
        <w:t xml:space="preserve">Shannon diversity metric was calculated to determine if captivity status impacted microbial species diversity. The mean values, for both bacteria and fungi, were significantly lower for captive kiwi </w:t>
      </w:r>
      <w:r>
        <w:rPr>
          <w:rFonts w:ascii="Arial" w:hAnsi="Arial" w:cs="Arial"/>
          <w:color w:val="000000"/>
        </w:rPr>
        <w:t xml:space="preserve">(bacteria: ANOVA, </w:t>
      </w:r>
      <w:r w:rsidRPr="008517F7">
        <w:rPr>
          <w:rFonts w:ascii="Arial" w:hAnsi="Arial" w:cs="Arial"/>
          <w:i/>
          <w:iCs/>
          <w:color w:val="000000"/>
        </w:rPr>
        <w:t xml:space="preserve">p </w:t>
      </w:r>
      <w:r>
        <w:rPr>
          <w:rFonts w:ascii="Arial" w:hAnsi="Arial" w:cs="Arial"/>
          <w:color w:val="000000"/>
        </w:rPr>
        <w:t>&lt; 0.005; fungi: ANOVA, p = 0.012).</w:t>
      </w:r>
      <w:r w:rsidR="008F5DFC">
        <w:rPr>
          <w:rFonts w:ascii="Arial" w:hAnsi="Arial" w:cs="Arial"/>
          <w:color w:val="000000"/>
        </w:rPr>
        <w:t xml:space="preserve"> </w:t>
      </w:r>
      <w:r w:rsidR="004E2849">
        <w:rPr>
          <w:rFonts w:ascii="Arial" w:hAnsi="Arial" w:cs="Arial"/>
          <w:color w:val="000000"/>
        </w:rPr>
        <w:t>Betadiversity</w:t>
      </w:r>
      <w:r w:rsidR="008F6BC2">
        <w:rPr>
          <w:rFonts w:ascii="Arial" w:hAnsi="Arial" w:cs="Arial"/>
          <w:color w:val="000000"/>
        </w:rPr>
        <w:t>,</w:t>
      </w:r>
      <w:r w:rsidR="004E2849">
        <w:rPr>
          <w:rFonts w:ascii="Arial" w:hAnsi="Arial" w:cs="Arial"/>
          <w:color w:val="000000"/>
        </w:rPr>
        <w:t xml:space="preserve"> </w:t>
      </w:r>
      <w:r w:rsidR="008F6BC2">
        <w:rPr>
          <w:rFonts w:ascii="Arial" w:hAnsi="Arial" w:cs="Arial"/>
          <w:color w:val="000000"/>
        </w:rPr>
        <w:t>r</w:t>
      </w:r>
      <w:r w:rsidR="004E2849">
        <w:rPr>
          <w:rFonts w:ascii="Arial" w:hAnsi="Arial" w:cs="Arial"/>
          <w:color w:val="000000"/>
        </w:rPr>
        <w:t>eport</w:t>
      </w:r>
      <w:r w:rsidR="008F6BC2">
        <w:rPr>
          <w:rFonts w:ascii="Arial" w:hAnsi="Arial" w:cs="Arial"/>
          <w:color w:val="000000"/>
        </w:rPr>
        <w:t>ed</w:t>
      </w:r>
      <w:r w:rsidR="004E2849">
        <w:rPr>
          <w:rFonts w:ascii="Arial" w:hAnsi="Arial" w:cs="Arial"/>
          <w:color w:val="000000"/>
        </w:rPr>
        <w:t xml:space="preserve"> </w:t>
      </w:r>
      <w:r w:rsidR="008F6BC2">
        <w:rPr>
          <w:rFonts w:ascii="Arial" w:hAnsi="Arial" w:cs="Arial"/>
          <w:color w:val="000000"/>
        </w:rPr>
        <w:t xml:space="preserve">as </w:t>
      </w:r>
      <w:r w:rsidR="004E2849">
        <w:rPr>
          <w:rFonts w:ascii="Arial" w:hAnsi="Arial" w:cs="Arial"/>
          <w:color w:val="000000"/>
        </w:rPr>
        <w:t>distance to centroid</w:t>
      </w:r>
      <w:r w:rsidR="008F6BC2">
        <w:rPr>
          <w:rFonts w:ascii="Arial" w:hAnsi="Arial" w:cs="Arial"/>
          <w:color w:val="000000"/>
        </w:rPr>
        <w:t>,</w:t>
      </w:r>
      <w:r w:rsidR="004E2849">
        <w:rPr>
          <w:rFonts w:ascii="Arial" w:hAnsi="Arial" w:cs="Arial"/>
          <w:color w:val="000000"/>
        </w:rPr>
        <w:t xml:space="preserve"> did not change with captivity</w:t>
      </w:r>
      <w:r w:rsidR="008F6BC2" w:rsidRPr="008F6BC2">
        <w:rPr>
          <w:rFonts w:ascii="Arial" w:hAnsi="Arial" w:cs="Arial"/>
          <w:color w:val="000000"/>
        </w:rPr>
        <w:t xml:space="preserve"> </w:t>
      </w:r>
      <w:r w:rsidR="008F6BC2">
        <w:rPr>
          <w:rFonts w:ascii="Arial" w:hAnsi="Arial" w:cs="Arial"/>
          <w:color w:val="000000"/>
        </w:rPr>
        <w:t>for bacteria but increased for</w:t>
      </w:r>
      <w:r w:rsidR="004E2849">
        <w:rPr>
          <w:rFonts w:ascii="Arial" w:hAnsi="Arial" w:cs="Arial"/>
          <w:color w:val="000000"/>
        </w:rPr>
        <w:t xml:space="preserve"> fungi values (Supplementary Fig. 2). A bimodal distribution has been observed in the captive treatment for both bacteria and fungi</w:t>
      </w:r>
      <w:r w:rsidR="00024DD1">
        <w:rPr>
          <w:rFonts w:ascii="Arial" w:hAnsi="Arial" w:cs="Arial"/>
          <w:color w:val="000000"/>
        </w:rPr>
        <w:t>, however the factor that explains it is undetermined</w:t>
      </w:r>
      <w:r w:rsidR="004E2849">
        <w:rPr>
          <w:rFonts w:ascii="Arial" w:hAnsi="Arial" w:cs="Arial"/>
          <w:color w:val="000000"/>
        </w:rPr>
        <w:t>.</w:t>
      </w:r>
      <w:r w:rsidR="00E106B1">
        <w:rPr>
          <w:rFonts w:ascii="Arial" w:hAnsi="Arial" w:cs="Arial"/>
          <w:color w:val="000000"/>
        </w:rPr>
        <w:t xml:space="preserve"> </w:t>
      </w:r>
      <w:r w:rsidR="004E2849">
        <w:rPr>
          <w:rFonts w:ascii="Arial" w:hAnsi="Arial" w:cs="Arial"/>
          <w:color w:val="000000"/>
        </w:rPr>
        <w:t xml:space="preserve"> </w:t>
      </w:r>
    </w:p>
    <w:p w14:paraId="3CF9C6DA" w14:textId="77777777" w:rsidR="00E106B1" w:rsidRPr="004E2849" w:rsidRDefault="00E106B1" w:rsidP="00377FA6">
      <w:pPr>
        <w:spacing w:line="480" w:lineRule="auto"/>
        <w:rPr>
          <w:rFonts w:ascii="Arial" w:hAnsi="Arial" w:cs="Arial"/>
        </w:rPr>
      </w:pPr>
    </w:p>
    <w:p w14:paraId="67FC98DB" w14:textId="41F6B052" w:rsidR="00B71E98" w:rsidRPr="000E4054" w:rsidRDefault="00B71E98" w:rsidP="00377FA6">
      <w:pPr>
        <w:spacing w:line="480" w:lineRule="auto"/>
        <w:rPr>
          <w:rFonts w:ascii="Arial" w:hAnsi="Arial" w:cs="Arial"/>
          <w:i/>
          <w:iCs/>
        </w:rPr>
      </w:pPr>
      <w:r>
        <w:rPr>
          <w:rFonts w:ascii="Arial" w:hAnsi="Arial" w:cs="Arial"/>
          <w:i/>
          <w:iCs/>
        </w:rPr>
        <w:lastRenderedPageBreak/>
        <w:t>Factors that influence the kiwi microbiome</w:t>
      </w:r>
    </w:p>
    <w:p w14:paraId="7C457372" w14:textId="1648BBB8" w:rsidR="00E106B1" w:rsidRDefault="00E106B1" w:rsidP="00377FA6">
      <w:pPr>
        <w:spacing w:line="480" w:lineRule="auto"/>
        <w:rPr>
          <w:rFonts w:ascii="Arial" w:hAnsi="Arial" w:cs="Arial"/>
        </w:rPr>
      </w:pPr>
      <w:r>
        <w:rPr>
          <w:rFonts w:ascii="Arial" w:hAnsi="Arial" w:cs="Arial"/>
        </w:rPr>
        <w:t>PERMANOVA results reveal that captivity, site, microsite, weight, and collection date are significant predictors of bacterial variance (Supplementary Table 2). Both microsite and site are nested factors within captivity status. History of coccidiosis showed a marginally significant trend, which can be due to treatment of the parasite and microbiome recovery. For fungi, captivity, site, microbiome, and collection date are significant predictors of community variance (Supplementary Table 2). History of coccidiosis also showed a marginally significant trend. Small sample size could be another factor that influences these observed patterns.</w:t>
      </w:r>
    </w:p>
    <w:p w14:paraId="4A1E612B" w14:textId="77777777" w:rsidR="006A18B9" w:rsidRDefault="006A18B9" w:rsidP="00377FA6">
      <w:pPr>
        <w:spacing w:line="480" w:lineRule="auto"/>
        <w:rPr>
          <w:rFonts w:ascii="Arial" w:hAnsi="Arial" w:cs="Arial"/>
        </w:rPr>
      </w:pPr>
    </w:p>
    <w:p w14:paraId="5A1ED5F5" w14:textId="68596FAE" w:rsidR="00B71E98" w:rsidRPr="00B71E98" w:rsidRDefault="00B71E98" w:rsidP="00377FA6">
      <w:pPr>
        <w:spacing w:line="480" w:lineRule="auto"/>
        <w:rPr>
          <w:rFonts w:ascii="Arial" w:hAnsi="Arial" w:cs="Arial"/>
          <w:i/>
          <w:iCs/>
        </w:rPr>
      </w:pPr>
      <w:r>
        <w:rPr>
          <w:rFonts w:ascii="Arial" w:hAnsi="Arial" w:cs="Arial"/>
          <w:i/>
          <w:iCs/>
        </w:rPr>
        <w:t xml:space="preserve">Coccidiosis history and microbial species classification </w:t>
      </w:r>
    </w:p>
    <w:p w14:paraId="2E1B2BB0" w14:textId="78A265DE" w:rsidR="00F74F1F" w:rsidRPr="00E07D75" w:rsidRDefault="00E07D75" w:rsidP="00377FA6">
      <w:pPr>
        <w:spacing w:line="480" w:lineRule="auto"/>
        <w:rPr>
          <w:rFonts w:ascii="Arial" w:eastAsia="Times New Roman" w:hAnsi="Arial" w:cs="Arial"/>
          <w:color w:val="000000"/>
        </w:rPr>
      </w:pPr>
      <w:r>
        <w:rPr>
          <w:rFonts w:ascii="Arial" w:eastAsia="Times New Roman" w:hAnsi="Arial" w:cs="Arial"/>
          <w:color w:val="000000"/>
        </w:rPr>
        <w:t>A multinomial species classification test (</w:t>
      </w:r>
      <w:proofErr w:type="spellStart"/>
      <w:r>
        <w:rPr>
          <w:rFonts w:ascii="Arial" w:eastAsia="Times New Roman" w:hAnsi="Arial" w:cs="Arial"/>
          <w:color w:val="000000"/>
        </w:rPr>
        <w:t>clamtest</w:t>
      </w:r>
      <w:proofErr w:type="spellEnd"/>
      <w:r>
        <w:rPr>
          <w:rFonts w:ascii="Arial" w:eastAsia="Times New Roman" w:hAnsi="Arial" w:cs="Arial"/>
          <w:color w:val="000000"/>
        </w:rPr>
        <w:t>) was conducted for both captivity status (Supplementary Fig. 3, Supplementary Table 5) and coccidiosis history (Supplementary Table 6).</w:t>
      </w:r>
      <w:r w:rsidR="00EC7E0E">
        <w:rPr>
          <w:rFonts w:ascii="Arial" w:eastAsia="Times New Roman" w:hAnsi="Arial" w:cs="Arial"/>
          <w:color w:val="000000"/>
        </w:rPr>
        <w:t xml:space="preserve"> Findings for the captivity </w:t>
      </w:r>
      <w:proofErr w:type="spellStart"/>
      <w:r w:rsidR="00EC7E0E">
        <w:rPr>
          <w:rFonts w:ascii="Arial" w:eastAsia="Times New Roman" w:hAnsi="Arial" w:cs="Arial"/>
          <w:color w:val="000000"/>
        </w:rPr>
        <w:t>clamtest</w:t>
      </w:r>
      <w:proofErr w:type="spellEnd"/>
      <w:r w:rsidR="00EC7E0E">
        <w:rPr>
          <w:rFonts w:ascii="Arial" w:eastAsia="Times New Roman" w:hAnsi="Arial" w:cs="Arial"/>
          <w:color w:val="000000"/>
        </w:rPr>
        <w:t xml:space="preserve"> are reported in the main text. For coccidiosis treatment, bacterial and fungal OTUs were grouped into four categories: generalist, too rare, positive-specialist, and negative- specialist.</w:t>
      </w:r>
      <w:r w:rsidR="00485F0D">
        <w:rPr>
          <w:rFonts w:ascii="Arial" w:eastAsia="Times New Roman" w:hAnsi="Arial" w:cs="Arial"/>
          <w:color w:val="000000"/>
        </w:rPr>
        <w:t xml:space="preserve"> </w:t>
      </w:r>
      <w:r w:rsidR="00856A71">
        <w:rPr>
          <w:rFonts w:ascii="Arial" w:eastAsia="Times New Roman" w:hAnsi="Arial" w:cs="Arial"/>
          <w:color w:val="000000"/>
        </w:rPr>
        <w:t>B</w:t>
      </w:r>
      <w:r w:rsidR="00941CC5">
        <w:rPr>
          <w:rFonts w:ascii="Arial" w:eastAsia="Times New Roman" w:hAnsi="Arial" w:cs="Arial"/>
          <w:color w:val="000000"/>
        </w:rPr>
        <w:t xml:space="preserve">acterial </w:t>
      </w:r>
      <w:r w:rsidR="00485F0D">
        <w:rPr>
          <w:rFonts w:ascii="Arial" w:eastAsia="Times New Roman" w:hAnsi="Arial" w:cs="Arial"/>
          <w:color w:val="000000"/>
        </w:rPr>
        <w:t>taxa</w:t>
      </w:r>
      <w:r w:rsidR="00856A71">
        <w:rPr>
          <w:rFonts w:ascii="Arial" w:eastAsia="Times New Roman" w:hAnsi="Arial" w:cs="Arial"/>
          <w:color w:val="000000"/>
        </w:rPr>
        <w:t xml:space="preserve"> that were categorized as </w:t>
      </w:r>
      <w:proofErr w:type="gramStart"/>
      <w:r w:rsidR="00856A71">
        <w:rPr>
          <w:rFonts w:ascii="Arial" w:eastAsia="Times New Roman" w:hAnsi="Arial" w:cs="Arial"/>
          <w:color w:val="000000"/>
        </w:rPr>
        <w:t>positive-specialist</w:t>
      </w:r>
      <w:proofErr w:type="gramEnd"/>
      <w:r w:rsidR="00485F0D">
        <w:rPr>
          <w:rFonts w:ascii="Arial" w:eastAsia="Times New Roman" w:hAnsi="Arial" w:cs="Arial"/>
          <w:color w:val="000000"/>
        </w:rPr>
        <w:t xml:space="preserve"> include</w:t>
      </w:r>
      <w:r w:rsidR="00941CC5">
        <w:rPr>
          <w:rFonts w:ascii="Arial" w:eastAsia="Times New Roman" w:hAnsi="Arial" w:cs="Arial"/>
          <w:color w:val="000000"/>
        </w:rPr>
        <w:t xml:space="preserve">, </w:t>
      </w:r>
      <w:proofErr w:type="spellStart"/>
      <w:r w:rsidR="00856A71" w:rsidRPr="00856A71">
        <w:rPr>
          <w:rFonts w:ascii="Arial" w:eastAsia="Times New Roman" w:hAnsi="Arial" w:cs="Arial"/>
          <w:i/>
          <w:iCs/>
          <w:color w:val="000000"/>
        </w:rPr>
        <w:t>Methyl</w:t>
      </w:r>
      <w:r w:rsidR="00856A71">
        <w:rPr>
          <w:rFonts w:ascii="Arial" w:eastAsia="Times New Roman" w:hAnsi="Arial" w:cs="Arial"/>
          <w:i/>
          <w:iCs/>
          <w:color w:val="000000"/>
        </w:rPr>
        <w:t>o</w:t>
      </w:r>
      <w:r w:rsidR="00856A71" w:rsidRPr="00856A71">
        <w:rPr>
          <w:rFonts w:ascii="Arial" w:eastAsia="Times New Roman" w:hAnsi="Arial" w:cs="Arial"/>
          <w:i/>
          <w:iCs/>
          <w:color w:val="000000"/>
        </w:rPr>
        <w:t>bacterium</w:t>
      </w:r>
      <w:proofErr w:type="spellEnd"/>
      <w:r w:rsidR="00856A71">
        <w:rPr>
          <w:rFonts w:ascii="Arial" w:eastAsia="Times New Roman" w:hAnsi="Arial" w:cs="Arial"/>
          <w:color w:val="000000"/>
        </w:rPr>
        <w:t xml:space="preserve"> (OTU 77), </w:t>
      </w:r>
      <w:proofErr w:type="spellStart"/>
      <w:r w:rsidR="00856A71">
        <w:rPr>
          <w:rFonts w:ascii="Arial" w:eastAsia="Times New Roman" w:hAnsi="Arial" w:cs="Arial"/>
          <w:i/>
          <w:iCs/>
          <w:color w:val="000000"/>
        </w:rPr>
        <w:t>Parasutterella</w:t>
      </w:r>
      <w:proofErr w:type="spellEnd"/>
      <w:r w:rsidR="00856A71">
        <w:rPr>
          <w:rFonts w:ascii="Arial" w:eastAsia="Times New Roman" w:hAnsi="Arial" w:cs="Arial"/>
          <w:i/>
          <w:iCs/>
          <w:color w:val="000000"/>
        </w:rPr>
        <w:t xml:space="preserve"> </w:t>
      </w:r>
      <w:r w:rsidR="00856A71">
        <w:rPr>
          <w:rFonts w:ascii="Arial" w:eastAsia="Times New Roman" w:hAnsi="Arial" w:cs="Arial"/>
          <w:color w:val="000000"/>
        </w:rPr>
        <w:t xml:space="preserve">(OTU 139), </w:t>
      </w:r>
      <w:proofErr w:type="spellStart"/>
      <w:r w:rsidR="00856A71">
        <w:rPr>
          <w:rFonts w:ascii="Arial" w:eastAsia="Times New Roman" w:hAnsi="Arial" w:cs="Arial"/>
          <w:i/>
          <w:iCs/>
          <w:color w:val="000000"/>
        </w:rPr>
        <w:t>Bilophila</w:t>
      </w:r>
      <w:proofErr w:type="spellEnd"/>
      <w:r w:rsidR="00856A71">
        <w:rPr>
          <w:rFonts w:ascii="Arial" w:eastAsia="Times New Roman" w:hAnsi="Arial" w:cs="Arial"/>
          <w:i/>
          <w:iCs/>
          <w:color w:val="000000"/>
        </w:rPr>
        <w:t xml:space="preserve"> </w:t>
      </w:r>
      <w:r w:rsidR="00856A71">
        <w:rPr>
          <w:rFonts w:ascii="Arial" w:eastAsia="Times New Roman" w:hAnsi="Arial" w:cs="Arial"/>
          <w:color w:val="000000"/>
        </w:rPr>
        <w:t xml:space="preserve">(OTU 172), and </w:t>
      </w:r>
      <w:r w:rsidR="00856A71">
        <w:rPr>
          <w:rFonts w:ascii="Arial" w:eastAsia="Times New Roman" w:hAnsi="Arial" w:cs="Arial"/>
          <w:i/>
          <w:iCs/>
          <w:color w:val="000000"/>
        </w:rPr>
        <w:t xml:space="preserve">Clostridium </w:t>
      </w:r>
      <w:r w:rsidR="00856A71">
        <w:rPr>
          <w:rFonts w:ascii="Arial" w:eastAsia="Times New Roman" w:hAnsi="Arial" w:cs="Arial"/>
          <w:color w:val="000000"/>
        </w:rPr>
        <w:t>(OTU 688)</w:t>
      </w:r>
      <w:r w:rsidR="00442FE9">
        <w:rPr>
          <w:rFonts w:ascii="Arial" w:eastAsia="Times New Roman" w:hAnsi="Arial" w:cs="Arial"/>
          <w:color w:val="000000"/>
        </w:rPr>
        <w:t xml:space="preserve">. </w:t>
      </w:r>
      <w:proofErr w:type="spellStart"/>
      <w:r w:rsidR="00436F09">
        <w:rPr>
          <w:rFonts w:ascii="Arial" w:eastAsia="Times New Roman" w:hAnsi="Arial" w:cs="Arial"/>
          <w:i/>
          <w:iCs/>
          <w:color w:val="000000"/>
        </w:rPr>
        <w:t>Methylobacterium</w:t>
      </w:r>
      <w:proofErr w:type="spellEnd"/>
      <w:r w:rsidR="00436F09">
        <w:rPr>
          <w:rFonts w:ascii="Arial" w:eastAsia="Times New Roman" w:hAnsi="Arial" w:cs="Arial"/>
          <w:color w:val="000000"/>
        </w:rPr>
        <w:t>, a slow growing and biofilm producing microbe,</w:t>
      </w:r>
      <w:r w:rsidR="00436F09">
        <w:rPr>
          <w:rFonts w:ascii="Arial" w:eastAsia="Times New Roman" w:hAnsi="Arial" w:cs="Arial"/>
          <w:i/>
          <w:iCs/>
          <w:color w:val="000000"/>
        </w:rPr>
        <w:t xml:space="preserve"> </w:t>
      </w:r>
      <w:r w:rsidR="00436F09">
        <w:rPr>
          <w:rFonts w:ascii="Arial" w:eastAsia="Times New Roman" w:hAnsi="Arial" w:cs="Arial"/>
          <w:color w:val="000000"/>
        </w:rPr>
        <w:t xml:space="preserve">has been recognized as a </w:t>
      </w:r>
      <w:r w:rsidR="00DC1673">
        <w:rPr>
          <w:rFonts w:ascii="Arial" w:eastAsia="Times New Roman" w:hAnsi="Arial" w:cs="Arial"/>
          <w:color w:val="000000"/>
        </w:rPr>
        <w:t xml:space="preserve">human </w:t>
      </w:r>
      <w:r w:rsidR="00436F09">
        <w:rPr>
          <w:rFonts w:ascii="Arial" w:eastAsia="Times New Roman" w:hAnsi="Arial" w:cs="Arial"/>
          <w:color w:val="000000"/>
        </w:rPr>
        <w:t xml:space="preserve">pathogen in immunocompromised patients </w:t>
      </w:r>
      <w:r w:rsidR="00436F09">
        <w:rPr>
          <w:rFonts w:ascii="Arial" w:eastAsia="Times New Roman" w:hAnsi="Arial" w:cs="Arial"/>
          <w:color w:val="000000"/>
        </w:rPr>
        <w:fldChar w:fldCharType="begin" w:fldLock="1"/>
      </w:r>
      <w:r w:rsidR="00B84AD7">
        <w:rPr>
          <w:rFonts w:ascii="Arial" w:eastAsia="Times New Roman" w:hAnsi="Arial" w:cs="Arial"/>
          <w:color w:val="000000"/>
        </w:rPr>
        <w:instrText>ADDIN CSL_CITATION {"citationItems":[{"id":"ITEM-1","itemData":{"DOI":"10.1128/JCM.03561-13","ISSN":"1098660X","PMID":"24430456","abstract":"Methylobacterium species are a cause of health care-associated infection, including infections in immunocompromised hosts. The ability of Methylobacterium species to form biofilms and to develop resistance to high temperatures, drying, and disinfecting agents may explain the colonization of Methylobacterium in the hospital environment in, e.g., endoscopes. Due to its slow growth, it can be easily missed during microbiological surveillance of endoscope reprocessing. The purpose of this minireview is to present an overview of documented infections and cross-contaminations with Methylobacterium related to endoscopic procedures and to illustrate the health care-associated relevance of this slow-growing bacterium. Copyright © 2014, American Society for Microbiology. All Rights Reserved.","author":[{"dropping-particle":"","family":"Kovaleva","given":"Julia","non-dropping-particle":"","parse-names":false,"suffix":""},{"dropping-particle":"","family":"Degener","given":"John E.","non-dropping-particle":"","parse-names":false,"suffix":""},{"dropping-particle":"","family":"Mei","given":"Henny C.","non-dropping-particle":"Van Der","parse-names":false,"suffix":""}],"container-title":"Journal of Clinical Microbiology","id":"ITEM-1","issue":"5","issued":{"date-parts":[["2014"]]},"page":"1317-1321","title":"Methylobacterium and its role in health care-associated infection","type":"article-journal","volume":"52"},"uris":["http://www.mendeley.com/documents/?uuid=4deeb6ec-7304-4bb4-a438-b7605f9fe96c"]}],"mendeley":{"formattedCitation":"[1]","plainTextFormattedCitation":"[1]","previouslyFormattedCitation":"[1]"},"properties":{"noteIndex":0},"schema":"https://github.com/citation-style-language/schema/raw/master/csl-citation.json"}</w:instrText>
      </w:r>
      <w:r w:rsidR="00436F09">
        <w:rPr>
          <w:rFonts w:ascii="Arial" w:eastAsia="Times New Roman" w:hAnsi="Arial" w:cs="Arial"/>
          <w:color w:val="000000"/>
        </w:rPr>
        <w:fldChar w:fldCharType="separate"/>
      </w:r>
      <w:r w:rsidR="00B84AD7" w:rsidRPr="00B84AD7">
        <w:rPr>
          <w:rFonts w:ascii="Arial" w:eastAsia="Times New Roman" w:hAnsi="Arial" w:cs="Arial"/>
          <w:noProof/>
          <w:color w:val="000000"/>
        </w:rPr>
        <w:t>[1]</w:t>
      </w:r>
      <w:r w:rsidR="00436F09">
        <w:rPr>
          <w:rFonts w:ascii="Arial" w:eastAsia="Times New Roman" w:hAnsi="Arial" w:cs="Arial"/>
          <w:color w:val="000000"/>
        </w:rPr>
        <w:fldChar w:fldCharType="end"/>
      </w:r>
      <w:r w:rsidR="00436F09">
        <w:rPr>
          <w:rFonts w:ascii="Arial" w:eastAsia="Times New Roman" w:hAnsi="Arial" w:cs="Arial"/>
          <w:color w:val="000000"/>
        </w:rPr>
        <w:t xml:space="preserve">. </w:t>
      </w:r>
      <w:proofErr w:type="spellStart"/>
      <w:r w:rsidR="00436F09">
        <w:rPr>
          <w:rFonts w:ascii="Arial" w:eastAsia="Times New Roman" w:hAnsi="Arial" w:cs="Arial"/>
          <w:i/>
          <w:iCs/>
          <w:color w:val="000000"/>
        </w:rPr>
        <w:t>Parasutterella</w:t>
      </w:r>
      <w:proofErr w:type="spellEnd"/>
      <w:r w:rsidR="00436F09">
        <w:rPr>
          <w:rFonts w:ascii="Arial" w:eastAsia="Times New Roman" w:hAnsi="Arial" w:cs="Arial"/>
          <w:i/>
          <w:iCs/>
          <w:color w:val="000000"/>
        </w:rPr>
        <w:t xml:space="preserve">, </w:t>
      </w:r>
      <w:r w:rsidR="00436F09">
        <w:rPr>
          <w:rFonts w:ascii="Arial" w:eastAsia="Times New Roman" w:hAnsi="Arial" w:cs="Arial"/>
          <w:color w:val="000000"/>
        </w:rPr>
        <w:t xml:space="preserve">a taxa responsible for bile acid maintenance and cholesterol metabolism </w:t>
      </w:r>
      <w:r w:rsidR="00916074">
        <w:rPr>
          <w:rFonts w:ascii="Arial" w:eastAsia="Times New Roman" w:hAnsi="Arial" w:cs="Arial"/>
          <w:color w:val="000000"/>
        </w:rPr>
        <w:fldChar w:fldCharType="begin" w:fldLock="1"/>
      </w:r>
      <w:r w:rsidR="00B84AD7">
        <w:rPr>
          <w:rFonts w:ascii="Arial" w:eastAsia="Times New Roman" w:hAnsi="Arial" w:cs="Arial"/>
          <w:color w:val="000000"/>
        </w:rPr>
        <w:instrText>ADDIN CSL_CITATION {"citationItems":[{"id":"ITEM-1","itemData":{"DOI":"10.1038/s41396-019-0364-5","ISSN":"17517370","PMID":"30742017","abstract":"The genus of Parasutterella has been defined as a core component of the human and mouse gut microbiota, and has been correlated with various health outcomes. However, like most core microbes in the gastrointestinal tract (GIT), very little is known about the biology of Parasutterella and its role in intestinal ecology. In this study, Parasutterella was isolated from the mouse GIT and characterized in vitro and in vivo. Mouse, rat, and human Parasutterella isolates were all asaccharolytic and producers of succinate. The murine isolate stably colonized the mouse GIT without shifting bacterial composition. Notable changes in microbial-derived metabolites were aromatic amino acid, bilirubin, purine, and bile acid derivatives. The impacted bile acid profile was consistent with altered expression of ileal bile acid transporter genes and hepatic bile acid synthesis genes, supporting the potential role of Parasutterella in bile acid maintenance and cholesterol metabolism. The successful colonization of Parasutterella with a single environmental exposure to conventional adult mice demonstrates that it fills the ecological niche in the GIT and contributes to metabolic functionalities. This experiment provides the first indication of the role of Parasutterella in the GIT, beyond correlation, and provides insight into how it may contribute to host health.","author":[{"dropping-particle":"","family":"Ju","given":"Tingting","non-dropping-particle":"","parse-names":false,"suffix":""},{"dropping-particle":"","family":"Kong","given":"Ji Yoon","non-dropping-particle":"","parse-names":false,"suffix":""},{"dropping-particle":"","family":"Stothard","given":"Paul","non-dropping-particle":"","parse-names":false,"suffix":""},{"dropping-particle":"","family":"Willing","given":"Benjamin P.","non-dropping-particle":"","parse-names":false,"suffix":""}],"container-title":"ISME Journal","id":"ITEM-1","issue":"6","issued":{"date-parts":[["2019"]]},"page":"1520-1534","publisher":"Springer US","title":"Defining the role of Parasutterella, a previously uncharacterized member of the core gut microbiota","type":"article-journal","volume":"13"},"uris":["http://www.mendeley.com/documents/?uuid=a7229d03-3bc0-4263-8c36-2c2299d56314"]}],"mendeley":{"formattedCitation":"[2]","plainTextFormattedCitation":"[2]","previouslyFormattedCitation":"[2]"},"properties":{"noteIndex":0},"schema":"https://github.com/citation-style-language/schema/raw/master/csl-citation.json"}</w:instrText>
      </w:r>
      <w:r w:rsidR="00916074">
        <w:rPr>
          <w:rFonts w:ascii="Arial" w:eastAsia="Times New Roman" w:hAnsi="Arial" w:cs="Arial"/>
          <w:color w:val="000000"/>
        </w:rPr>
        <w:fldChar w:fldCharType="separate"/>
      </w:r>
      <w:r w:rsidR="00B84AD7" w:rsidRPr="00B84AD7">
        <w:rPr>
          <w:rFonts w:ascii="Arial" w:eastAsia="Times New Roman" w:hAnsi="Arial" w:cs="Arial"/>
          <w:noProof/>
          <w:color w:val="000000"/>
        </w:rPr>
        <w:t>[2]</w:t>
      </w:r>
      <w:r w:rsidR="00916074">
        <w:rPr>
          <w:rFonts w:ascii="Arial" w:eastAsia="Times New Roman" w:hAnsi="Arial" w:cs="Arial"/>
          <w:color w:val="000000"/>
        </w:rPr>
        <w:fldChar w:fldCharType="end"/>
      </w:r>
      <w:r w:rsidR="00436F09">
        <w:rPr>
          <w:rFonts w:ascii="Arial" w:eastAsia="Times New Roman" w:hAnsi="Arial" w:cs="Arial"/>
          <w:color w:val="000000"/>
        </w:rPr>
        <w:t xml:space="preserve">. </w:t>
      </w:r>
      <w:proofErr w:type="spellStart"/>
      <w:r w:rsidR="00436F09">
        <w:rPr>
          <w:rFonts w:ascii="Arial" w:eastAsia="Times New Roman" w:hAnsi="Arial" w:cs="Arial"/>
          <w:i/>
          <w:iCs/>
          <w:color w:val="000000"/>
        </w:rPr>
        <w:t>Bilophila</w:t>
      </w:r>
      <w:proofErr w:type="spellEnd"/>
      <w:r w:rsidR="00CE313A">
        <w:rPr>
          <w:rFonts w:ascii="Arial" w:eastAsia="Times New Roman" w:hAnsi="Arial" w:cs="Arial"/>
          <w:color w:val="000000"/>
        </w:rPr>
        <w:t>, a genus that may include species</w:t>
      </w:r>
      <w:r w:rsidR="00DC1673">
        <w:rPr>
          <w:rFonts w:ascii="Arial" w:eastAsia="Times New Roman" w:hAnsi="Arial" w:cs="Arial"/>
          <w:color w:val="000000"/>
        </w:rPr>
        <w:t xml:space="preserve"> like</w:t>
      </w:r>
      <w:r w:rsidR="00CE313A">
        <w:rPr>
          <w:rFonts w:ascii="Arial" w:eastAsia="Times New Roman" w:hAnsi="Arial" w:cs="Arial"/>
          <w:color w:val="000000"/>
        </w:rPr>
        <w:t xml:space="preserve"> </w:t>
      </w:r>
      <w:r w:rsidR="00CE313A" w:rsidRPr="00CE313A">
        <w:rPr>
          <w:rFonts w:ascii="Calibri" w:eastAsia="Times New Roman" w:hAnsi="Calibri" w:cs="Calibri"/>
          <w:color w:val="000000"/>
        </w:rPr>
        <w:t>﻿</w:t>
      </w:r>
      <w:proofErr w:type="spellStart"/>
      <w:r w:rsidR="00CE313A" w:rsidRPr="00CE313A">
        <w:rPr>
          <w:rFonts w:ascii="Arial" w:eastAsia="Times New Roman" w:hAnsi="Arial" w:cs="Arial"/>
          <w:i/>
          <w:iCs/>
          <w:color w:val="000000"/>
        </w:rPr>
        <w:t>Bilophila</w:t>
      </w:r>
      <w:proofErr w:type="spellEnd"/>
      <w:r w:rsidR="00CE313A" w:rsidRPr="00CE313A">
        <w:rPr>
          <w:rFonts w:ascii="Arial" w:eastAsia="Times New Roman" w:hAnsi="Arial" w:cs="Arial"/>
          <w:i/>
          <w:iCs/>
          <w:color w:val="000000"/>
        </w:rPr>
        <w:t xml:space="preserve"> </w:t>
      </w:r>
      <w:proofErr w:type="spellStart"/>
      <w:r w:rsidR="00CE313A" w:rsidRPr="00CE313A">
        <w:rPr>
          <w:rFonts w:ascii="Arial" w:eastAsia="Times New Roman" w:hAnsi="Arial" w:cs="Arial"/>
          <w:i/>
          <w:iCs/>
          <w:color w:val="000000"/>
        </w:rPr>
        <w:t>wadsworthia</w:t>
      </w:r>
      <w:proofErr w:type="spellEnd"/>
      <w:r w:rsidR="00DC1673">
        <w:rPr>
          <w:rFonts w:ascii="Arial" w:eastAsia="Times New Roman" w:hAnsi="Arial" w:cs="Arial"/>
          <w:color w:val="000000"/>
        </w:rPr>
        <w:t xml:space="preserve">. </w:t>
      </w:r>
      <w:r w:rsidR="00DC1673">
        <w:rPr>
          <w:rFonts w:ascii="Arial" w:eastAsia="Times New Roman" w:hAnsi="Arial" w:cs="Arial"/>
          <w:i/>
          <w:iCs/>
          <w:color w:val="000000"/>
        </w:rPr>
        <w:t xml:space="preserve">B. </w:t>
      </w:r>
      <w:proofErr w:type="spellStart"/>
      <w:r w:rsidR="00DC1673" w:rsidRPr="00DC1673">
        <w:rPr>
          <w:rFonts w:ascii="Arial" w:eastAsia="Times New Roman" w:hAnsi="Arial" w:cs="Arial"/>
          <w:i/>
          <w:iCs/>
          <w:color w:val="000000"/>
        </w:rPr>
        <w:t>wadsworthia</w:t>
      </w:r>
      <w:proofErr w:type="spellEnd"/>
      <w:r w:rsidR="00DC1673">
        <w:rPr>
          <w:rFonts w:ascii="Arial" w:eastAsia="Times New Roman" w:hAnsi="Arial" w:cs="Arial"/>
          <w:color w:val="000000"/>
        </w:rPr>
        <w:t xml:space="preserve"> is</w:t>
      </w:r>
      <w:r w:rsidR="00CE313A">
        <w:rPr>
          <w:rFonts w:ascii="Arial" w:eastAsia="Times New Roman" w:hAnsi="Arial" w:cs="Arial"/>
          <w:color w:val="000000"/>
        </w:rPr>
        <w:t xml:space="preserve"> a pathogen that causes gut inflammation </w:t>
      </w:r>
      <w:r w:rsidR="00CE313A">
        <w:rPr>
          <w:rFonts w:ascii="Arial" w:eastAsia="Times New Roman" w:hAnsi="Arial" w:cs="Arial"/>
          <w:color w:val="000000"/>
        </w:rPr>
        <w:fldChar w:fldCharType="begin" w:fldLock="1"/>
      </w:r>
      <w:r w:rsidR="00B84AD7">
        <w:rPr>
          <w:rFonts w:ascii="Arial" w:eastAsia="Times New Roman" w:hAnsi="Arial" w:cs="Arial"/>
          <w:color w:val="000000"/>
        </w:rPr>
        <w:instrText>ADDIN CSL_CITATION {"citationItems":[{"id":"ITEM-1","itemData":{"DOI":"10.1038/s41467-018-05249-7","ISBN":"4146701805","ISSN":"20411723","PMID":"30022049","abstract":"Dietary lipids favor the growth of the pathobiont Bilophila wadsworthia, but the relevance of this expansion in metabolic syndrome pathogenesis is poorly understood. Here, we showed that B. wadsworthia synergizes with high fat diet (HFD) to promote higher inflammation, intestinal barrier dysfunction and bile acid dysmetabolism, leading to higher glucose dysmetabolism and hepatic steatosis. Host-microbiota transcriptomics analysis reveal pathways, particularly butanoate metabolism, which may underlie the metabolic effects mediated by B. wadsworthia. Pharmacological suppression of B. wadsworthia-associated inflammation demonstrate the bacterium's intrinsic capacity to induce a negative impact on glycemic control and hepatic function. Administration of the probiotic Lactobacillus rhamnosus CNCM I-3690 limits B. wadsworthia-induced immune and metabolic impairment by limiting its expansion, reducing inflammation and reinforcing intestinal barrier. Our results suggest a new avenue for interventions against western diet-driven inflammatory and metabolic diseases.","author":[{"dropping-particle":"","family":"Natividad","given":"Jane M.","non-dropping-particle":"","parse-names":false,"suffix":""},{"dropping-particle":"","family":"Lamas","given":"Bruno","non-dropping-particle":"","parse-names":false,"suffix":""},{"dropping-particle":"","family":"Pham","given":"Hang Phuong","non-dropping-particle":"","parse-names":false,"suffix":""},{"dropping-particle":"","family":"Michel","given":"Marie Laure","non-dropping-particle":"","parse-names":false,"suffix":""},{"dropping-particle":"","family":"Rainteau","given":"Dominique","non-dropping-particle":"","parse-names":false,"suffix":""},{"dropping-particle":"","family":"Bridonneau","given":"Chantal","non-dropping-particle":"","parse-names":false,"suffix":""},{"dropping-particle":"","family":"Costa","given":"Gregory","non-dropping-particle":"Da","parse-names":false,"suffix":""},{"dropping-particle":"","family":"Hylckama Vlieg","given":"Johan","non-dropping-particle":"Van","parse-names":false,"suffix":""},{"dropping-particle":"","family":"Sovran","given":"Bruno","non-dropping-particle":"","parse-names":false,"suffix":""},{"dropping-particle":"","family":"Chamignon","given":"Celia","non-dropping-particle":"","parse-names":false,"suffix":""},{"dropping-particle":"","family":"Planchais","given":"Julien","non-dropping-particle":"","parse-names":false,"suffix":""},{"dropping-particle":"","family":"Richard","given":"Mathias L.","non-dropping-particle":"","parse-names":false,"suffix":""},{"dropping-particle":"","family":"Langella","given":"Philippe","non-dropping-particle":"","parse-names":false,"suffix":""},{"dropping-particle":"","family":"Veiga","given":"Patrick","non-dropping-particle":"","parse-names":false,"suffix":""},{"dropping-particle":"","family":"Sokol","given":"Harry","non-dropping-particle":"","parse-names":false,"suffix":""}],"container-title":"Nature Communications","id":"ITEM-1","issue":"1","issued":{"date-parts":[["2018"]]},"page":"1-15","publisher":"Springer US","title":"Bilophila wadsworthia aggravates high fat diet induced metabolic dysfunctions in mice","type":"article-journal","volume":"9"},"uris":["http://www.mendeley.com/documents/?uuid=2ee64413-950d-41cf-9948-3d38b550ada8"]}],"mendeley":{"formattedCitation":"[3]","plainTextFormattedCitation":"[3]","previouslyFormattedCitation":"[3]"},"properties":{"noteIndex":0},"schema":"https://github.com/citation-style-language/schema/raw/master/csl-citation.json"}</w:instrText>
      </w:r>
      <w:r w:rsidR="00CE313A">
        <w:rPr>
          <w:rFonts w:ascii="Arial" w:eastAsia="Times New Roman" w:hAnsi="Arial" w:cs="Arial"/>
          <w:color w:val="000000"/>
        </w:rPr>
        <w:fldChar w:fldCharType="separate"/>
      </w:r>
      <w:r w:rsidR="00B84AD7" w:rsidRPr="00B84AD7">
        <w:rPr>
          <w:rFonts w:ascii="Arial" w:eastAsia="Times New Roman" w:hAnsi="Arial" w:cs="Arial"/>
          <w:noProof/>
          <w:color w:val="000000"/>
        </w:rPr>
        <w:t>[3]</w:t>
      </w:r>
      <w:r w:rsidR="00CE313A">
        <w:rPr>
          <w:rFonts w:ascii="Arial" w:eastAsia="Times New Roman" w:hAnsi="Arial" w:cs="Arial"/>
          <w:color w:val="000000"/>
        </w:rPr>
        <w:fldChar w:fldCharType="end"/>
      </w:r>
      <w:r w:rsidR="00CE313A">
        <w:rPr>
          <w:rFonts w:ascii="Arial" w:eastAsia="Times New Roman" w:hAnsi="Arial" w:cs="Arial"/>
          <w:color w:val="000000"/>
        </w:rPr>
        <w:t xml:space="preserve">. </w:t>
      </w:r>
      <w:r w:rsidR="00D36747">
        <w:rPr>
          <w:rFonts w:ascii="Arial" w:eastAsia="Times New Roman" w:hAnsi="Arial" w:cs="Arial"/>
          <w:i/>
          <w:iCs/>
          <w:color w:val="000000"/>
        </w:rPr>
        <w:t xml:space="preserve">Clostridium </w:t>
      </w:r>
      <w:r w:rsidR="00D36747">
        <w:rPr>
          <w:rFonts w:ascii="Arial" w:eastAsia="Times New Roman" w:hAnsi="Arial" w:cs="Arial"/>
          <w:color w:val="000000"/>
        </w:rPr>
        <w:t xml:space="preserve">is a genus that may contain pathogenic and </w:t>
      </w:r>
      <w:r w:rsidR="00D36747">
        <w:rPr>
          <w:rFonts w:ascii="Arial" w:eastAsia="Times New Roman" w:hAnsi="Arial" w:cs="Arial"/>
          <w:color w:val="000000"/>
        </w:rPr>
        <w:lastRenderedPageBreak/>
        <w:t xml:space="preserve">commensal species </w:t>
      </w:r>
      <w:r w:rsidR="00D36747">
        <w:rPr>
          <w:rFonts w:ascii="Arial" w:eastAsia="Times New Roman" w:hAnsi="Arial" w:cs="Arial"/>
          <w:color w:val="000000"/>
        </w:rPr>
        <w:fldChar w:fldCharType="begin" w:fldLock="1"/>
      </w:r>
      <w:r w:rsidR="00B84AD7">
        <w:rPr>
          <w:rFonts w:ascii="Arial" w:eastAsia="Times New Roman" w:hAnsi="Arial" w:cs="Arial"/>
          <w:color w:val="000000"/>
        </w:rPr>
        <w:instrText>ADDIN CSL_CITATION {"citationItems":[{"id":"ITEM-1","itemData":{"DOI":"10.1186/1757-4749-5-23","ISSN":"17574749","abstract":"The gastrointestinal tract is a complex and dynamic network where an intricate and mutualistic symbiosis modulates the relationship between the host and the microbiota in order to establish and ensure gut homeostasis. Commensal Clostridia consist of gram-positive, rod-shaped bacteria in the phylum Firmicutes and make up a substantial part of the total bacteria in the gut microbiota. They start to colonize the intestine of breastfed infants during the first month of life and populate a specific region in the intestinal mucosa in close relationship with intestinal cells. This position allows them to participate as crucial factors in modulating physiologic, metabolic and immune processes in the gut during the entire lifespan, by interacting with the other resident microbe populations, but also by providing specific and essential functions. This review focus on what is currently known regarding the role of commensal Clostridia in the maintenance of overall gut function, as well as touch on their potential contribution in the unfavorable alteration of microbiota composition (dysbiosis) that has been implicated in several gastrointestinal disorders. Commensal Clostridia are strongly involved in the maintenance of overall gut function. This leads to important translational implications in regard to the prevention and treatment of dysbiosis, to drug efficacy and toxicity, and to the development of therapies that may modulate the composition of the microflora, capitalizing on the key role of commensal Clostridia, with the end goal of promoting gut health. © 2013Lopetuso et al.; licensee BioMed Central Ltd.","author":[{"dropping-particle":"","family":"Lopetuso","given":"Loris R.","non-dropping-particle":"","parse-names":false,"suffix":""},{"dropping-particle":"","family":"Scaldaferri","given":"Franco","non-dropping-particle":"","parse-names":false,"suffix":""},{"dropping-particle":"","family":"Petito","given":"Valentina","non-dropping-particle":"","parse-names":false,"suffix":""},{"dropping-particle":"","family":"Gasbarrini","given":"Antonio","non-dropping-particle":"","parse-names":false,"suffix":""}],"container-title":"Gut Pathogens","id":"ITEM-1","issue":"1","issued":{"date-parts":[["2013"]]},"page":"1-8","title":"Commensal Clostridia: Leading players in the maintenance of gut homeostasis","type":"article-journal","volume":"5"},"uris":["http://www.mendeley.com/documents/?uuid=316c2264-6116-4258-ab45-49cfa2dfa214"]}],"mendeley":{"formattedCitation":"[4]","plainTextFormattedCitation":"[4]","previouslyFormattedCitation":"[4]"},"properties":{"noteIndex":0},"schema":"https://github.com/citation-style-language/schema/raw/master/csl-citation.json"}</w:instrText>
      </w:r>
      <w:r w:rsidR="00D36747">
        <w:rPr>
          <w:rFonts w:ascii="Arial" w:eastAsia="Times New Roman" w:hAnsi="Arial" w:cs="Arial"/>
          <w:color w:val="000000"/>
        </w:rPr>
        <w:fldChar w:fldCharType="separate"/>
      </w:r>
      <w:r w:rsidR="00B84AD7" w:rsidRPr="00B84AD7">
        <w:rPr>
          <w:rFonts w:ascii="Arial" w:eastAsia="Times New Roman" w:hAnsi="Arial" w:cs="Arial"/>
          <w:noProof/>
          <w:color w:val="000000"/>
        </w:rPr>
        <w:t>[4]</w:t>
      </w:r>
      <w:r w:rsidR="00D36747">
        <w:rPr>
          <w:rFonts w:ascii="Arial" w:eastAsia="Times New Roman" w:hAnsi="Arial" w:cs="Arial"/>
          <w:color w:val="000000"/>
        </w:rPr>
        <w:fldChar w:fldCharType="end"/>
      </w:r>
      <w:r w:rsidR="00D36747">
        <w:rPr>
          <w:rFonts w:ascii="Arial" w:eastAsia="Times New Roman" w:hAnsi="Arial" w:cs="Arial"/>
          <w:color w:val="000000"/>
        </w:rPr>
        <w:t xml:space="preserve">. </w:t>
      </w:r>
      <w:r w:rsidR="00CE313A">
        <w:rPr>
          <w:rFonts w:ascii="Arial" w:eastAsia="Times New Roman" w:hAnsi="Arial" w:cs="Arial"/>
          <w:color w:val="000000"/>
        </w:rPr>
        <w:t>Coccidiosis may be favoring growth of these taxa</w:t>
      </w:r>
      <w:r w:rsidR="000F059A">
        <w:rPr>
          <w:rFonts w:ascii="Arial" w:eastAsia="Times New Roman" w:hAnsi="Arial" w:cs="Arial"/>
          <w:color w:val="000000"/>
        </w:rPr>
        <w:t>, with potential to exacerbate symptoms</w:t>
      </w:r>
      <w:r w:rsidR="00CE313A">
        <w:rPr>
          <w:rFonts w:ascii="Arial" w:eastAsia="Times New Roman" w:hAnsi="Arial" w:cs="Arial"/>
          <w:color w:val="000000"/>
        </w:rPr>
        <w:t>.</w:t>
      </w:r>
      <w:r w:rsidR="00F7307D">
        <w:rPr>
          <w:rFonts w:ascii="Arial" w:eastAsia="Times New Roman" w:hAnsi="Arial" w:cs="Arial"/>
          <w:color w:val="000000"/>
        </w:rPr>
        <w:t xml:space="preserve"> Fungal OTUs that have been classed as positive-specialist were predominantly environment and skin-associated</w:t>
      </w:r>
      <w:r w:rsidR="000F059A">
        <w:rPr>
          <w:rFonts w:ascii="Arial" w:eastAsia="Times New Roman" w:hAnsi="Arial" w:cs="Arial"/>
          <w:color w:val="000000"/>
        </w:rPr>
        <w:t>, which is consistent with our hypothesis that fungal taxa are transient and reflective of their host’s environment</w:t>
      </w:r>
      <w:r w:rsidR="00F7307D">
        <w:rPr>
          <w:rFonts w:ascii="Arial" w:eastAsia="Times New Roman" w:hAnsi="Arial" w:cs="Arial"/>
          <w:color w:val="000000"/>
        </w:rPr>
        <w:t xml:space="preserve">. These taxa include: </w:t>
      </w:r>
      <w:proofErr w:type="spellStart"/>
      <w:r w:rsidR="00F7307D">
        <w:rPr>
          <w:rFonts w:ascii="Arial" w:eastAsia="Times New Roman" w:hAnsi="Arial" w:cs="Arial"/>
          <w:i/>
          <w:iCs/>
          <w:color w:val="000000"/>
        </w:rPr>
        <w:t>Sporobolomyces</w:t>
      </w:r>
      <w:proofErr w:type="spellEnd"/>
      <w:r w:rsidR="00F7307D">
        <w:rPr>
          <w:rFonts w:ascii="Arial" w:eastAsia="Times New Roman" w:hAnsi="Arial" w:cs="Arial"/>
          <w:i/>
          <w:iCs/>
          <w:color w:val="000000"/>
        </w:rPr>
        <w:t xml:space="preserve"> </w:t>
      </w:r>
      <w:proofErr w:type="spellStart"/>
      <w:r w:rsidR="00F7307D">
        <w:rPr>
          <w:rFonts w:ascii="Arial" w:eastAsia="Times New Roman" w:hAnsi="Arial" w:cs="Arial"/>
          <w:i/>
          <w:iCs/>
          <w:color w:val="000000"/>
        </w:rPr>
        <w:t>ruberrimus</w:t>
      </w:r>
      <w:proofErr w:type="spellEnd"/>
      <w:r w:rsidR="00F7307D">
        <w:rPr>
          <w:rFonts w:ascii="Arial" w:eastAsia="Times New Roman" w:hAnsi="Arial" w:cs="Arial"/>
          <w:i/>
          <w:iCs/>
          <w:color w:val="000000"/>
        </w:rPr>
        <w:t xml:space="preserve"> </w:t>
      </w:r>
      <w:r w:rsidR="00F7307D">
        <w:rPr>
          <w:rFonts w:ascii="Arial" w:eastAsia="Times New Roman" w:hAnsi="Arial" w:cs="Arial"/>
          <w:color w:val="000000"/>
        </w:rPr>
        <w:t xml:space="preserve">(OTU 3), </w:t>
      </w:r>
      <w:proofErr w:type="spellStart"/>
      <w:r w:rsidR="00F7307D">
        <w:rPr>
          <w:rFonts w:ascii="Arial" w:eastAsia="Times New Roman" w:hAnsi="Arial" w:cs="Arial"/>
          <w:i/>
          <w:iCs/>
          <w:color w:val="000000"/>
        </w:rPr>
        <w:t>Mortierella</w:t>
      </w:r>
      <w:proofErr w:type="spellEnd"/>
      <w:r w:rsidR="00F7307D">
        <w:rPr>
          <w:rFonts w:ascii="Arial" w:eastAsia="Times New Roman" w:hAnsi="Arial" w:cs="Arial"/>
          <w:i/>
          <w:iCs/>
          <w:color w:val="000000"/>
        </w:rPr>
        <w:t xml:space="preserve"> </w:t>
      </w:r>
      <w:proofErr w:type="spellStart"/>
      <w:r w:rsidR="00F7307D">
        <w:rPr>
          <w:rFonts w:ascii="Arial" w:eastAsia="Times New Roman" w:hAnsi="Arial" w:cs="Arial"/>
          <w:i/>
          <w:iCs/>
          <w:color w:val="000000"/>
        </w:rPr>
        <w:t>hypsicladia</w:t>
      </w:r>
      <w:proofErr w:type="spellEnd"/>
      <w:r w:rsidR="00F7307D">
        <w:rPr>
          <w:rFonts w:ascii="Arial" w:eastAsia="Times New Roman" w:hAnsi="Arial" w:cs="Arial"/>
          <w:i/>
          <w:iCs/>
          <w:color w:val="000000"/>
        </w:rPr>
        <w:t xml:space="preserve"> </w:t>
      </w:r>
      <w:r w:rsidR="00F7307D" w:rsidRPr="00F7307D">
        <w:rPr>
          <w:rFonts w:ascii="Arial" w:eastAsia="Times New Roman" w:hAnsi="Arial" w:cs="Arial"/>
          <w:color w:val="000000"/>
        </w:rPr>
        <w:t>(</w:t>
      </w:r>
      <w:r w:rsidR="00F7307D">
        <w:rPr>
          <w:rFonts w:ascii="Arial" w:eastAsia="Times New Roman" w:hAnsi="Arial" w:cs="Arial"/>
          <w:color w:val="000000"/>
        </w:rPr>
        <w:t>OTU 53</w:t>
      </w:r>
      <w:r w:rsidR="00F7307D" w:rsidRPr="00F7307D">
        <w:rPr>
          <w:rFonts w:ascii="Arial" w:eastAsia="Times New Roman" w:hAnsi="Arial" w:cs="Arial"/>
          <w:color w:val="000000"/>
        </w:rPr>
        <w:t>)</w:t>
      </w:r>
      <w:r w:rsidR="00F7307D">
        <w:rPr>
          <w:rFonts w:ascii="Arial" w:eastAsia="Times New Roman" w:hAnsi="Arial" w:cs="Arial"/>
          <w:color w:val="000000"/>
        </w:rPr>
        <w:t xml:space="preserve">, and </w:t>
      </w:r>
      <w:r w:rsidR="00F7307D">
        <w:rPr>
          <w:rFonts w:ascii="Arial" w:eastAsia="Times New Roman" w:hAnsi="Arial" w:cs="Arial"/>
          <w:i/>
          <w:iCs/>
          <w:color w:val="000000"/>
        </w:rPr>
        <w:t xml:space="preserve">Malassezia </w:t>
      </w:r>
      <w:proofErr w:type="spellStart"/>
      <w:r w:rsidR="00F7307D">
        <w:rPr>
          <w:rFonts w:ascii="Arial" w:eastAsia="Times New Roman" w:hAnsi="Arial" w:cs="Arial"/>
          <w:i/>
          <w:iCs/>
          <w:color w:val="000000"/>
        </w:rPr>
        <w:t>restricta</w:t>
      </w:r>
      <w:proofErr w:type="spellEnd"/>
      <w:r w:rsidR="00F7307D">
        <w:rPr>
          <w:rFonts w:ascii="Arial" w:eastAsia="Times New Roman" w:hAnsi="Arial" w:cs="Arial"/>
          <w:i/>
          <w:iCs/>
          <w:color w:val="000000"/>
        </w:rPr>
        <w:t xml:space="preserve"> </w:t>
      </w:r>
      <w:r w:rsidR="00F7307D">
        <w:rPr>
          <w:rFonts w:ascii="Arial" w:eastAsia="Times New Roman" w:hAnsi="Arial" w:cs="Arial"/>
          <w:color w:val="000000"/>
        </w:rPr>
        <w:t>(OTU 208)</w:t>
      </w:r>
      <w:r w:rsidR="00F7307D">
        <w:rPr>
          <w:rFonts w:ascii="Arial" w:eastAsia="Times New Roman" w:hAnsi="Arial" w:cs="Arial"/>
          <w:i/>
          <w:iCs/>
          <w:color w:val="000000"/>
        </w:rPr>
        <w:t>.</w:t>
      </w:r>
      <w:r w:rsidR="00436F09">
        <w:rPr>
          <w:rFonts w:ascii="Arial" w:eastAsia="Times New Roman" w:hAnsi="Arial" w:cs="Arial"/>
          <w:i/>
          <w:iCs/>
          <w:color w:val="000000"/>
        </w:rPr>
        <w:t xml:space="preserve"> </w:t>
      </w:r>
      <w:r w:rsidR="00436F09">
        <w:rPr>
          <w:rFonts w:ascii="Arial" w:eastAsia="Times New Roman" w:hAnsi="Arial" w:cs="Arial"/>
          <w:color w:val="000000"/>
        </w:rPr>
        <w:t xml:space="preserve"> </w:t>
      </w:r>
      <w:r w:rsidR="00485F0D">
        <w:rPr>
          <w:rFonts w:ascii="Arial" w:eastAsia="Times New Roman" w:hAnsi="Arial" w:cs="Arial"/>
          <w:color w:val="000000"/>
        </w:rPr>
        <w:t xml:space="preserve"> </w:t>
      </w:r>
    </w:p>
    <w:p w14:paraId="43054FF8" w14:textId="3740A026" w:rsidR="002E5D10" w:rsidRDefault="004B1EAF" w:rsidP="00377FA6">
      <w:pPr>
        <w:spacing w:line="480" w:lineRule="auto"/>
        <w:rPr>
          <w:rFonts w:ascii="Arial" w:eastAsia="Times New Roman" w:hAnsi="Arial" w:cs="Arial"/>
          <w:b/>
          <w:bCs/>
          <w:color w:val="000000"/>
        </w:rPr>
      </w:pPr>
      <w:r>
        <w:rPr>
          <w:rFonts w:ascii="Arial" w:eastAsia="Times New Roman" w:hAnsi="Arial" w:cs="Arial"/>
          <w:b/>
          <w:bCs/>
          <w:color w:val="000000"/>
        </w:rPr>
        <w:t>Supplementary r</w:t>
      </w:r>
      <w:r w:rsidR="002E5D10">
        <w:rPr>
          <w:rFonts w:ascii="Arial" w:eastAsia="Times New Roman" w:hAnsi="Arial" w:cs="Arial"/>
          <w:b/>
          <w:bCs/>
          <w:color w:val="000000"/>
        </w:rPr>
        <w:t>eferences:</w:t>
      </w:r>
    </w:p>
    <w:p w14:paraId="1F817155" w14:textId="0A5D3C7F" w:rsidR="00B84AD7" w:rsidRPr="00B84AD7" w:rsidRDefault="0097365A" w:rsidP="00B84AD7">
      <w:pPr>
        <w:widowControl w:val="0"/>
        <w:autoSpaceDE w:val="0"/>
        <w:autoSpaceDN w:val="0"/>
        <w:adjustRightInd w:val="0"/>
        <w:spacing w:line="480" w:lineRule="auto"/>
        <w:rPr>
          <w:rFonts w:ascii="Arial" w:hAnsi="Arial" w:cs="Arial"/>
          <w:noProof/>
        </w:rPr>
      </w:pPr>
      <w:r>
        <w:rPr>
          <w:rFonts w:ascii="Arial" w:eastAsia="Times New Roman" w:hAnsi="Arial" w:cs="Arial"/>
          <w:b/>
          <w:bCs/>
          <w:color w:val="000000"/>
        </w:rPr>
        <w:fldChar w:fldCharType="begin" w:fldLock="1"/>
      </w:r>
      <w:r>
        <w:rPr>
          <w:rFonts w:ascii="Arial" w:eastAsia="Times New Roman" w:hAnsi="Arial" w:cs="Arial"/>
          <w:b/>
          <w:bCs/>
          <w:color w:val="000000"/>
        </w:rPr>
        <w:instrText xml:space="preserve">ADDIN Mendeley Bibliography CSL_BIBLIOGRAPHY </w:instrText>
      </w:r>
      <w:r>
        <w:rPr>
          <w:rFonts w:ascii="Arial" w:eastAsia="Times New Roman" w:hAnsi="Arial" w:cs="Arial"/>
          <w:b/>
          <w:bCs/>
          <w:color w:val="000000"/>
        </w:rPr>
        <w:fldChar w:fldCharType="separate"/>
      </w:r>
      <w:r w:rsidR="00B84AD7" w:rsidRPr="00B84AD7">
        <w:rPr>
          <w:rFonts w:ascii="Arial" w:hAnsi="Arial" w:cs="Arial"/>
          <w:noProof/>
        </w:rPr>
        <w:t>1. Kovaleva J, Degener JE, Van Der Mei HC. Methylobacterium and its role in health care-associated infection. J Clin Microbiol. 2014;52:1317–21.</w:t>
      </w:r>
    </w:p>
    <w:p w14:paraId="43E59C86" w14:textId="77777777" w:rsidR="00B84AD7" w:rsidRPr="00B84AD7" w:rsidRDefault="00B84AD7" w:rsidP="00B84AD7">
      <w:pPr>
        <w:widowControl w:val="0"/>
        <w:autoSpaceDE w:val="0"/>
        <w:autoSpaceDN w:val="0"/>
        <w:adjustRightInd w:val="0"/>
        <w:spacing w:line="480" w:lineRule="auto"/>
        <w:rPr>
          <w:rFonts w:ascii="Arial" w:hAnsi="Arial" w:cs="Arial"/>
          <w:noProof/>
        </w:rPr>
      </w:pPr>
      <w:r w:rsidRPr="00B84AD7">
        <w:rPr>
          <w:rFonts w:ascii="Arial" w:hAnsi="Arial" w:cs="Arial"/>
          <w:noProof/>
        </w:rPr>
        <w:t>2. Ju T, Kong JY, Stothard P, Willing BP. Defining the role of Parasutterella, a previously uncharacterized member of the core gut microbiota. ISME J. 2019;13:1520–34. doi:10.1038/s41396-019-0364-5.</w:t>
      </w:r>
    </w:p>
    <w:p w14:paraId="5AB2A7EE" w14:textId="77777777" w:rsidR="00B84AD7" w:rsidRPr="00B84AD7" w:rsidRDefault="00B84AD7" w:rsidP="00B84AD7">
      <w:pPr>
        <w:widowControl w:val="0"/>
        <w:autoSpaceDE w:val="0"/>
        <w:autoSpaceDN w:val="0"/>
        <w:adjustRightInd w:val="0"/>
        <w:spacing w:line="480" w:lineRule="auto"/>
        <w:rPr>
          <w:rFonts w:ascii="Arial" w:hAnsi="Arial" w:cs="Arial"/>
          <w:noProof/>
        </w:rPr>
      </w:pPr>
      <w:r w:rsidRPr="00B84AD7">
        <w:rPr>
          <w:rFonts w:ascii="Arial" w:hAnsi="Arial" w:cs="Arial"/>
          <w:noProof/>
        </w:rPr>
        <w:t>3. Natividad JM, Lamas B, Pham HP, Michel ML, Rainteau D, Bridonneau C, et al. Bilophila wadsworthia aggravates high fat diet induced metabolic dysfunctions in mice. Nat Commun. 2018;9:1–15. doi:10.1038/s41467-018-05249-7.</w:t>
      </w:r>
    </w:p>
    <w:p w14:paraId="12E13AD8" w14:textId="77777777" w:rsidR="00B84AD7" w:rsidRPr="00B84AD7" w:rsidRDefault="00B84AD7" w:rsidP="00B84AD7">
      <w:pPr>
        <w:widowControl w:val="0"/>
        <w:autoSpaceDE w:val="0"/>
        <w:autoSpaceDN w:val="0"/>
        <w:adjustRightInd w:val="0"/>
        <w:spacing w:line="480" w:lineRule="auto"/>
        <w:rPr>
          <w:rFonts w:ascii="Arial" w:hAnsi="Arial" w:cs="Arial"/>
          <w:noProof/>
        </w:rPr>
      </w:pPr>
      <w:r w:rsidRPr="00B84AD7">
        <w:rPr>
          <w:rFonts w:ascii="Arial" w:hAnsi="Arial" w:cs="Arial"/>
          <w:noProof/>
        </w:rPr>
        <w:t>4. Lopetuso LR, Scaldaferri F, Petito V, Gasbarrini A. Commensal Clostridia: Leading players in the maintenance of gut homeostasis. Gut Pathog. 2013;5:1–8.</w:t>
      </w:r>
    </w:p>
    <w:p w14:paraId="19FD2ED8" w14:textId="659B1ABA" w:rsidR="00AB461C" w:rsidRDefault="0097365A" w:rsidP="00B84AD7">
      <w:pPr>
        <w:widowControl w:val="0"/>
        <w:autoSpaceDE w:val="0"/>
        <w:autoSpaceDN w:val="0"/>
        <w:adjustRightInd w:val="0"/>
        <w:spacing w:line="480" w:lineRule="auto"/>
        <w:ind w:left="640" w:hanging="640"/>
        <w:rPr>
          <w:rFonts w:ascii="Arial" w:eastAsia="Times New Roman" w:hAnsi="Arial" w:cs="Arial"/>
          <w:b/>
          <w:bCs/>
          <w:color w:val="000000"/>
        </w:rPr>
      </w:pPr>
      <w:r>
        <w:rPr>
          <w:rFonts w:ascii="Arial" w:eastAsia="Times New Roman" w:hAnsi="Arial" w:cs="Arial"/>
          <w:b/>
          <w:bCs/>
          <w:color w:val="000000"/>
        </w:rPr>
        <w:fldChar w:fldCharType="end"/>
      </w:r>
    </w:p>
    <w:p w14:paraId="256258A8" w14:textId="1A975BCA" w:rsidR="004B1EAF" w:rsidRDefault="004B1EAF" w:rsidP="00377FA6">
      <w:pPr>
        <w:widowControl w:val="0"/>
        <w:autoSpaceDE w:val="0"/>
        <w:autoSpaceDN w:val="0"/>
        <w:adjustRightInd w:val="0"/>
        <w:spacing w:line="480" w:lineRule="auto"/>
        <w:ind w:left="640" w:hanging="640"/>
        <w:rPr>
          <w:rFonts w:ascii="Arial" w:eastAsia="Times New Roman" w:hAnsi="Arial" w:cs="Arial"/>
          <w:b/>
          <w:bCs/>
          <w:color w:val="000000"/>
        </w:rPr>
      </w:pPr>
      <w:r>
        <w:rPr>
          <w:rFonts w:ascii="Arial" w:eastAsia="Times New Roman" w:hAnsi="Arial" w:cs="Arial"/>
          <w:b/>
          <w:bCs/>
          <w:color w:val="000000"/>
        </w:rPr>
        <w:t>Supplementary Figure Legends</w:t>
      </w:r>
    </w:p>
    <w:p w14:paraId="13E0CFC0" w14:textId="7EAB8B26" w:rsidR="00997865" w:rsidRPr="00997865" w:rsidRDefault="00997865" w:rsidP="00997865">
      <w:pPr>
        <w:spacing w:line="480" w:lineRule="auto"/>
        <w:rPr>
          <w:rFonts w:ascii="Arial" w:hAnsi="Arial" w:cs="Arial"/>
          <w:i/>
          <w:iCs/>
        </w:rPr>
      </w:pPr>
      <w:r>
        <w:rPr>
          <w:rFonts w:ascii="Arial" w:hAnsi="Arial" w:cs="Arial"/>
          <w:b/>
          <w:bCs/>
        </w:rPr>
        <w:t xml:space="preserve">Supplementary </w:t>
      </w:r>
      <w:r w:rsidRPr="008D183F">
        <w:rPr>
          <w:rFonts w:ascii="Arial" w:hAnsi="Arial" w:cs="Arial"/>
          <w:b/>
          <w:bCs/>
        </w:rPr>
        <w:t xml:space="preserve">Figure 1: </w:t>
      </w:r>
      <w:r>
        <w:rPr>
          <w:rFonts w:ascii="Arial" w:hAnsi="Arial" w:cs="Arial"/>
          <w:i/>
          <w:iCs/>
        </w:rPr>
        <w:t xml:space="preserve">Fungal alpha diversity significantly decreases from wild to captive. </w:t>
      </w:r>
      <w:r>
        <w:rPr>
          <w:rFonts w:ascii="Arial" w:hAnsi="Arial" w:cs="Arial"/>
        </w:rPr>
        <w:t xml:space="preserve">Using Shannon’s diversity index, there is a 74.2% reduction in the average alpha diversity </w:t>
      </w:r>
      <w:r w:rsidRPr="008A00D4">
        <w:rPr>
          <w:rFonts w:ascii="Arial" w:hAnsi="Arial" w:cs="Arial"/>
        </w:rPr>
        <w:t>(ANOVA,</w:t>
      </w:r>
      <w:r>
        <w:rPr>
          <w:rFonts w:ascii="Arial" w:eastAsia="Times New Roman" w:hAnsi="Arial" w:cs="Arial"/>
          <w:color w:val="000000"/>
        </w:rPr>
        <w:t xml:space="preserve"> p = 0.012)</w:t>
      </w:r>
      <w:r>
        <w:rPr>
          <w:rFonts w:ascii="Arial" w:hAnsi="Arial" w:cs="Arial"/>
          <w:i/>
          <w:iCs/>
        </w:rPr>
        <w:t>.</w:t>
      </w:r>
    </w:p>
    <w:p w14:paraId="667AFECA" w14:textId="023B92B0" w:rsidR="00997865" w:rsidRPr="00997865" w:rsidRDefault="00997865" w:rsidP="00997865">
      <w:pPr>
        <w:spacing w:line="480" w:lineRule="auto"/>
        <w:rPr>
          <w:rFonts w:ascii="Arial" w:hAnsi="Arial" w:cs="Arial"/>
          <w:i/>
          <w:iCs/>
        </w:rPr>
      </w:pPr>
      <w:r>
        <w:rPr>
          <w:rFonts w:ascii="Arial" w:hAnsi="Arial" w:cs="Arial"/>
          <w:b/>
          <w:bCs/>
        </w:rPr>
        <w:lastRenderedPageBreak/>
        <w:t xml:space="preserve">Supplementary </w:t>
      </w:r>
      <w:r w:rsidRPr="008D183F">
        <w:rPr>
          <w:rFonts w:ascii="Arial" w:hAnsi="Arial" w:cs="Arial"/>
          <w:b/>
          <w:bCs/>
        </w:rPr>
        <w:t xml:space="preserve">Figure </w:t>
      </w:r>
      <w:r>
        <w:rPr>
          <w:rFonts w:ascii="Arial" w:hAnsi="Arial" w:cs="Arial"/>
          <w:b/>
          <w:bCs/>
        </w:rPr>
        <w:t>2</w:t>
      </w:r>
      <w:r w:rsidRPr="008D183F">
        <w:rPr>
          <w:rFonts w:ascii="Arial" w:hAnsi="Arial" w:cs="Arial"/>
          <w:b/>
          <w:bCs/>
        </w:rPr>
        <w:t xml:space="preserve">: </w:t>
      </w:r>
      <w:r>
        <w:rPr>
          <w:rFonts w:ascii="Arial" w:hAnsi="Arial" w:cs="Arial"/>
          <w:i/>
          <w:iCs/>
        </w:rPr>
        <w:t xml:space="preserve">Betadiversity of bacterial and fungal communities vary in their response to captivity. </w:t>
      </w:r>
      <w:r>
        <w:rPr>
          <w:rFonts w:ascii="Arial" w:hAnsi="Arial" w:cs="Arial"/>
        </w:rPr>
        <w:t xml:space="preserve">(A) There is no significant difference in betadiversity (distance to centroid) observed in bacteria (ANOVA, </w:t>
      </w:r>
      <w:r>
        <w:rPr>
          <w:rFonts w:ascii="Arial" w:eastAsia="Times New Roman" w:hAnsi="Arial" w:cs="Arial"/>
          <w:color w:val="000000"/>
        </w:rPr>
        <w:t>p = 0.948)</w:t>
      </w:r>
      <w:r>
        <w:rPr>
          <w:rFonts w:ascii="Arial" w:hAnsi="Arial" w:cs="Arial"/>
        </w:rPr>
        <w:t>. (B) Fungal betadiversity shows a marginally significant trend with an increase in distance to centroid (</w:t>
      </w:r>
      <w:r>
        <w:rPr>
          <w:rFonts w:ascii="Arial" w:eastAsia="Times New Roman" w:hAnsi="Arial" w:cs="Arial"/>
          <w:color w:val="000000"/>
        </w:rPr>
        <w:t>ANOVA, p = 0.051</w:t>
      </w:r>
      <w:r>
        <w:rPr>
          <w:rFonts w:ascii="Arial" w:hAnsi="Arial" w:cs="Arial"/>
        </w:rPr>
        <w:t xml:space="preserve">). </w:t>
      </w:r>
      <w:r w:rsidRPr="00A87E7A">
        <w:rPr>
          <w:rFonts w:ascii="Arial" w:hAnsi="Arial" w:cs="Arial"/>
        </w:rPr>
        <w:t xml:space="preserve">Distance to centroid was calculated using a multivariate version of the </w:t>
      </w:r>
      <w:proofErr w:type="spellStart"/>
      <w:r w:rsidRPr="00A87E7A">
        <w:rPr>
          <w:rFonts w:ascii="Arial" w:hAnsi="Arial" w:cs="Arial"/>
        </w:rPr>
        <w:t>Levene’s</w:t>
      </w:r>
      <w:proofErr w:type="spellEnd"/>
      <w:r w:rsidRPr="00A87E7A">
        <w:rPr>
          <w:rFonts w:ascii="Arial" w:hAnsi="Arial" w:cs="Arial"/>
        </w:rPr>
        <w:t xml:space="preserve"> test. Lower values indicate more shared </w:t>
      </w:r>
      <w:r>
        <w:rPr>
          <w:rFonts w:ascii="Arial" w:hAnsi="Arial" w:cs="Arial"/>
        </w:rPr>
        <w:t>microbial</w:t>
      </w:r>
      <w:r w:rsidRPr="00A87E7A">
        <w:rPr>
          <w:rFonts w:ascii="Arial" w:hAnsi="Arial" w:cs="Arial"/>
        </w:rPr>
        <w:t xml:space="preserve"> taxa among individuals of the same </w:t>
      </w:r>
      <w:r>
        <w:rPr>
          <w:rFonts w:ascii="Arial" w:hAnsi="Arial" w:cs="Arial"/>
        </w:rPr>
        <w:t>treatment</w:t>
      </w:r>
      <w:r w:rsidRPr="00A87E7A">
        <w:rPr>
          <w:rFonts w:ascii="Arial" w:hAnsi="Arial" w:cs="Arial"/>
        </w:rPr>
        <w:t xml:space="preserve">. Higher values show higher </w:t>
      </w:r>
      <w:r>
        <w:rPr>
          <w:rFonts w:ascii="Arial" w:hAnsi="Arial" w:cs="Arial"/>
        </w:rPr>
        <w:t>microbial</w:t>
      </w:r>
      <w:r w:rsidRPr="00A87E7A">
        <w:rPr>
          <w:rFonts w:ascii="Arial" w:hAnsi="Arial" w:cs="Arial"/>
        </w:rPr>
        <w:t xml:space="preserve"> taxa variability among individuals of the same </w:t>
      </w:r>
      <w:r>
        <w:rPr>
          <w:rFonts w:ascii="Arial" w:hAnsi="Arial" w:cs="Arial"/>
        </w:rPr>
        <w:t>treatment</w:t>
      </w:r>
      <w:r>
        <w:rPr>
          <w:rFonts w:ascii="Arial" w:hAnsi="Arial" w:cs="Arial"/>
          <w:i/>
          <w:iCs/>
        </w:rPr>
        <w:t>.</w:t>
      </w:r>
    </w:p>
    <w:p w14:paraId="021ED589" w14:textId="6FA65061" w:rsidR="00827E45" w:rsidRPr="00377FA6" w:rsidRDefault="004B1EAF" w:rsidP="00377FA6">
      <w:pPr>
        <w:widowControl w:val="0"/>
        <w:autoSpaceDE w:val="0"/>
        <w:autoSpaceDN w:val="0"/>
        <w:adjustRightInd w:val="0"/>
        <w:spacing w:line="480" w:lineRule="auto"/>
        <w:ind w:left="640" w:hanging="640"/>
        <w:rPr>
          <w:rFonts w:ascii="Arial" w:eastAsia="Times New Roman" w:hAnsi="Arial" w:cs="Arial"/>
          <w:b/>
          <w:bCs/>
          <w:color w:val="000000"/>
        </w:rPr>
      </w:pPr>
      <w:r>
        <w:rPr>
          <w:rFonts w:ascii="Arial" w:eastAsia="Times New Roman" w:hAnsi="Arial" w:cs="Arial"/>
          <w:b/>
          <w:bCs/>
          <w:color w:val="000000"/>
        </w:rPr>
        <w:t xml:space="preserve">Supplementary Tables </w:t>
      </w:r>
    </w:p>
    <w:p w14:paraId="3EC27EA7" w14:textId="512AB258" w:rsidR="00827E45" w:rsidRDefault="00827E45" w:rsidP="00377FA6">
      <w:pPr>
        <w:spacing w:line="480" w:lineRule="auto"/>
        <w:rPr>
          <w:rFonts w:ascii="Arial" w:hAnsi="Arial" w:cs="Arial"/>
        </w:rPr>
      </w:pPr>
      <w:r w:rsidRPr="00827E45">
        <w:rPr>
          <w:rFonts w:ascii="Arial" w:hAnsi="Arial" w:cs="Arial"/>
          <w:b/>
          <w:bCs/>
        </w:rPr>
        <w:t>Supplementary Table 1:</w:t>
      </w:r>
      <w:r w:rsidRPr="00827E45">
        <w:rPr>
          <w:rFonts w:ascii="Arial" w:hAnsi="Arial" w:cs="Arial"/>
        </w:rPr>
        <w:t xml:space="preserve"> Sample collection sites and sampling size</w:t>
      </w:r>
    </w:p>
    <w:p w14:paraId="79058211" w14:textId="40F77BF2" w:rsidR="00827E45" w:rsidRDefault="00827E45" w:rsidP="00377FA6">
      <w:pPr>
        <w:spacing w:line="480" w:lineRule="auto"/>
        <w:rPr>
          <w:rFonts w:ascii="Arial" w:hAnsi="Arial" w:cs="Arial"/>
        </w:rPr>
      </w:pPr>
      <w:r w:rsidRPr="0056714D">
        <w:rPr>
          <w:rFonts w:ascii="Arial" w:hAnsi="Arial" w:cs="Arial"/>
          <w:b/>
          <w:bCs/>
        </w:rPr>
        <w:t>Supplementary Table 2:</w:t>
      </w:r>
      <w:r w:rsidRPr="00827E45">
        <w:rPr>
          <w:rFonts w:ascii="Arial" w:hAnsi="Arial" w:cs="Arial"/>
        </w:rPr>
        <w:t xml:space="preserve"> Captivity influences bacterial and fungal communities. PERMANOVA results for different factors as predictors of microbial variance.</w:t>
      </w:r>
    </w:p>
    <w:p w14:paraId="4F2D3325" w14:textId="669D5A30" w:rsidR="00827E45" w:rsidRDefault="00827E45" w:rsidP="00377FA6">
      <w:pPr>
        <w:spacing w:line="480" w:lineRule="auto"/>
        <w:rPr>
          <w:rFonts w:ascii="Arial" w:hAnsi="Arial" w:cs="Arial"/>
        </w:rPr>
      </w:pPr>
      <w:r w:rsidRPr="0056714D">
        <w:rPr>
          <w:rFonts w:ascii="Arial" w:hAnsi="Arial" w:cs="Arial"/>
          <w:b/>
          <w:bCs/>
        </w:rPr>
        <w:t>Supplementary Table 3:</w:t>
      </w:r>
      <w:r w:rsidRPr="00827E45">
        <w:rPr>
          <w:rFonts w:ascii="Arial" w:hAnsi="Arial" w:cs="Arial"/>
        </w:rPr>
        <w:t xml:space="preserve"> Most influential bacterial OTUs distinguishing between wild and captive kiwi samples. Eighty-seven bacterial OTUs account for over 70% of the differences between treatments.</w:t>
      </w:r>
    </w:p>
    <w:p w14:paraId="42FF2B49" w14:textId="0A067F3F" w:rsidR="00827E45" w:rsidRDefault="00827E45" w:rsidP="00377FA6">
      <w:pPr>
        <w:spacing w:line="480" w:lineRule="auto"/>
        <w:rPr>
          <w:rFonts w:ascii="Arial" w:hAnsi="Arial" w:cs="Arial"/>
        </w:rPr>
      </w:pPr>
      <w:r w:rsidRPr="0056714D">
        <w:rPr>
          <w:rFonts w:ascii="Arial" w:hAnsi="Arial" w:cs="Arial"/>
          <w:b/>
          <w:bCs/>
        </w:rPr>
        <w:t>Supplementary Table 4:</w:t>
      </w:r>
      <w:r w:rsidRPr="00827E45">
        <w:rPr>
          <w:rFonts w:ascii="Arial" w:hAnsi="Arial" w:cs="Arial"/>
        </w:rPr>
        <w:t xml:space="preserve"> Most influential fungal OTUs distinguishing between wild and captive kiwi samples. Fifteen fungal OTUs account for over 70% of the differences between treatments.</w:t>
      </w:r>
    </w:p>
    <w:p w14:paraId="76362205" w14:textId="5F4EE9CE" w:rsidR="00827E45" w:rsidRDefault="00827E45" w:rsidP="00377FA6">
      <w:pPr>
        <w:spacing w:line="480" w:lineRule="auto"/>
        <w:rPr>
          <w:rFonts w:ascii="Arial" w:hAnsi="Arial" w:cs="Arial"/>
        </w:rPr>
      </w:pPr>
      <w:r w:rsidRPr="0056714D">
        <w:rPr>
          <w:rFonts w:ascii="Arial" w:hAnsi="Arial" w:cs="Arial"/>
          <w:b/>
          <w:bCs/>
        </w:rPr>
        <w:t xml:space="preserve">Supplementary </w:t>
      </w:r>
      <w:r w:rsidRPr="00456DA9">
        <w:rPr>
          <w:rFonts w:ascii="Arial" w:hAnsi="Arial" w:cs="Arial"/>
          <w:b/>
          <w:bCs/>
        </w:rPr>
        <w:t>Table 5:</w:t>
      </w:r>
      <w:r w:rsidRPr="00456DA9">
        <w:rPr>
          <w:rFonts w:ascii="Arial" w:hAnsi="Arial" w:cs="Arial"/>
        </w:rPr>
        <w:t xml:space="preserve"> </w:t>
      </w:r>
      <w:proofErr w:type="spellStart"/>
      <w:r w:rsidR="00456DA9" w:rsidRPr="00456DA9">
        <w:rPr>
          <w:rFonts w:ascii="Arial" w:eastAsia="Times New Roman" w:hAnsi="Arial" w:cs="Arial"/>
          <w:color w:val="000000"/>
        </w:rPr>
        <w:t>Clamtest</w:t>
      </w:r>
      <w:proofErr w:type="spellEnd"/>
      <w:r w:rsidR="00456DA9" w:rsidRPr="00456DA9">
        <w:rPr>
          <w:rFonts w:ascii="Arial" w:eastAsia="Times New Roman" w:hAnsi="Arial" w:cs="Arial"/>
          <w:color w:val="000000"/>
        </w:rPr>
        <w:t xml:space="preserve"> categorizing bacterial and fungal OTUs found in wild and captive kiwi into rare, generalist, wild specialist, and captive specialist.</w:t>
      </w:r>
      <w:r w:rsidRPr="00456DA9">
        <w:rPr>
          <w:rFonts w:ascii="Arial" w:hAnsi="Arial" w:cs="Arial"/>
        </w:rPr>
        <w:tab/>
      </w:r>
    </w:p>
    <w:p w14:paraId="493018A3" w14:textId="245FDC55" w:rsidR="00AA3B9E" w:rsidRPr="00AA3B9E" w:rsidRDefault="00AA3B9E" w:rsidP="00377FA6">
      <w:pPr>
        <w:spacing w:line="480" w:lineRule="auto"/>
        <w:rPr>
          <w:rFonts w:ascii="Arial" w:hAnsi="Arial" w:cs="Arial"/>
        </w:rPr>
      </w:pPr>
      <w:r w:rsidRPr="00AA3B9E">
        <w:rPr>
          <w:rFonts w:ascii="Arial" w:eastAsia="Times New Roman" w:hAnsi="Arial" w:cs="Arial"/>
          <w:b/>
          <w:bCs/>
          <w:color w:val="000000"/>
        </w:rPr>
        <w:t xml:space="preserve">Supplementary Table 6: </w:t>
      </w:r>
      <w:proofErr w:type="spellStart"/>
      <w:r w:rsidRPr="00AA3B9E">
        <w:rPr>
          <w:rFonts w:ascii="Arial" w:eastAsia="Times New Roman" w:hAnsi="Arial" w:cs="Arial"/>
          <w:color w:val="000000"/>
        </w:rPr>
        <w:t>Clamtest</w:t>
      </w:r>
      <w:proofErr w:type="spellEnd"/>
      <w:r w:rsidRPr="00AA3B9E">
        <w:rPr>
          <w:rFonts w:ascii="Arial" w:eastAsia="Times New Roman" w:hAnsi="Arial" w:cs="Arial"/>
          <w:color w:val="000000"/>
        </w:rPr>
        <w:t xml:space="preserve"> categorizing bacterial and fungal OTUs found in kiwi with and without a history of coccidiosis into rare, generalist, positive specialist, and negative specialist.</w:t>
      </w:r>
    </w:p>
    <w:sectPr w:rsidR="00AA3B9E" w:rsidRPr="00AA3B9E" w:rsidSect="002D12F6">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F1F"/>
    <w:rsid w:val="00003A35"/>
    <w:rsid w:val="00024DD1"/>
    <w:rsid w:val="00053EAB"/>
    <w:rsid w:val="000663AF"/>
    <w:rsid w:val="00080436"/>
    <w:rsid w:val="000A13E0"/>
    <w:rsid w:val="000B6C0C"/>
    <w:rsid w:val="000D0041"/>
    <w:rsid w:val="000D0614"/>
    <w:rsid w:val="000D4D2E"/>
    <w:rsid w:val="000E4054"/>
    <w:rsid w:val="000F059A"/>
    <w:rsid w:val="001108F8"/>
    <w:rsid w:val="001604FA"/>
    <w:rsid w:val="00174B09"/>
    <w:rsid w:val="00175454"/>
    <w:rsid w:val="00181554"/>
    <w:rsid w:val="00192448"/>
    <w:rsid w:val="001C6145"/>
    <w:rsid w:val="00267027"/>
    <w:rsid w:val="002A5A02"/>
    <w:rsid w:val="002C3262"/>
    <w:rsid w:val="002D12F6"/>
    <w:rsid w:val="002E4B3A"/>
    <w:rsid w:val="002E5D10"/>
    <w:rsid w:val="00362124"/>
    <w:rsid w:val="00377FA6"/>
    <w:rsid w:val="00420AE3"/>
    <w:rsid w:val="00436F09"/>
    <w:rsid w:val="00442FE9"/>
    <w:rsid w:val="00456DA9"/>
    <w:rsid w:val="00485F0D"/>
    <w:rsid w:val="004A15F8"/>
    <w:rsid w:val="004A57C6"/>
    <w:rsid w:val="004B1EAF"/>
    <w:rsid w:val="004E2849"/>
    <w:rsid w:val="004E722C"/>
    <w:rsid w:val="0050196F"/>
    <w:rsid w:val="005464FA"/>
    <w:rsid w:val="0056714D"/>
    <w:rsid w:val="00582631"/>
    <w:rsid w:val="00636137"/>
    <w:rsid w:val="006A18B9"/>
    <w:rsid w:val="006A504E"/>
    <w:rsid w:val="00705365"/>
    <w:rsid w:val="00743DF8"/>
    <w:rsid w:val="007655F9"/>
    <w:rsid w:val="007A389F"/>
    <w:rsid w:val="007B610C"/>
    <w:rsid w:val="007C2C7A"/>
    <w:rsid w:val="007D45AE"/>
    <w:rsid w:val="00827E45"/>
    <w:rsid w:val="00856A71"/>
    <w:rsid w:val="008E55EF"/>
    <w:rsid w:val="008F5DFC"/>
    <w:rsid w:val="008F6BC2"/>
    <w:rsid w:val="00916074"/>
    <w:rsid w:val="00941CC5"/>
    <w:rsid w:val="00960B85"/>
    <w:rsid w:val="0097365A"/>
    <w:rsid w:val="009970FD"/>
    <w:rsid w:val="00997865"/>
    <w:rsid w:val="009A01BA"/>
    <w:rsid w:val="009A4C1A"/>
    <w:rsid w:val="00A54996"/>
    <w:rsid w:val="00A6057C"/>
    <w:rsid w:val="00AA0BCF"/>
    <w:rsid w:val="00AA3B9E"/>
    <w:rsid w:val="00AB461C"/>
    <w:rsid w:val="00AE10A6"/>
    <w:rsid w:val="00B3319D"/>
    <w:rsid w:val="00B71E98"/>
    <w:rsid w:val="00B815B9"/>
    <w:rsid w:val="00B84AD7"/>
    <w:rsid w:val="00C806D4"/>
    <w:rsid w:val="00CB4903"/>
    <w:rsid w:val="00CD5BAE"/>
    <w:rsid w:val="00CE313A"/>
    <w:rsid w:val="00D03812"/>
    <w:rsid w:val="00D06639"/>
    <w:rsid w:val="00D36747"/>
    <w:rsid w:val="00D711FC"/>
    <w:rsid w:val="00D77931"/>
    <w:rsid w:val="00DC1673"/>
    <w:rsid w:val="00DD3E48"/>
    <w:rsid w:val="00DD6069"/>
    <w:rsid w:val="00DF6CD9"/>
    <w:rsid w:val="00E07D75"/>
    <w:rsid w:val="00E106B1"/>
    <w:rsid w:val="00E44AA8"/>
    <w:rsid w:val="00E94CB6"/>
    <w:rsid w:val="00E9659C"/>
    <w:rsid w:val="00EA5D33"/>
    <w:rsid w:val="00EC7E0E"/>
    <w:rsid w:val="00ED3252"/>
    <w:rsid w:val="00EE3FE5"/>
    <w:rsid w:val="00F13136"/>
    <w:rsid w:val="00F177DC"/>
    <w:rsid w:val="00F7307D"/>
    <w:rsid w:val="00F74F1F"/>
    <w:rsid w:val="00F77B11"/>
    <w:rsid w:val="00F82638"/>
    <w:rsid w:val="00FD1189"/>
    <w:rsid w:val="00FF4D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5BE1F"/>
  <w14:defaultImageDpi w14:val="32767"/>
  <w15:chartTrackingRefBased/>
  <w15:docId w15:val="{B5E34606-60A4-3F43-84FB-5A399A11A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74F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0BC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A0BCF"/>
    <w:rPr>
      <w:rFonts w:ascii="Times New Roman" w:hAnsi="Times New Roman" w:cs="Times New Roman"/>
      <w:sz w:val="18"/>
      <w:szCs w:val="18"/>
    </w:rPr>
  </w:style>
  <w:style w:type="character" w:styleId="Hyperlink">
    <w:name w:val="Hyperlink"/>
    <w:basedOn w:val="DefaultParagraphFont"/>
    <w:uiPriority w:val="99"/>
    <w:unhideWhenUsed/>
    <w:rsid w:val="00AE10A6"/>
    <w:rPr>
      <w:color w:val="0563C1" w:themeColor="hyperlink"/>
      <w:u w:val="single"/>
    </w:rPr>
  </w:style>
  <w:style w:type="character" w:styleId="LineNumber">
    <w:name w:val="line number"/>
    <w:basedOn w:val="DefaultParagraphFont"/>
    <w:uiPriority w:val="99"/>
    <w:semiHidden/>
    <w:unhideWhenUsed/>
    <w:rsid w:val="002D12F6"/>
  </w:style>
  <w:style w:type="character" w:styleId="CommentReference">
    <w:name w:val="annotation reference"/>
    <w:basedOn w:val="DefaultParagraphFont"/>
    <w:uiPriority w:val="99"/>
    <w:semiHidden/>
    <w:unhideWhenUsed/>
    <w:rsid w:val="00D06639"/>
    <w:rPr>
      <w:sz w:val="16"/>
      <w:szCs w:val="16"/>
    </w:rPr>
  </w:style>
  <w:style w:type="paragraph" w:styleId="CommentText">
    <w:name w:val="annotation text"/>
    <w:basedOn w:val="Normal"/>
    <w:link w:val="CommentTextChar"/>
    <w:uiPriority w:val="99"/>
    <w:semiHidden/>
    <w:unhideWhenUsed/>
    <w:rsid w:val="00D06639"/>
    <w:rPr>
      <w:sz w:val="20"/>
      <w:szCs w:val="20"/>
    </w:rPr>
  </w:style>
  <w:style w:type="character" w:customStyle="1" w:styleId="CommentTextChar">
    <w:name w:val="Comment Text Char"/>
    <w:basedOn w:val="DefaultParagraphFont"/>
    <w:link w:val="CommentText"/>
    <w:uiPriority w:val="99"/>
    <w:semiHidden/>
    <w:rsid w:val="00D06639"/>
    <w:rPr>
      <w:sz w:val="20"/>
      <w:szCs w:val="20"/>
    </w:rPr>
  </w:style>
  <w:style w:type="paragraph" w:styleId="CommentSubject">
    <w:name w:val="annotation subject"/>
    <w:basedOn w:val="CommentText"/>
    <w:next w:val="CommentText"/>
    <w:link w:val="CommentSubjectChar"/>
    <w:uiPriority w:val="99"/>
    <w:semiHidden/>
    <w:unhideWhenUsed/>
    <w:rsid w:val="00D06639"/>
    <w:rPr>
      <w:b/>
      <w:bCs/>
    </w:rPr>
  </w:style>
  <w:style w:type="character" w:customStyle="1" w:styleId="CommentSubjectChar">
    <w:name w:val="Comment Subject Char"/>
    <w:basedOn w:val="CommentTextChar"/>
    <w:link w:val="CommentSubject"/>
    <w:uiPriority w:val="99"/>
    <w:semiHidden/>
    <w:rsid w:val="00D0663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3086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psanjuan@stanford.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3A0F9E-7507-4757-8651-95D784139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4</Pages>
  <Words>2570</Words>
  <Characters>14649</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Priscilla Ashley San Juan</dc:creator>
  <cp:keywords/>
  <dc:description/>
  <cp:lastModifiedBy>Priscilla Ashley San Juan</cp:lastModifiedBy>
  <cp:revision>11</cp:revision>
  <dcterms:created xsi:type="dcterms:W3CDTF">2020-10-16T03:35:00Z</dcterms:created>
  <dcterms:modified xsi:type="dcterms:W3CDTF">2020-11-14T04:44:00Z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http://www.zotero.org/styles/biomed-central</vt:lpwstr>
  </property>
  <property fmtid="{D5CDD505-2E9C-101B-9397-08002B2CF9AE}" pid="7" name="Mendeley Recent Style Name 2_1">
    <vt:lpwstr>BioMed Central</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http://www.zotero.org/styles/the-isme-journal</vt:lpwstr>
  </property>
  <property fmtid="{D5CDD505-2E9C-101B-9397-08002B2CF9AE}" pid="21" name="Mendeley Recent Style Name 9_1">
    <vt:lpwstr>The ISME Journal</vt:lpwstr>
  </property>
  <property fmtid="{D5CDD505-2E9C-101B-9397-08002B2CF9AE}" pid="22" name="Mendeley Document_1">
    <vt:lpwstr>True</vt:lpwstr>
  </property>
  <property fmtid="{D5CDD505-2E9C-101B-9397-08002B2CF9AE}" pid="23" name="Mendeley Unique User Id_1">
    <vt:lpwstr>69284c98-fc7c-34bb-84bc-03bc0c25c817</vt:lpwstr>
  </property>
  <property fmtid="{D5CDD505-2E9C-101B-9397-08002B2CF9AE}" pid="24" name="Mendeley Citation Style_1">
    <vt:lpwstr>http://www.zotero.org/styles/biomed-central</vt:lpwstr>
  </property>
</Properties>
</file>