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text" w:horzAnchor="margin" w:tblpY="500"/>
        <w:tblW w:w="9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542"/>
        <w:gridCol w:w="1275"/>
        <w:gridCol w:w="142"/>
        <w:gridCol w:w="1416"/>
        <w:gridCol w:w="1275"/>
      </w:tblGrid>
      <w:tr w:rsidR="00942219" w:rsidRPr="00942219" w14:paraId="6C7D1299" w14:textId="77777777">
        <w:trPr>
          <w:trHeight w:val="71"/>
        </w:trPr>
        <w:tc>
          <w:tcPr>
            <w:tcW w:w="156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49F4E4" w14:textId="77777777" w:rsidR="00942219" w:rsidRPr="00942219" w:rsidRDefault="00942219" w:rsidP="00942219">
            <w:pPr>
              <w:spacing w:after="160" w:line="278" w:lineRule="auto"/>
              <w:rPr>
                <w:b/>
                <w:bCs/>
                <w:lang w:val="en-GB"/>
              </w:rPr>
            </w:pPr>
            <w:r w:rsidRPr="00942219">
              <w:rPr>
                <w:b/>
                <w:bCs/>
                <w:lang w:val="en-GB"/>
              </w:rPr>
              <w:t>Class of structural QIs</w:t>
            </w:r>
          </w:p>
        </w:tc>
        <w:tc>
          <w:tcPr>
            <w:tcW w:w="354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44A020" w14:textId="77777777" w:rsidR="00942219" w:rsidRPr="00942219" w:rsidRDefault="00942219" w:rsidP="00942219">
            <w:pPr>
              <w:spacing w:after="160" w:line="278" w:lineRule="auto"/>
              <w:rPr>
                <w:b/>
                <w:bCs/>
                <w:lang w:val="en-GB"/>
              </w:rPr>
            </w:pPr>
            <w:r w:rsidRPr="00942219">
              <w:rPr>
                <w:b/>
                <w:bCs/>
                <w:lang w:val="en-GB"/>
              </w:rPr>
              <w:t>Item</w:t>
            </w:r>
          </w:p>
        </w:tc>
        <w:tc>
          <w:tcPr>
            <w:tcW w:w="4111" w:type="dxa"/>
            <w:gridSpan w:val="4"/>
            <w:vAlign w:val="center"/>
            <w:hideMark/>
          </w:tcPr>
          <w:p w14:paraId="24BFC88A" w14:textId="77777777" w:rsidR="00942219" w:rsidRPr="00942219" w:rsidRDefault="00942219" w:rsidP="00942219">
            <w:pPr>
              <w:spacing w:after="160" w:line="278" w:lineRule="auto"/>
              <w:rPr>
                <w:b/>
                <w:bCs/>
                <w:lang w:val="en-GB"/>
              </w:rPr>
            </w:pPr>
            <w:r w:rsidRPr="00942219">
              <w:rPr>
                <w:b/>
                <w:bCs/>
                <w:lang w:val="en-GB"/>
              </w:rPr>
              <w:t>Sample proportion % (n)</w:t>
            </w:r>
          </w:p>
        </w:tc>
      </w:tr>
      <w:tr w:rsidR="00942219" w:rsidRPr="00942219" w14:paraId="68E2599F" w14:textId="77777777">
        <w:trPr>
          <w:trHeight w:val="71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3F67D4" w14:textId="77777777" w:rsidR="00942219" w:rsidRPr="00942219" w:rsidRDefault="00942219" w:rsidP="00942219">
            <w:pPr>
              <w:spacing w:after="160" w:line="278" w:lineRule="auto"/>
              <w:rPr>
                <w:b/>
                <w:bCs/>
                <w:lang w:val="en-GB"/>
              </w:rPr>
            </w:pPr>
          </w:p>
        </w:tc>
        <w:tc>
          <w:tcPr>
            <w:tcW w:w="35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7EE763" w14:textId="77777777" w:rsidR="00942219" w:rsidRPr="00942219" w:rsidRDefault="00942219" w:rsidP="00942219">
            <w:pPr>
              <w:spacing w:after="160" w:line="278" w:lineRule="auto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7FA3B8" w14:textId="77777777" w:rsidR="00942219" w:rsidRPr="00942219" w:rsidRDefault="00942219" w:rsidP="00942219">
            <w:pPr>
              <w:spacing w:after="160" w:line="278" w:lineRule="auto"/>
              <w:rPr>
                <w:b/>
                <w:bCs/>
                <w:lang w:val="en-GB"/>
              </w:rPr>
            </w:pPr>
            <w:r w:rsidRPr="00942219">
              <w:rPr>
                <w:b/>
                <w:bCs/>
                <w:lang w:val="en-GB"/>
              </w:rPr>
              <w:t>Available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B8B31F" w14:textId="77777777" w:rsidR="00942219" w:rsidRPr="00942219" w:rsidRDefault="00942219" w:rsidP="00942219">
            <w:pPr>
              <w:spacing w:after="160" w:line="278" w:lineRule="auto"/>
              <w:rPr>
                <w:b/>
                <w:bCs/>
                <w:lang w:val="en-GB"/>
              </w:rPr>
            </w:pPr>
            <w:r w:rsidRPr="00942219">
              <w:rPr>
                <w:b/>
                <w:bCs/>
                <w:lang w:val="en-GB"/>
              </w:rPr>
              <w:t>Not available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BC67AE" w14:textId="77777777" w:rsidR="00942219" w:rsidRPr="00942219" w:rsidRDefault="00942219" w:rsidP="00942219">
            <w:pPr>
              <w:spacing w:after="160" w:line="278" w:lineRule="auto"/>
              <w:rPr>
                <w:b/>
                <w:bCs/>
                <w:lang w:val="en-GB"/>
              </w:rPr>
            </w:pPr>
            <w:r w:rsidRPr="00942219">
              <w:rPr>
                <w:b/>
                <w:bCs/>
                <w:lang w:val="en-GB"/>
              </w:rPr>
              <w:t>Unknown</w:t>
            </w:r>
          </w:p>
        </w:tc>
      </w:tr>
      <w:tr w:rsidR="00942219" w:rsidRPr="00942219" w14:paraId="04ECF4C3" w14:textId="77777777">
        <w:trPr>
          <w:trHeight w:val="567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4CEC0"/>
            <w:vAlign w:val="center"/>
            <w:hideMark/>
          </w:tcPr>
          <w:p w14:paraId="4E9519AE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AMS core structures and staffing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4CEC0"/>
            <w:vAlign w:val="center"/>
            <w:hideMark/>
          </w:tcPr>
          <w:p w14:paraId="4906F7C9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AMS team available according to national guideline</w:t>
            </w:r>
            <w:r w:rsidRPr="00942219">
              <w:rPr>
                <w:lang w:val="en-GB"/>
              </w:rPr>
              <w:fldChar w:fldCharType="begin"/>
            </w:r>
            <w:r w:rsidRPr="00942219">
              <w:rPr>
                <w:lang w:val="en-GB"/>
              </w:rPr>
              <w:instrText xml:space="preserve"> ADDIN ZOTERO_ITEM CSL_CITATION {"citationID":"OVajIavJ","properties":{"unsorted":false,"formattedCitation":"\\super 18\\nosupersub{}","plainCitation":"18","noteIndex":0},"citationItems":[{"id":1737,"uris":["http://zotero.org/groups/6261007/items/6IAQ8EJI"],"itemData":{"id":1737,"type":"article-journal","container-title":"Infection","DOI":"10.1007/s15010-016-0885-z","ISSN":"0300-8126, 1439-0973","issue":"3","journalAbbreviation":"Infection","language":"en","page":"395-439","source":"DOI.org (Crossref)","title":"Strategies to enhance rational use of antibiotics in hospital: a guideline by the German Society for Infectious Diseases","title-short":"Strategies to enhance rational use of antibiotics in hospital","volume":"44","author":[{"family":"De With","given":"K."},{"family":"Allerberger","given":"F."},{"family":"Amann","given":"S."},{"family":"Apfalter","given":"P."},{"family":"Brodt","given":"H.-R."},{"family":"Eckmanns","given":"T."},{"family":"Fellhauer","given":"M."},{"family":"Geiss","given":"H. K."},{"family":"Janata","given":"O."},{"family":"Krause","given":"R."},{"family":"Lemmen","given":"S."},{"family":"Meyer","given":"E."},{"family":"Mittermayer","given":"H."},{"family":"Porsche","given":"U."},{"family":"Presterl","given":"E."},{"family":"Reuter","given":"S."},{"family":"Sinha","given":"B."},{"family":"Strauß","given":"R."},{"family":"Wechsler-Fördös","given":"A."},{"family":"Wenisch","given":"C."},{"family":"Kern","given":"W. V."}],"issued":{"date-parts":[["2016",6]]}}}],"schema":"https://github.com/citation-style-language/schema/raw/master/csl-citation.json"} </w:instrText>
            </w:r>
            <w:r w:rsidRPr="00942219">
              <w:rPr>
                <w:lang w:val="en-GB"/>
              </w:rPr>
              <w:fldChar w:fldCharType="separate"/>
            </w:r>
            <w:r w:rsidRPr="00942219">
              <w:rPr>
                <w:vertAlign w:val="superscript"/>
                <w:lang w:val="en-US"/>
              </w:rPr>
              <w:t>18</w:t>
            </w:r>
            <w:r w:rsidRPr="00942219">
              <w:fldChar w:fldCharType="end"/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4CEC0"/>
            <w:vAlign w:val="center"/>
            <w:hideMark/>
          </w:tcPr>
          <w:p w14:paraId="2B5CB01D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59% (149)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4CEC0"/>
            <w:vAlign w:val="center"/>
            <w:hideMark/>
          </w:tcPr>
          <w:p w14:paraId="1DDD1710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40% (101)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4CEC0"/>
            <w:vAlign w:val="center"/>
            <w:hideMark/>
          </w:tcPr>
          <w:p w14:paraId="45CA8213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1% (3)</w:t>
            </w:r>
          </w:p>
        </w:tc>
      </w:tr>
      <w:tr w:rsidR="00942219" w:rsidRPr="00942219" w14:paraId="7FB89711" w14:textId="77777777">
        <w:trPr>
          <w:trHeight w:val="567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7698DC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4CEC0"/>
            <w:vAlign w:val="center"/>
            <w:hideMark/>
          </w:tcPr>
          <w:p w14:paraId="0DD2F65C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 xml:space="preserve">Funded staff position or protected time for AMS activities </w:t>
            </w:r>
            <w:r w:rsidRPr="00942219">
              <w:rPr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4CEC0"/>
            <w:vAlign w:val="center"/>
            <w:hideMark/>
          </w:tcPr>
          <w:p w14:paraId="7141D101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36% (92)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4CEC0"/>
            <w:vAlign w:val="center"/>
            <w:hideMark/>
          </w:tcPr>
          <w:p w14:paraId="04FC0C4D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54% (136)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4CEC0"/>
            <w:vAlign w:val="center"/>
            <w:hideMark/>
          </w:tcPr>
          <w:p w14:paraId="5470A00B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10% (25)</w:t>
            </w:r>
          </w:p>
        </w:tc>
      </w:tr>
      <w:tr w:rsidR="00942219" w:rsidRPr="00942219" w14:paraId="7F0B8970" w14:textId="77777777">
        <w:trPr>
          <w:trHeight w:val="567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6C5AC" w:themeFill="accent2" w:themeFillTint="66"/>
            <w:vAlign w:val="center"/>
            <w:hideMark/>
          </w:tcPr>
          <w:p w14:paraId="6788558B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Bedside AMS interventions (consultations and ward rounds)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  <w:hideMark/>
          </w:tcPr>
          <w:p w14:paraId="7446A4C3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Regular AMS ward rounds on intensive care units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  <w:hideMark/>
          </w:tcPr>
          <w:p w14:paraId="552BC2ED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57% (143)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  <w:hideMark/>
          </w:tcPr>
          <w:p w14:paraId="0AE1E221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43% (108)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6C5AC" w:themeFill="accent2" w:themeFillTint="66"/>
            <w:vAlign w:val="center"/>
            <w:hideMark/>
          </w:tcPr>
          <w:p w14:paraId="16ACD246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1% (2)</w:t>
            </w:r>
          </w:p>
        </w:tc>
      </w:tr>
      <w:tr w:rsidR="00942219" w:rsidRPr="00942219" w14:paraId="6B6236CF" w14:textId="77777777">
        <w:trPr>
          <w:trHeight w:val="567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A48EDC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543" w:type="dxa"/>
            <w:shd w:val="clear" w:color="auto" w:fill="F6C5AC" w:themeFill="accent2" w:themeFillTint="66"/>
            <w:vAlign w:val="center"/>
            <w:hideMark/>
          </w:tcPr>
          <w:p w14:paraId="5C0993D1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Regular AMS ward rounds on general wards</w:t>
            </w:r>
          </w:p>
        </w:tc>
        <w:tc>
          <w:tcPr>
            <w:tcW w:w="1418" w:type="dxa"/>
            <w:gridSpan w:val="2"/>
            <w:shd w:val="clear" w:color="auto" w:fill="F6C5AC" w:themeFill="accent2" w:themeFillTint="66"/>
            <w:vAlign w:val="center"/>
            <w:hideMark/>
          </w:tcPr>
          <w:p w14:paraId="7678A98A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46% (117)</w:t>
            </w:r>
          </w:p>
        </w:tc>
        <w:tc>
          <w:tcPr>
            <w:tcW w:w="1417" w:type="dxa"/>
            <w:shd w:val="clear" w:color="auto" w:fill="F6C5AC" w:themeFill="accent2" w:themeFillTint="66"/>
            <w:vAlign w:val="center"/>
            <w:hideMark/>
          </w:tcPr>
          <w:p w14:paraId="0E0D1390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51% (130)</w:t>
            </w:r>
          </w:p>
        </w:tc>
        <w:tc>
          <w:tcPr>
            <w:tcW w:w="1276" w:type="dxa"/>
            <w:shd w:val="clear" w:color="auto" w:fill="F6C5AC" w:themeFill="accent2" w:themeFillTint="66"/>
            <w:vAlign w:val="center"/>
            <w:hideMark/>
          </w:tcPr>
          <w:p w14:paraId="26B43BAE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2% (6)</w:t>
            </w:r>
          </w:p>
        </w:tc>
      </w:tr>
      <w:tr w:rsidR="00942219" w:rsidRPr="00942219" w14:paraId="5551601E" w14:textId="77777777">
        <w:trPr>
          <w:trHeight w:val="567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DD90AC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6C5AC" w:themeFill="accent2" w:themeFillTint="66"/>
            <w:vAlign w:val="center"/>
            <w:hideMark/>
          </w:tcPr>
          <w:p w14:paraId="1C03D880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Infectious disease consultation service available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6C5AC" w:themeFill="accent2" w:themeFillTint="66"/>
            <w:vAlign w:val="center"/>
            <w:hideMark/>
          </w:tcPr>
          <w:p w14:paraId="5A955AF3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60% (152)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6C5AC" w:themeFill="accent2" w:themeFillTint="66"/>
            <w:vAlign w:val="center"/>
            <w:hideMark/>
          </w:tcPr>
          <w:p w14:paraId="2ECEFBD0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38% (96)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6C5AC" w:themeFill="accent2" w:themeFillTint="66"/>
            <w:vAlign w:val="center"/>
            <w:hideMark/>
          </w:tcPr>
          <w:p w14:paraId="559F24BE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2% (5)</w:t>
            </w:r>
          </w:p>
        </w:tc>
      </w:tr>
      <w:tr w:rsidR="00942219" w:rsidRPr="00942219" w14:paraId="6BDF15ED" w14:textId="77777777">
        <w:trPr>
          <w:trHeight w:val="567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EB4D6"/>
            <w:vAlign w:val="center"/>
            <w:hideMark/>
          </w:tcPr>
          <w:p w14:paraId="2DE14999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Digital prescribing and reporting systems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EB4D6"/>
            <w:vAlign w:val="center"/>
            <w:hideMark/>
          </w:tcPr>
          <w:p w14:paraId="36D13F3C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 xml:space="preserve">Reporting system for prescription of selected antibiotics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EB4D6"/>
            <w:vAlign w:val="center"/>
            <w:hideMark/>
          </w:tcPr>
          <w:p w14:paraId="1473B3AC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25% (64)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EB4D6"/>
            <w:vAlign w:val="center"/>
            <w:hideMark/>
          </w:tcPr>
          <w:p w14:paraId="35C07CEA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65% (165)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EB4D6"/>
            <w:vAlign w:val="center"/>
            <w:hideMark/>
          </w:tcPr>
          <w:p w14:paraId="3484F606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10% (24)</w:t>
            </w:r>
          </w:p>
        </w:tc>
      </w:tr>
      <w:tr w:rsidR="00942219" w:rsidRPr="00942219" w14:paraId="321AA4CB" w14:textId="77777777">
        <w:trPr>
          <w:trHeight w:val="567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590574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543" w:type="dxa"/>
            <w:shd w:val="clear" w:color="auto" w:fill="8EB4D6"/>
            <w:vAlign w:val="center"/>
            <w:hideMark/>
          </w:tcPr>
          <w:p w14:paraId="3A3323C2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Reporting system for bloodstream infections</w:t>
            </w:r>
          </w:p>
        </w:tc>
        <w:tc>
          <w:tcPr>
            <w:tcW w:w="1418" w:type="dxa"/>
            <w:gridSpan w:val="2"/>
            <w:shd w:val="clear" w:color="auto" w:fill="8EB4D6"/>
            <w:vAlign w:val="center"/>
            <w:hideMark/>
          </w:tcPr>
          <w:p w14:paraId="56EFA38A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38% (95)</w:t>
            </w:r>
          </w:p>
        </w:tc>
        <w:tc>
          <w:tcPr>
            <w:tcW w:w="1417" w:type="dxa"/>
            <w:shd w:val="clear" w:color="auto" w:fill="8EB4D6"/>
            <w:vAlign w:val="center"/>
            <w:hideMark/>
          </w:tcPr>
          <w:p w14:paraId="4261CBB6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56% (142)</w:t>
            </w:r>
          </w:p>
        </w:tc>
        <w:tc>
          <w:tcPr>
            <w:tcW w:w="1276" w:type="dxa"/>
            <w:shd w:val="clear" w:color="auto" w:fill="8EB4D6"/>
            <w:vAlign w:val="center"/>
            <w:hideMark/>
          </w:tcPr>
          <w:p w14:paraId="3CD0D225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6% (16)</w:t>
            </w:r>
          </w:p>
        </w:tc>
      </w:tr>
      <w:tr w:rsidR="00942219" w:rsidRPr="00942219" w14:paraId="5FE790CD" w14:textId="77777777">
        <w:trPr>
          <w:trHeight w:val="785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30C0EF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B4D6"/>
            <w:vAlign w:val="center"/>
            <w:hideMark/>
          </w:tcPr>
          <w:p w14:paraId="40666BB6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 xml:space="preserve">Comprehensive use of electronic prescribing system </w:t>
            </w:r>
            <w:r w:rsidRPr="00942219">
              <w:rPr>
                <w:vertAlign w:val="superscript"/>
                <w:lang w:val="en-GB"/>
              </w:rPr>
              <w:t>b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B4D6"/>
            <w:vAlign w:val="center"/>
            <w:hideMark/>
          </w:tcPr>
          <w:p w14:paraId="343F0B9F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52% (131)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B4D6"/>
            <w:vAlign w:val="center"/>
            <w:hideMark/>
          </w:tcPr>
          <w:p w14:paraId="71AD98D1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48% (122)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B4D6"/>
            <w:vAlign w:val="center"/>
            <w:hideMark/>
          </w:tcPr>
          <w:p w14:paraId="2BCC83C3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0.0% (0)</w:t>
            </w:r>
          </w:p>
        </w:tc>
      </w:tr>
      <w:tr w:rsidR="00942219" w:rsidRPr="00942219" w14:paraId="73CFA6D3" w14:textId="77777777">
        <w:trPr>
          <w:trHeight w:val="567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A3CC"/>
            <w:vAlign w:val="center"/>
            <w:hideMark/>
          </w:tcPr>
          <w:p w14:paraId="51AAF4D1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Prescribing policies and documentation requirements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A3CC"/>
            <w:vAlign w:val="center"/>
            <w:hideMark/>
          </w:tcPr>
          <w:p w14:paraId="267EE8CB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Selective antibiogram reporting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A3CC"/>
            <w:vAlign w:val="center"/>
            <w:hideMark/>
          </w:tcPr>
          <w:p w14:paraId="6DB578AD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45% (114)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A3CC"/>
            <w:vAlign w:val="center"/>
            <w:hideMark/>
          </w:tcPr>
          <w:p w14:paraId="65E3893E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49% (124)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A3CC"/>
            <w:vAlign w:val="center"/>
            <w:hideMark/>
          </w:tcPr>
          <w:p w14:paraId="65150E3A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6% (15)</w:t>
            </w:r>
          </w:p>
        </w:tc>
      </w:tr>
      <w:tr w:rsidR="00942219" w:rsidRPr="00942219" w14:paraId="29BB9D94" w14:textId="77777777">
        <w:trPr>
          <w:trHeight w:val="803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3FF21B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543" w:type="dxa"/>
            <w:shd w:val="clear" w:color="auto" w:fill="D9A3CC"/>
            <w:vAlign w:val="center"/>
            <w:hideMark/>
          </w:tcPr>
          <w:p w14:paraId="30379641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Mandatory, documented reassessment of antibiotic therapy after 48-72 hours</w:t>
            </w:r>
          </w:p>
        </w:tc>
        <w:tc>
          <w:tcPr>
            <w:tcW w:w="1418" w:type="dxa"/>
            <w:gridSpan w:val="2"/>
            <w:shd w:val="clear" w:color="auto" w:fill="D9A3CC"/>
            <w:vAlign w:val="center"/>
            <w:hideMark/>
          </w:tcPr>
          <w:p w14:paraId="5F8C080A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12% (29)</w:t>
            </w:r>
          </w:p>
        </w:tc>
        <w:tc>
          <w:tcPr>
            <w:tcW w:w="1417" w:type="dxa"/>
            <w:shd w:val="clear" w:color="auto" w:fill="D9A3CC"/>
            <w:vAlign w:val="center"/>
            <w:hideMark/>
          </w:tcPr>
          <w:p w14:paraId="1A1D5A5A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85% (215)</w:t>
            </w:r>
          </w:p>
        </w:tc>
        <w:tc>
          <w:tcPr>
            <w:tcW w:w="1276" w:type="dxa"/>
            <w:shd w:val="clear" w:color="auto" w:fill="D9A3CC"/>
            <w:vAlign w:val="center"/>
            <w:hideMark/>
          </w:tcPr>
          <w:p w14:paraId="731FE5B1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4% (9)</w:t>
            </w:r>
          </w:p>
        </w:tc>
      </w:tr>
      <w:tr w:rsidR="00942219" w:rsidRPr="00942219" w14:paraId="54A0514E" w14:textId="77777777">
        <w:trPr>
          <w:trHeight w:val="567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990E5C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A3CC"/>
            <w:vAlign w:val="center"/>
            <w:hideMark/>
          </w:tcPr>
          <w:p w14:paraId="13C89FDD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Mandatory documentation of indication for antibiotic prescription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A3CC"/>
            <w:vAlign w:val="center"/>
            <w:hideMark/>
          </w:tcPr>
          <w:p w14:paraId="12A99CDB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25% (64)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A3CC"/>
            <w:vAlign w:val="center"/>
            <w:hideMark/>
          </w:tcPr>
          <w:p w14:paraId="0FF3408C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71% (180)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A3CC"/>
            <w:vAlign w:val="center"/>
            <w:hideMark/>
          </w:tcPr>
          <w:p w14:paraId="01FFFD2D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4% (9)</w:t>
            </w:r>
          </w:p>
        </w:tc>
      </w:tr>
      <w:tr w:rsidR="00942219" w:rsidRPr="00942219" w14:paraId="707D4984" w14:textId="77777777">
        <w:trPr>
          <w:trHeight w:val="567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DE75"/>
            <w:vAlign w:val="center"/>
            <w:hideMark/>
          </w:tcPr>
          <w:p w14:paraId="255C12C1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 xml:space="preserve">Surveillance and </w:t>
            </w:r>
            <w:r w:rsidRPr="00942219">
              <w:rPr>
                <w:lang w:val="en-GB"/>
              </w:rPr>
              <w:lastRenderedPageBreak/>
              <w:t>feedback of antibiotic use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7DE75"/>
            <w:vAlign w:val="center"/>
            <w:hideMark/>
          </w:tcPr>
          <w:p w14:paraId="5848326E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lastRenderedPageBreak/>
              <w:t>Antibiotic consumption data evaluated by department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7DE75"/>
            <w:vAlign w:val="center"/>
            <w:hideMark/>
          </w:tcPr>
          <w:p w14:paraId="64C38844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53% (134)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7DE75"/>
            <w:vAlign w:val="center"/>
            <w:hideMark/>
          </w:tcPr>
          <w:p w14:paraId="3C4F7E88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18% (45)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7DE75"/>
            <w:vAlign w:val="center"/>
            <w:hideMark/>
          </w:tcPr>
          <w:p w14:paraId="50B5FB7A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29% (74)</w:t>
            </w:r>
            <w:r w:rsidRPr="00942219">
              <w:rPr>
                <w:vertAlign w:val="superscript"/>
                <w:lang w:val="en-GB"/>
              </w:rPr>
              <w:t>c</w:t>
            </w:r>
          </w:p>
        </w:tc>
      </w:tr>
      <w:tr w:rsidR="00942219" w:rsidRPr="00942219" w14:paraId="460C955E" w14:textId="77777777">
        <w:trPr>
          <w:trHeight w:val="567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7A30C3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543" w:type="dxa"/>
            <w:shd w:val="clear" w:color="auto" w:fill="F7DE75"/>
            <w:vAlign w:val="center"/>
            <w:hideMark/>
          </w:tcPr>
          <w:p w14:paraId="17AD5A38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Antibiotic consumption density evaluated</w:t>
            </w:r>
          </w:p>
        </w:tc>
        <w:tc>
          <w:tcPr>
            <w:tcW w:w="1418" w:type="dxa"/>
            <w:gridSpan w:val="2"/>
            <w:shd w:val="clear" w:color="auto" w:fill="F7DE75"/>
            <w:vAlign w:val="center"/>
            <w:hideMark/>
          </w:tcPr>
          <w:p w14:paraId="706AE4B7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86% (218)</w:t>
            </w:r>
          </w:p>
        </w:tc>
        <w:tc>
          <w:tcPr>
            <w:tcW w:w="1417" w:type="dxa"/>
            <w:shd w:val="clear" w:color="auto" w:fill="F7DE75"/>
            <w:vAlign w:val="center"/>
            <w:hideMark/>
          </w:tcPr>
          <w:p w14:paraId="4FD54088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14% (35)</w:t>
            </w:r>
          </w:p>
        </w:tc>
        <w:tc>
          <w:tcPr>
            <w:tcW w:w="1276" w:type="dxa"/>
            <w:shd w:val="clear" w:color="auto" w:fill="F7DE75"/>
            <w:vAlign w:val="center"/>
            <w:hideMark/>
          </w:tcPr>
          <w:p w14:paraId="43198B94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0% (0)</w:t>
            </w:r>
          </w:p>
        </w:tc>
      </w:tr>
      <w:tr w:rsidR="00942219" w:rsidRPr="00942219" w14:paraId="60819C37" w14:textId="77777777">
        <w:trPr>
          <w:trHeight w:val="567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CB0080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543" w:type="dxa"/>
            <w:shd w:val="clear" w:color="auto" w:fill="F7DE75"/>
            <w:vAlign w:val="center"/>
            <w:hideMark/>
          </w:tcPr>
          <w:p w14:paraId="65DF2808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Systematic prescription surveys within the last 12 months (any form)</w:t>
            </w:r>
          </w:p>
        </w:tc>
        <w:tc>
          <w:tcPr>
            <w:tcW w:w="1418" w:type="dxa"/>
            <w:gridSpan w:val="2"/>
            <w:shd w:val="clear" w:color="auto" w:fill="F7DE75"/>
            <w:vAlign w:val="center"/>
            <w:hideMark/>
          </w:tcPr>
          <w:p w14:paraId="3D0FACB9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38% (96)</w:t>
            </w:r>
          </w:p>
        </w:tc>
        <w:tc>
          <w:tcPr>
            <w:tcW w:w="1417" w:type="dxa"/>
            <w:shd w:val="clear" w:color="auto" w:fill="F7DE75"/>
            <w:vAlign w:val="center"/>
            <w:hideMark/>
          </w:tcPr>
          <w:p w14:paraId="1D620BAD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46% (117)</w:t>
            </w:r>
          </w:p>
        </w:tc>
        <w:tc>
          <w:tcPr>
            <w:tcW w:w="1276" w:type="dxa"/>
            <w:shd w:val="clear" w:color="auto" w:fill="F7DE75"/>
            <w:vAlign w:val="center"/>
            <w:hideMark/>
          </w:tcPr>
          <w:p w14:paraId="5566B6DA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16% (40)</w:t>
            </w:r>
          </w:p>
        </w:tc>
      </w:tr>
      <w:tr w:rsidR="00942219" w:rsidRPr="00942219" w14:paraId="7A865FF5" w14:textId="77777777">
        <w:trPr>
          <w:trHeight w:val="567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52CDB5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543" w:type="dxa"/>
            <w:shd w:val="clear" w:color="auto" w:fill="F7DE75"/>
            <w:vAlign w:val="center"/>
            <w:hideMark/>
          </w:tcPr>
          <w:p w14:paraId="6EAA8FE3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Point or period prevalence analyses of prescriptions for intensive care units</w:t>
            </w:r>
          </w:p>
        </w:tc>
        <w:tc>
          <w:tcPr>
            <w:tcW w:w="1418" w:type="dxa"/>
            <w:gridSpan w:val="2"/>
            <w:shd w:val="clear" w:color="auto" w:fill="F7DE75"/>
            <w:vAlign w:val="center"/>
            <w:hideMark/>
          </w:tcPr>
          <w:p w14:paraId="205EF054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24% (61)</w:t>
            </w:r>
          </w:p>
        </w:tc>
        <w:tc>
          <w:tcPr>
            <w:tcW w:w="1417" w:type="dxa"/>
            <w:shd w:val="clear" w:color="auto" w:fill="F7DE75"/>
            <w:vAlign w:val="center"/>
            <w:hideMark/>
          </w:tcPr>
          <w:p w14:paraId="7536798A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74% (187)</w:t>
            </w:r>
          </w:p>
        </w:tc>
        <w:tc>
          <w:tcPr>
            <w:tcW w:w="1276" w:type="dxa"/>
            <w:shd w:val="clear" w:color="auto" w:fill="F7DE75"/>
            <w:vAlign w:val="center"/>
            <w:hideMark/>
          </w:tcPr>
          <w:p w14:paraId="45E197B9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2% (5)</w:t>
            </w:r>
          </w:p>
        </w:tc>
      </w:tr>
      <w:tr w:rsidR="00942219" w:rsidRPr="00942219" w14:paraId="429E191E" w14:textId="77777777">
        <w:trPr>
          <w:trHeight w:val="567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1C2C59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543" w:type="dxa"/>
            <w:shd w:val="clear" w:color="auto" w:fill="F7DE75"/>
            <w:vAlign w:val="center"/>
            <w:hideMark/>
          </w:tcPr>
          <w:p w14:paraId="23DE0D01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Point or period prevalence analyses of prescriptions for general wards</w:t>
            </w:r>
          </w:p>
        </w:tc>
        <w:tc>
          <w:tcPr>
            <w:tcW w:w="1418" w:type="dxa"/>
            <w:gridSpan w:val="2"/>
            <w:shd w:val="clear" w:color="auto" w:fill="F7DE75"/>
            <w:vAlign w:val="center"/>
            <w:hideMark/>
          </w:tcPr>
          <w:p w14:paraId="18A59B75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26% (65)</w:t>
            </w:r>
          </w:p>
        </w:tc>
        <w:tc>
          <w:tcPr>
            <w:tcW w:w="1417" w:type="dxa"/>
            <w:shd w:val="clear" w:color="auto" w:fill="F7DE75"/>
            <w:vAlign w:val="center"/>
            <w:hideMark/>
          </w:tcPr>
          <w:p w14:paraId="2449A4E8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70% (178)</w:t>
            </w:r>
          </w:p>
        </w:tc>
        <w:tc>
          <w:tcPr>
            <w:tcW w:w="1276" w:type="dxa"/>
            <w:shd w:val="clear" w:color="auto" w:fill="F7DE75"/>
            <w:vAlign w:val="center"/>
            <w:hideMark/>
          </w:tcPr>
          <w:p w14:paraId="3848241C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4% (10)</w:t>
            </w:r>
          </w:p>
        </w:tc>
      </w:tr>
      <w:tr w:rsidR="00942219" w:rsidRPr="00942219" w14:paraId="7160A152" w14:textId="77777777">
        <w:trPr>
          <w:trHeight w:val="783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3670A9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7DE75"/>
            <w:vAlign w:val="center"/>
            <w:hideMark/>
          </w:tcPr>
          <w:p w14:paraId="318CD84A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Presentation of consumption data for infection prevention and control or drug and therapeutics committee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7DE75"/>
            <w:vAlign w:val="center"/>
            <w:hideMark/>
          </w:tcPr>
          <w:p w14:paraId="03526102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82% (207)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7DE75"/>
            <w:vAlign w:val="center"/>
            <w:hideMark/>
          </w:tcPr>
          <w:p w14:paraId="0A604034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10% (25)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7DE75"/>
            <w:vAlign w:val="center"/>
            <w:hideMark/>
          </w:tcPr>
          <w:p w14:paraId="298BC065" w14:textId="77777777" w:rsidR="00942219" w:rsidRPr="00942219" w:rsidRDefault="00942219" w:rsidP="00942219">
            <w:pPr>
              <w:spacing w:after="160" w:line="278" w:lineRule="auto"/>
              <w:rPr>
                <w:lang w:val="en-GB"/>
              </w:rPr>
            </w:pPr>
            <w:r w:rsidRPr="00942219">
              <w:rPr>
                <w:lang w:val="en-GB"/>
              </w:rPr>
              <w:t>8% (21)</w:t>
            </w:r>
          </w:p>
        </w:tc>
      </w:tr>
    </w:tbl>
    <w:p w14:paraId="2319B20D" w14:textId="1BE18246" w:rsidR="00942219" w:rsidRPr="00942219" w:rsidRDefault="00942219" w:rsidP="00942219">
      <w:pPr>
        <w:rPr>
          <w:b/>
          <w:lang w:val="en-GB"/>
        </w:rPr>
      </w:pPr>
      <w:r w:rsidRPr="00942219">
        <w:rPr>
          <w:b/>
          <w:lang w:val="en-GB"/>
        </w:rPr>
        <w:t xml:space="preserve"> </w:t>
      </w:r>
    </w:p>
    <w:p w14:paraId="2BD06422" w14:textId="77777777" w:rsidR="00942219" w:rsidRPr="00942219" w:rsidRDefault="00942219" w:rsidP="00942219">
      <w:pPr>
        <w:rPr>
          <w:lang w:val="en-GB"/>
        </w:rPr>
      </w:pPr>
      <w:bookmarkStart w:id="0" w:name="_Ref225948697"/>
      <w:r w:rsidRPr="00942219">
        <w:rPr>
          <w:b/>
          <w:bCs/>
          <w:lang w:val="en-GB"/>
        </w:rPr>
        <w:t xml:space="preserve">Table </w:t>
      </w:r>
      <w:r w:rsidRPr="00942219">
        <w:rPr>
          <w:i/>
          <w:iCs/>
          <w:lang w:val="de-DE"/>
        </w:rPr>
        <w:fldChar w:fldCharType="begin"/>
      </w:r>
      <w:r w:rsidRPr="00942219">
        <w:rPr>
          <w:b/>
          <w:bCs/>
          <w:lang w:val="en-GB"/>
        </w:rPr>
        <w:instrText xml:space="preserve"> SEQ Table \* ARABIC </w:instrText>
      </w:r>
      <w:r w:rsidRPr="00942219">
        <w:rPr>
          <w:i/>
          <w:iCs/>
          <w:lang w:val="de-DE"/>
        </w:rPr>
        <w:fldChar w:fldCharType="separate"/>
      </w:r>
      <w:r w:rsidRPr="00942219">
        <w:rPr>
          <w:b/>
          <w:bCs/>
          <w:lang w:val="en-GB"/>
        </w:rPr>
        <w:t>2</w:t>
      </w:r>
      <w:r w:rsidRPr="00942219">
        <w:fldChar w:fldCharType="end"/>
      </w:r>
      <w:bookmarkEnd w:id="0"/>
      <w:r w:rsidRPr="00942219">
        <w:rPr>
          <w:b/>
          <w:bCs/>
          <w:lang w:val="en-GB"/>
        </w:rPr>
        <w:t>: Structural AMS QIs assessed in German hospitals in 2024 (relative and absolute frequencies).</w:t>
      </w:r>
      <w:r w:rsidRPr="00942219">
        <w:rPr>
          <w:lang w:val="en-GB"/>
        </w:rPr>
        <w:t xml:space="preserve"> These indicators were used to derive AMS implementation profiles. Prior to analysis, items with low variance (≥ 95% identical responses) and items with high intercorrelation (Spearman’s ρ &gt; 0.9) were excluded. Relative frequencies are reported based on the total sample of 253 hospitals. Colours encode the thematic class of structural QIs and were assigned to improve clarity and readability. </w:t>
      </w:r>
      <w:proofErr w:type="spellStart"/>
      <w:r w:rsidRPr="00942219">
        <w:rPr>
          <w:i/>
          <w:iCs/>
          <w:lang w:val="en-GB"/>
        </w:rPr>
        <w:t>a</w:t>
      </w:r>
      <w:proofErr w:type="spellEnd"/>
      <w:r w:rsidRPr="00942219">
        <w:rPr>
          <w:lang w:val="en-GB"/>
        </w:rPr>
        <w:t xml:space="preserve"> This QI was defined as fulfilled if any level of staff time was allocated. Applying guideline-recommended staffing thresholds of 1.5 full-time equivalents would have reduced the proportion of hospitals fulfilling this criterion to 4%. </w:t>
      </w:r>
      <w:r w:rsidRPr="00942219">
        <w:rPr>
          <w:i/>
          <w:iCs/>
          <w:lang w:val="en-GB"/>
        </w:rPr>
        <w:t>b</w:t>
      </w:r>
      <w:r w:rsidRPr="00942219">
        <w:rPr>
          <w:lang w:val="en-GB"/>
        </w:rPr>
        <w:t xml:space="preserve"> Comprehensive use is defined as &gt; 90% of general wards. </w:t>
      </w:r>
      <w:r w:rsidRPr="00942219">
        <w:rPr>
          <w:i/>
          <w:iCs/>
          <w:lang w:val="en-GB"/>
        </w:rPr>
        <w:t xml:space="preserve">c </w:t>
      </w:r>
      <w:r w:rsidRPr="00942219">
        <w:rPr>
          <w:lang w:val="en-GB"/>
        </w:rPr>
        <w:t xml:space="preserve">Proportion and frequency refer to category “partly” instead of “unknown”. </w:t>
      </w:r>
    </w:p>
    <w:p w14:paraId="5291D62D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19"/>
    <w:rsid w:val="00022683"/>
    <w:rsid w:val="00767E38"/>
    <w:rsid w:val="00866F7D"/>
    <w:rsid w:val="00942219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79ADA"/>
  <w15:chartTrackingRefBased/>
  <w15:docId w15:val="{9333D3A3-4D5A-4454-8AC8-B2E4F425E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2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2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2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2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2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2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2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2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2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2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2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2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2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2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2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2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2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2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2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2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2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2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2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2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2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2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2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2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2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3662</Characters>
  <Application>Microsoft Office Word</Application>
  <DocSecurity>0</DocSecurity>
  <Lines>30</Lines>
  <Paragraphs>8</Paragraphs>
  <ScaleCrop>false</ScaleCrop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2026-10-14T13:38:00Z</dcterms:created>
  <dcterms:modified xsi:type="dcterms:W3CDTF">2026-10-14T13:38:00Z</dcterms:modified>
</cp:coreProperties>
</file>