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CB323" w14:textId="77777777" w:rsidR="00A45E25" w:rsidRPr="00997F7B" w:rsidRDefault="00A45E25" w:rsidP="00A45E25">
      <w:pPr>
        <w:spacing w:after="0" w:line="360" w:lineRule="auto"/>
        <w:jc w:val="both"/>
        <w:rPr>
          <w:b/>
          <w:bCs/>
        </w:rPr>
      </w:pPr>
      <w:r w:rsidRPr="00997F7B">
        <w:rPr>
          <w:rFonts w:eastAsia="思源黑体"/>
          <w:b/>
          <w:bCs/>
        </w:rPr>
        <w:t>Supplementary material</w:t>
      </w:r>
    </w:p>
    <w:p w14:paraId="4A413369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Figure S1. Architecture of the shared-weight four-input LSTM.</w:t>
      </w:r>
    </w:p>
    <w:p w14:paraId="425E19FD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Figure S2. Schematic of the front-face fluorescence measurement system.</w:t>
      </w:r>
    </w:p>
    <w:p w14:paraId="2F17C665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Figure S3. Biochemical dose-response across the gravimetric adulteration series.</w:t>
      </w:r>
    </w:p>
    <w:p w14:paraId="3E22CF1B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S1. Instrumentation and acquisition parameters, including the candidate emission-channel windows of the four excitation slices.</w:t>
      </w:r>
    </w:p>
    <w:p w14:paraId="58702469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S2. Full RMSECV grid for the preprocessing comparison (basis of Section 3.2).</w:t>
      </w:r>
    </w:p>
    <w:p w14:paraId="6131B5AC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S3. Variable-selection methods ranked by RMSECV, with the distribution and stability of the 86 CARS-selected channels (basis of Sections 2.4 and 3.2).</w:t>
      </w:r>
    </w:p>
    <w:p w14:paraId="4B13660B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S4. Specificity of the LSTM model against four categories of non-lymphatic interferent (basis of Section 3.4).</w:t>
      </w:r>
    </w:p>
    <w:p w14:paraId="423E96AD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S5. Biochemical validation of the SHAP-identified spectral features at the two extremes of the adulteration range, with assay methods and in-house verification (basis of Sections 2.6 and 3.6).</w:t>
      </w:r>
    </w:p>
    <w:p w14:paraId="76274D27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S6. Biochemical dose series across the gravimetric adulteration range (basis of Sections 2.6 and 3.6).</w:t>
      </w:r>
    </w:p>
    <w:p w14:paraId="5CC7B6FE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S7. Outlier detection by Monte Carlo cross-validation (basis of Section 2.3).</w:t>
      </w:r>
    </w:p>
    <w:p w14:paraId="74C428C7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S8. Kennard-Stone partitioning and validation-subset selection (basis of Section 2.3).</w:t>
      </w:r>
    </w:p>
    <w:p w14:paraId="245D59D3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S9. Low-range (0-5% w/w) calibration data used for the LOD/LOQ calculation, with sensitivity analyses (basis of Sections 2.7 and 3.7).</w:t>
      </w:r>
    </w:p>
    <w:p w14:paraId="2C4BAD20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S10. LSTM hyperparameter grid, stability assessment and selected configuration (basis of Section 2.5).</w:t>
      </w:r>
    </w:p>
    <w:p w14:paraId="6E3D6450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S11. Per-condition interferent predictions of the single-excitation ablation models (basis of Table 3 and Section 3.5).</w:t>
      </w:r>
    </w:p>
    <w:p w14:paraId="443E3A0A" w14:textId="77777777" w:rsidR="00A45E25" w:rsidRPr="00997F7B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S12. Point estimates and approximate 95% confidence intervals for R²P, RMSEP and RPD (basis of Table 2 and Section 3.3).</w:t>
      </w:r>
    </w:p>
    <w:p w14:paraId="2245578B" w14:textId="77777777" w:rsidR="00A45E25" w:rsidRPr="00B52F20" w:rsidRDefault="00A45E25" w:rsidP="00A45E25">
      <w:pPr>
        <w:pStyle w:val="ListBullet"/>
        <w:tabs>
          <w:tab w:val="num" w:pos="360"/>
        </w:tabs>
        <w:ind w:left="360" w:hanging="360"/>
        <w:jc w:val="both"/>
      </w:pPr>
      <w:r w:rsidRPr="00997F7B">
        <w:t>Table S13. Distribution of preparations across the design cells (basis of Section 2.1).</w:t>
      </w:r>
    </w:p>
    <w:p w14:paraId="287CBD4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思源黑体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460B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31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25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45E25"/>
    <w:rsid w:val="00B10170"/>
    <w:rsid w:val="00B260B7"/>
    <w:rsid w:val="00B54422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C8DC5"/>
  <w15:chartTrackingRefBased/>
  <w15:docId w15:val="{6BFA20A5-D473-4750-B328-DBC85866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E25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E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E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E25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A45E25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2026-10-19T18:16:00Z</dcterms:created>
  <dcterms:modified xsi:type="dcterms:W3CDTF">2026-10-19T18:16:00Z</dcterms:modified>
</cp:coreProperties>
</file>