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F2A022" w14:textId="77777777" w:rsidR="002432D7" w:rsidRPr="004569D3" w:rsidRDefault="00000000">
      <w:pPr>
        <w:spacing w:after="140" w:line="260" w:lineRule="auto"/>
        <w:rPr>
          <w:lang w:val="en-US"/>
        </w:rPr>
      </w:pPr>
      <w:r w:rsidRPr="004569D3">
        <w:rPr>
          <w:b/>
          <w:bCs/>
          <w:sz w:val="24"/>
          <w:szCs w:val="24"/>
          <w:lang w:val="en-US"/>
        </w:rPr>
        <w:t>STROBE Statement — checklist of items that should be included in reports of cohort studies</w:t>
      </w:r>
    </w:p>
    <w:p w14:paraId="06F6138B" w14:textId="77777777" w:rsidR="002432D7" w:rsidRPr="004569D3" w:rsidRDefault="00000000">
      <w:pPr>
        <w:spacing w:after="140" w:line="260" w:lineRule="auto"/>
        <w:rPr>
          <w:lang w:val="en-US"/>
        </w:rPr>
      </w:pPr>
      <w:r w:rsidRPr="004569D3">
        <w:rPr>
          <w:lang w:val="en-US"/>
        </w:rPr>
        <w:t>Manuscript: “Adherence to Chest Wall Trauma Guidelines Reduces Critical Care Burden Across Ventilation Phenotypes: A Two-Era Cohort Study”</w:t>
      </w:r>
    </w:p>
    <w:p w14:paraId="29587125" w14:textId="77777777" w:rsidR="002432D7" w:rsidRPr="004569D3" w:rsidRDefault="00000000">
      <w:pPr>
        <w:spacing w:after="100" w:line="260" w:lineRule="auto"/>
        <w:rPr>
          <w:lang w:val="en-US"/>
        </w:rPr>
      </w:pPr>
      <w:r w:rsidRPr="004569D3">
        <w:rPr>
          <w:sz w:val="18"/>
          <w:szCs w:val="18"/>
          <w:lang w:val="en-US"/>
        </w:rPr>
        <w:t>Page and line numbers refer to the submitted main manuscript file (double-spaced, with continuous line numbering). “L” denotes the line number. Tables, figures and additional files are cited by their number in the manuscript.</w:t>
      </w:r>
    </w:p>
    <w:p w14:paraId="40F97461" w14:textId="77777777" w:rsidR="002432D7" w:rsidRPr="004569D3" w:rsidRDefault="00000000">
      <w:pPr>
        <w:spacing w:after="220" w:line="260" w:lineRule="auto"/>
        <w:rPr>
          <w:lang w:val="en-US"/>
        </w:rPr>
      </w:pPr>
      <w:r w:rsidRPr="004569D3">
        <w:rPr>
          <w:sz w:val="18"/>
          <w:szCs w:val="18"/>
          <w:lang w:val="en-US"/>
        </w:rPr>
        <w:t xml:space="preserve">The item wording below is condensed for readability. The authoritative wording is that of the official STROBE cohort checklist, available at https://www.strobe-statement.org/checklists/. STROBE Statement: von Elm E, Altman DG, Egger M, Pocock SJ, Gøtzsche PC, Vandenbroucke JP; STROBE Initiative. Bull World Health Organ. 2007;85(11):867–72. Explanation and elaboration: Vandenbroucke JP, et al. </w:t>
      </w:r>
      <w:proofErr w:type="spellStart"/>
      <w:r w:rsidRPr="004569D3">
        <w:rPr>
          <w:sz w:val="18"/>
          <w:szCs w:val="18"/>
          <w:lang w:val="en-US"/>
        </w:rPr>
        <w:t>PLoS</w:t>
      </w:r>
      <w:proofErr w:type="spellEnd"/>
      <w:r w:rsidRPr="004569D3">
        <w:rPr>
          <w:sz w:val="18"/>
          <w:szCs w:val="18"/>
          <w:lang w:val="en-US"/>
        </w:rPr>
        <w:t xml:space="preserve"> Med. 2007;4(10</w:t>
      </w:r>
      <w:proofErr w:type="gramStart"/>
      <w:r w:rsidRPr="004569D3">
        <w:rPr>
          <w:sz w:val="18"/>
          <w:szCs w:val="18"/>
          <w:lang w:val="en-US"/>
        </w:rPr>
        <w:t>):e</w:t>
      </w:r>
      <w:proofErr w:type="gramEnd"/>
      <w:r w:rsidRPr="004569D3">
        <w:rPr>
          <w:sz w:val="18"/>
          <w:szCs w:val="18"/>
          <w:lang w:val="en-US"/>
        </w:rPr>
        <w:t>297.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0"/>
        <w:gridCol w:w="620"/>
        <w:gridCol w:w="4590"/>
        <w:gridCol w:w="2500"/>
      </w:tblGrid>
      <w:tr w:rsidR="002432D7" w:rsidRPr="004569D3" w14:paraId="1456F30B" w14:textId="77777777">
        <w:tc>
          <w:tcPr>
            <w:tcW w:w="165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F28235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b/>
                <w:bCs/>
                <w:sz w:val="18"/>
                <w:szCs w:val="18"/>
                <w:lang w:val="en-US"/>
              </w:rPr>
              <w:t>Section / Topic</w:t>
            </w:r>
          </w:p>
        </w:tc>
        <w:tc>
          <w:tcPr>
            <w:tcW w:w="62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A0458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b/>
                <w:bCs/>
                <w:sz w:val="18"/>
                <w:szCs w:val="18"/>
                <w:lang w:val="en-US"/>
              </w:rPr>
              <w:t>Item</w:t>
            </w:r>
          </w:p>
        </w:tc>
        <w:tc>
          <w:tcPr>
            <w:tcW w:w="459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057CAE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b/>
                <w:bCs/>
                <w:sz w:val="18"/>
                <w:szCs w:val="18"/>
                <w:lang w:val="en-US"/>
              </w:rPr>
              <w:t>Recommendation</w:t>
            </w:r>
          </w:p>
        </w:tc>
        <w:tc>
          <w:tcPr>
            <w:tcW w:w="2500" w:type="dxa"/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8D21CF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b/>
                <w:bCs/>
                <w:sz w:val="18"/>
                <w:szCs w:val="18"/>
                <w:lang w:val="en-US"/>
              </w:rPr>
              <w:t>Reported on page / line</w:t>
            </w:r>
          </w:p>
        </w:tc>
      </w:tr>
      <w:tr w:rsidR="002432D7" w:rsidRPr="004569D3" w14:paraId="66CB3E8A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B6B599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Title and abstract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1AF2A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89860B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(a) Study design indicated with a commonly used term in the title or the abstract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E83F25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Title page, p1; Abstract, p2, L37</w:t>
            </w:r>
          </w:p>
        </w:tc>
      </w:tr>
      <w:tr w:rsidR="002432D7" w:rsidRPr="004569D3" w14:paraId="75A4C5E5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B14A5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C3AF9E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52AA5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(b) Abstract gives an informative and balanced summary of what was done and what was found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B1EB8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Abstract, p2–3, L32–60</w:t>
            </w:r>
          </w:p>
        </w:tc>
      </w:tr>
      <w:tr w:rsidR="002432D7" w:rsidRPr="004569D3" w14:paraId="003BED34" w14:textId="77777777">
        <w:tc>
          <w:tcPr>
            <w:tcW w:w="9360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48E311" w14:textId="77777777" w:rsidR="002432D7" w:rsidRPr="004569D3" w:rsidRDefault="00000000">
            <w:pPr>
              <w:rPr>
                <w:lang w:val="en-US"/>
              </w:rPr>
            </w:pPr>
            <w:r w:rsidRPr="004569D3">
              <w:rPr>
                <w:b/>
                <w:bCs/>
                <w:sz w:val="18"/>
                <w:szCs w:val="18"/>
                <w:lang w:val="en-US"/>
              </w:rPr>
              <w:t>Introduction</w:t>
            </w:r>
          </w:p>
        </w:tc>
      </w:tr>
      <w:tr w:rsidR="002432D7" w:rsidRPr="004569D3" w14:paraId="77557E00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07983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Background / rationale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666166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366D8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Scientific background and rationale for the investigation being reported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7D41E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Background, p3–4, L61–88</w:t>
            </w:r>
          </w:p>
        </w:tc>
      </w:tr>
      <w:tr w:rsidR="002432D7" w:rsidRPr="004569D3" w14:paraId="6971CCD8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FAC5B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Objectives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13D72E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32DB6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Specific objectives, including any prespecified hypotheses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18A4A9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Background, p4–5, L89–96; prespecified effect modifier and fixed inference hierarchy, p12, L257–265</w:t>
            </w:r>
          </w:p>
        </w:tc>
      </w:tr>
      <w:tr w:rsidR="002432D7" w:rsidRPr="004569D3" w14:paraId="3834AE09" w14:textId="77777777">
        <w:tc>
          <w:tcPr>
            <w:tcW w:w="9360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C786C" w14:textId="77777777" w:rsidR="002432D7" w:rsidRPr="004569D3" w:rsidRDefault="00000000">
            <w:pPr>
              <w:rPr>
                <w:lang w:val="en-US"/>
              </w:rPr>
            </w:pPr>
            <w:r w:rsidRPr="004569D3">
              <w:rPr>
                <w:b/>
                <w:bCs/>
                <w:sz w:val="18"/>
                <w:szCs w:val="18"/>
                <w:lang w:val="en-US"/>
              </w:rPr>
              <w:t>Methods</w:t>
            </w:r>
          </w:p>
        </w:tc>
      </w:tr>
      <w:tr w:rsidR="002432D7" w:rsidRPr="004569D3" w14:paraId="47643E69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057133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Study design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D49AE0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66C0C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Key elements of the study design presented early in the paper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BFF0C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p5, L98–103</w:t>
            </w:r>
          </w:p>
        </w:tc>
      </w:tr>
      <w:tr w:rsidR="002432D7" w:rsidRPr="004569D3" w14:paraId="03600B84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BB0DD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Setting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0E1CAA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6E6478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Setting, locations and relevant dates, including periods of recruitment, exposure, follow-up and data collection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115113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p5–6, L99–127; Table 1</w:t>
            </w:r>
          </w:p>
        </w:tc>
      </w:tr>
      <w:tr w:rsidR="002432D7" w:rsidRPr="004569D3" w14:paraId="09F24F2B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6709E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Participants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B109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F7B391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(a) Eligibility criteria, sources and methods of selection of participants; methods of follow-up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B08530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p7, L128–143; Figure 1 (legend p38, L828–835)</w:t>
            </w:r>
          </w:p>
        </w:tc>
      </w:tr>
      <w:tr w:rsidR="002432D7" w:rsidRPr="004569D3" w14:paraId="4FDCA9FB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3D819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608C0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AAD8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(b) For matched studies, matching criteria and number of exposed and unexposed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BEFC2B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p11, L233–236; Table 4 (propensity-score matched comparison)</w:t>
            </w:r>
          </w:p>
        </w:tc>
      </w:tr>
      <w:tr w:rsidR="002432D7" w:rsidRPr="004569D3" w14:paraId="73DCBC47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71D58A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19FF1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5B63FA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All outcomes, exposures, predictors, potential confounders and effect modifiers clearly defined; diagnostic criteria where applicable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175320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p8–10, L152–204; p11–12, L226–228 and L242–251</w:t>
            </w:r>
          </w:p>
        </w:tc>
      </w:tr>
      <w:tr w:rsidR="002432D7" w:rsidRPr="004569D3" w14:paraId="4ECC9946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FDED5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Data sources / measurement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498E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B8633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For each variable of interest, the sources of data and details of the methods of assessment, and comparability of assessment between groups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88450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p5, L99–106; p8–10, L152–204; Statements and Declarations – Ethics approval, p27, L604; Online Resource 1 (codebook and notes)</w:t>
            </w:r>
          </w:p>
        </w:tc>
      </w:tr>
      <w:tr w:rsidR="002432D7" w:rsidRPr="004569D3" w14:paraId="27ACB03E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0DEB6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Bias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C9C25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CF21D7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Efforts to address potential sources of bias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520C40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p7, L150–151 (classification bias acknowledged); p8, L157–162 (censoring); p9–10, L193–204 (blinded re-adjudication of the effect modifier); p11–12, L239–241 and L252–256 (time-dependent exposure, no immortal time); Results, p14–15, L314–321 (tipping-point analysis)</w:t>
            </w:r>
          </w:p>
        </w:tc>
      </w:tr>
      <w:tr w:rsidR="002432D7" w:rsidRPr="004569D3" w14:paraId="59CA1851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F20ED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lastRenderedPageBreak/>
              <w:t>Study size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F4F07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796FC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How the study size was arrived at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81A69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p7, L129–143; Results, p13, L280–282; Figure 1. All eligible ICU-managed patients in Eras 1 and 3 were included; no a priori sample size calculation was performed</w:t>
            </w:r>
          </w:p>
        </w:tc>
      </w:tr>
      <w:tr w:rsidR="002432D7" w:rsidRPr="004569D3" w14:paraId="6B9F62E7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3C407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Quantitative variables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5409E6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C8FBA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How quantitative variables were handled in the analyses; groupings and why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29DDF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p10, L206–219; severity groupings p7, L130–131</w:t>
            </w:r>
          </w:p>
        </w:tc>
      </w:tr>
      <w:tr w:rsidR="002432D7" w:rsidRPr="004569D3" w14:paraId="3CBAE0BD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23186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Statistical methods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2DA63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90F9B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(a) All statistical methods, including those used to control for confounding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C86440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p11–12, L226–241 and L266–270</w:t>
            </w:r>
          </w:p>
        </w:tc>
      </w:tr>
      <w:tr w:rsidR="002432D7" w:rsidRPr="004569D3" w14:paraId="6709BFC6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4C854E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A2E896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C1A7DF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(b) Methods used to examine subgroups and interactions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51E6A3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p11–12, L242–251 and L257–265</w:t>
            </w:r>
          </w:p>
        </w:tc>
      </w:tr>
      <w:tr w:rsidR="002432D7" w:rsidRPr="004569D3" w14:paraId="7444AB6D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0EF07C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2CB1EA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25B5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(c) How missing data were addressed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7D43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p10, L215–219</w:t>
            </w:r>
          </w:p>
        </w:tc>
      </w:tr>
      <w:tr w:rsidR="002432D7" w:rsidRPr="004569D3" w14:paraId="4550E6C2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15AF4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AFAC3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2E68E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(d) How loss to follow-up was addressed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395A7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p8, L157–158; p10–11, L220–225; Results, p14–15, L314–321</w:t>
            </w:r>
          </w:p>
        </w:tc>
      </w:tr>
      <w:tr w:rsidR="002432D7" w:rsidRPr="004569D3" w14:paraId="183964A1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17811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580AFA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A9FAC1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(e) Any sensitivity analyses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05812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p11, L231–236; p11–12, L246–251 and L254–256; Online Resource 2, Table S3</w:t>
            </w:r>
          </w:p>
        </w:tc>
      </w:tr>
      <w:tr w:rsidR="002432D7" w:rsidRPr="004569D3" w14:paraId="727C95B9" w14:textId="77777777">
        <w:tc>
          <w:tcPr>
            <w:tcW w:w="9360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640B0" w14:textId="77777777" w:rsidR="002432D7" w:rsidRPr="004569D3" w:rsidRDefault="00000000">
            <w:pPr>
              <w:rPr>
                <w:lang w:val="en-US"/>
              </w:rPr>
            </w:pPr>
            <w:r w:rsidRPr="004569D3">
              <w:rPr>
                <w:b/>
                <w:bCs/>
                <w:sz w:val="18"/>
                <w:szCs w:val="18"/>
                <w:lang w:val="en-US"/>
              </w:rPr>
              <w:t>Results</w:t>
            </w:r>
          </w:p>
        </w:tc>
      </w:tr>
      <w:tr w:rsidR="002432D7" w:rsidRPr="004569D3" w14:paraId="1094A28B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8C8BA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Participants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895E6A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F7CFF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 xml:space="preserve">(a) Numbers of individuals at each stage: potentially eligible, examined for eligibility, confirmed eligible, included, completing follow-up and </w:t>
            </w:r>
            <w:proofErr w:type="spellStart"/>
            <w:r w:rsidRPr="004569D3">
              <w:rPr>
                <w:sz w:val="18"/>
                <w:szCs w:val="18"/>
                <w:lang w:val="en-US"/>
              </w:rPr>
              <w:t>analysed</w:t>
            </w:r>
            <w:proofErr w:type="spellEnd"/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301B1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Results, p13–14, L280–282 and L295–296; Figure 1</w:t>
            </w:r>
          </w:p>
        </w:tc>
      </w:tr>
      <w:tr w:rsidR="002432D7" w:rsidRPr="004569D3" w14:paraId="3E9EB78C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C6DA9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77CAF5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1D55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(b) Reasons for non-participation at each stage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518D18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p7, L132–143; Figure 1</w:t>
            </w:r>
          </w:p>
        </w:tc>
      </w:tr>
      <w:tr w:rsidR="002432D7" w:rsidRPr="004569D3" w14:paraId="06599D6D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F449ED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501A8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D6DD6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(c) Flow diagram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CB827B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Figure 1 (legend p38, L828–835)</w:t>
            </w:r>
          </w:p>
        </w:tc>
      </w:tr>
      <w:tr w:rsidR="002432D7" w:rsidRPr="004569D3" w14:paraId="3E900679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911E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Descriptive data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174D6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BF10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(a) Characteristics of study participants and information on exposures and potential confounders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39CD91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Results, p13, L282–293; Tables 2 and 3</w:t>
            </w:r>
          </w:p>
        </w:tc>
      </w:tr>
      <w:tr w:rsidR="002432D7" w:rsidRPr="004569D3" w14:paraId="30D0D701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51EC8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8ABBCA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532C1E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(b) Number of participants with missing data for each variable of interest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D05EC8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p10, L207–210 and L215–219; Results, p14, L295–296; Online Resource 1</w:t>
            </w:r>
          </w:p>
        </w:tc>
      </w:tr>
      <w:tr w:rsidR="002432D7" w:rsidRPr="004569D3" w14:paraId="40127366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50B9E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B8676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24373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(c) Follow-up time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723971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Results, p14, L295–297; incomplete survival follow-up stated in Limitations, p24, L535–539</w:t>
            </w:r>
          </w:p>
        </w:tc>
      </w:tr>
      <w:tr w:rsidR="002432D7" w:rsidRPr="004569D3" w14:paraId="1FF95A2F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1F79C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Outcome data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4D03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13F4AB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Numbers of outcome events or summary measures over time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9E0A2E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Results, p14–15, L294–321; Tables 3 and 4; Figure 2</w:t>
            </w:r>
          </w:p>
        </w:tc>
      </w:tr>
      <w:tr w:rsidR="002432D7" w:rsidRPr="004569D3" w14:paraId="7D03AC7D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057DE3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Main results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BB4BE0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5AA51E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(a) Unadjusted and confounder-adjusted estimates with their precision (95% CI); which confounders were adjusted for and why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D5A7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Results, p14–15, L297–321; Tables 3 and 4; adjustment set specified in Methods, p11, L226–228</w:t>
            </w:r>
          </w:p>
        </w:tc>
      </w:tr>
      <w:tr w:rsidR="002432D7" w:rsidRPr="004569D3" w14:paraId="552A55CB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FD38F7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F1174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CD720B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(b) Category boundaries reported when continuous variables were categorized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D0735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Methods, p7, L130–131; Table 2</w:t>
            </w:r>
          </w:p>
        </w:tc>
      </w:tr>
      <w:tr w:rsidR="002432D7" w:rsidRPr="004569D3" w14:paraId="477E3D99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2A28E8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03627" w14:textId="77777777" w:rsidR="002432D7" w:rsidRPr="004569D3" w:rsidRDefault="002432D7">
            <w:pPr>
              <w:spacing w:before="20" w:after="20"/>
              <w:rPr>
                <w:lang w:val="en-US"/>
              </w:rPr>
            </w:pP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A6943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 xml:space="preserve">(c) Relative risk translated into absolute risk for a meaningful </w:t>
            </w:r>
            <w:proofErr w:type="gramStart"/>
            <w:r w:rsidRPr="004569D3">
              <w:rPr>
                <w:sz w:val="18"/>
                <w:szCs w:val="18"/>
                <w:lang w:val="en-US"/>
              </w:rPr>
              <w:t>time period</w:t>
            </w:r>
            <w:proofErr w:type="gramEnd"/>
            <w:r w:rsidRPr="004569D3">
              <w:rPr>
                <w:sz w:val="18"/>
                <w:szCs w:val="18"/>
                <w:lang w:val="en-US"/>
              </w:rPr>
              <w:t>, if relevant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4E2D1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 xml:space="preserve">The primary </w:t>
            </w:r>
            <w:proofErr w:type="spellStart"/>
            <w:r w:rsidRPr="004569D3">
              <w:rPr>
                <w:sz w:val="18"/>
                <w:szCs w:val="18"/>
                <w:lang w:val="en-US"/>
              </w:rPr>
              <w:t>estimand</w:t>
            </w:r>
            <w:proofErr w:type="spellEnd"/>
            <w:r w:rsidRPr="004569D3">
              <w:rPr>
                <w:sz w:val="18"/>
                <w:szCs w:val="18"/>
                <w:lang w:val="en-US"/>
              </w:rPr>
              <w:t xml:space="preserve"> is already absolute (restricted mean ICU time through day 28, in days): Methods, p11, L226–230; Results, p13–14</w:t>
            </w:r>
          </w:p>
        </w:tc>
      </w:tr>
      <w:tr w:rsidR="002432D7" w:rsidRPr="004569D3" w14:paraId="242BFEA8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0DEFF9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lastRenderedPageBreak/>
              <w:t>Other analyses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BF1AF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33925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Other analyses done, e.g. subgroups and interactions, and sensitivity analyses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816C7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Results, p15–18, L322–390; Tables 5 and 6; Figures 3 and 4; Online Resource 2, Tables S2 and S3</w:t>
            </w:r>
          </w:p>
        </w:tc>
      </w:tr>
      <w:tr w:rsidR="002432D7" w:rsidRPr="004569D3" w14:paraId="7F29A1BC" w14:textId="77777777">
        <w:tc>
          <w:tcPr>
            <w:tcW w:w="9360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D547A0" w14:textId="77777777" w:rsidR="002432D7" w:rsidRPr="004569D3" w:rsidRDefault="00000000">
            <w:pPr>
              <w:rPr>
                <w:lang w:val="en-US"/>
              </w:rPr>
            </w:pPr>
            <w:r w:rsidRPr="004569D3">
              <w:rPr>
                <w:b/>
                <w:bCs/>
                <w:sz w:val="18"/>
                <w:szCs w:val="18"/>
                <w:lang w:val="en-US"/>
              </w:rPr>
              <w:t>Discussion</w:t>
            </w:r>
          </w:p>
        </w:tc>
      </w:tr>
      <w:tr w:rsidR="002432D7" w:rsidRPr="004569D3" w14:paraId="52DDE94E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E969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Key results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505D6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CDC5DF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Key results summarized with reference to study objectives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2CE1C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Discussion, p18, L392–397</w:t>
            </w:r>
          </w:p>
        </w:tc>
      </w:tr>
      <w:tr w:rsidR="002432D7" w:rsidRPr="004569D3" w14:paraId="081A632C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4C2BA8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Limitations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38919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1F5F57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 xml:space="preserve">Limitations of the study, </w:t>
            </w:r>
            <w:proofErr w:type="gramStart"/>
            <w:r w:rsidRPr="004569D3">
              <w:rPr>
                <w:sz w:val="18"/>
                <w:szCs w:val="18"/>
                <w:lang w:val="en-US"/>
              </w:rPr>
              <w:t>taking into account</w:t>
            </w:r>
            <w:proofErr w:type="gramEnd"/>
            <w:r w:rsidRPr="004569D3">
              <w:rPr>
                <w:sz w:val="18"/>
                <w:szCs w:val="18"/>
                <w:lang w:val="en-US"/>
              </w:rPr>
              <w:t xml:space="preserve"> sources of potential bias or imprecision, and both direction and magnitude of any potential bias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995F2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Limitations, p23–24, L513–546</w:t>
            </w:r>
          </w:p>
        </w:tc>
      </w:tr>
      <w:tr w:rsidR="002432D7" w:rsidRPr="004569D3" w14:paraId="44AFA594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5B4501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Interpretation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733625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0E9C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Cautious overall interpretation considering objectives, limitations, multiplicity of analyses, results from similar studies and other relevant evidence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465EC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Discussion, p18–23, L392–512; multiplicity and inference hierarchy, p12, L257–265; Conclusions, p24, L547–553</w:t>
            </w:r>
          </w:p>
        </w:tc>
      </w:tr>
      <w:tr w:rsidR="002432D7" w:rsidRPr="004569D3" w14:paraId="61E70075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00711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proofErr w:type="spellStart"/>
            <w:r w:rsidRPr="004569D3">
              <w:rPr>
                <w:sz w:val="18"/>
                <w:szCs w:val="18"/>
                <w:lang w:val="en-US"/>
              </w:rPr>
              <w:t>Generalisability</w:t>
            </w:r>
            <w:proofErr w:type="spellEnd"/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BEB05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040278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proofErr w:type="spellStart"/>
            <w:r w:rsidRPr="004569D3">
              <w:rPr>
                <w:sz w:val="18"/>
                <w:szCs w:val="18"/>
                <w:lang w:val="en-US"/>
              </w:rPr>
              <w:t>Generalisability</w:t>
            </w:r>
            <w:proofErr w:type="spellEnd"/>
            <w:r w:rsidRPr="004569D3">
              <w:rPr>
                <w:sz w:val="18"/>
                <w:szCs w:val="18"/>
                <w:lang w:val="en-US"/>
              </w:rPr>
              <w:t xml:space="preserve"> (external validity) of the study results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DFA5C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Limitations, p23, L519–522 and p24, L540–546; Conclusions, p24, L552–553</w:t>
            </w:r>
          </w:p>
        </w:tc>
      </w:tr>
      <w:tr w:rsidR="002432D7" w:rsidRPr="004569D3" w14:paraId="60EC1D31" w14:textId="77777777">
        <w:tc>
          <w:tcPr>
            <w:tcW w:w="9360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096171" w14:textId="77777777" w:rsidR="002432D7" w:rsidRPr="004569D3" w:rsidRDefault="00000000">
            <w:pPr>
              <w:rPr>
                <w:lang w:val="en-US"/>
              </w:rPr>
            </w:pPr>
            <w:r w:rsidRPr="004569D3">
              <w:rPr>
                <w:b/>
                <w:bCs/>
                <w:sz w:val="18"/>
                <w:szCs w:val="18"/>
                <w:lang w:val="en-US"/>
              </w:rPr>
              <w:t>Other information</w:t>
            </w:r>
          </w:p>
        </w:tc>
      </w:tr>
      <w:tr w:rsidR="002432D7" w:rsidRPr="004569D3" w14:paraId="45642F5F" w14:textId="77777777">
        <w:tc>
          <w:tcPr>
            <w:tcW w:w="16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8C547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Funding</w:t>
            </w:r>
          </w:p>
        </w:tc>
        <w:tc>
          <w:tcPr>
            <w:tcW w:w="62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524E4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459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04E81D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Source of funding and the role of the funders for the present study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497D99" w14:textId="77777777" w:rsidR="002432D7" w:rsidRPr="004569D3" w:rsidRDefault="00000000">
            <w:pPr>
              <w:spacing w:before="20" w:after="20"/>
              <w:rPr>
                <w:lang w:val="en-US"/>
              </w:rPr>
            </w:pPr>
            <w:r w:rsidRPr="004569D3">
              <w:rPr>
                <w:sz w:val="18"/>
                <w:szCs w:val="18"/>
                <w:lang w:val="en-US"/>
              </w:rPr>
              <w:t>Statements and Declarations – Funding, p26, L589–591 (no funding received)</w:t>
            </w:r>
          </w:p>
        </w:tc>
      </w:tr>
    </w:tbl>
    <w:p w14:paraId="2F7A32B8" w14:textId="77777777" w:rsidR="003908E4" w:rsidRDefault="003908E4"/>
    <w:sectPr w:rsidR="003908E4">
      <w:pgSz w:w="12240" w:h="15840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660464"/>
    <w:multiLevelType w:val="hybridMultilevel"/>
    <w:tmpl w:val="38E87440"/>
    <w:lvl w:ilvl="0" w:tplc="53320912">
      <w:start w:val="1"/>
      <w:numFmt w:val="bullet"/>
      <w:lvlText w:val="●"/>
      <w:lvlJc w:val="left"/>
      <w:pPr>
        <w:ind w:left="720" w:hanging="360"/>
      </w:pPr>
    </w:lvl>
    <w:lvl w:ilvl="1" w:tplc="64A6B656">
      <w:start w:val="1"/>
      <w:numFmt w:val="bullet"/>
      <w:lvlText w:val="○"/>
      <w:lvlJc w:val="left"/>
      <w:pPr>
        <w:ind w:left="1440" w:hanging="360"/>
      </w:pPr>
    </w:lvl>
    <w:lvl w:ilvl="2" w:tplc="A468B330">
      <w:start w:val="1"/>
      <w:numFmt w:val="bullet"/>
      <w:lvlText w:val="■"/>
      <w:lvlJc w:val="left"/>
      <w:pPr>
        <w:ind w:left="2160" w:hanging="360"/>
      </w:pPr>
    </w:lvl>
    <w:lvl w:ilvl="3" w:tplc="AF4C9F3E">
      <w:start w:val="1"/>
      <w:numFmt w:val="bullet"/>
      <w:lvlText w:val="●"/>
      <w:lvlJc w:val="left"/>
      <w:pPr>
        <w:ind w:left="2880" w:hanging="360"/>
      </w:pPr>
    </w:lvl>
    <w:lvl w:ilvl="4" w:tplc="9132B998">
      <w:start w:val="1"/>
      <w:numFmt w:val="bullet"/>
      <w:lvlText w:val="○"/>
      <w:lvlJc w:val="left"/>
      <w:pPr>
        <w:ind w:left="3600" w:hanging="360"/>
      </w:pPr>
    </w:lvl>
    <w:lvl w:ilvl="5" w:tplc="B622EC88">
      <w:start w:val="1"/>
      <w:numFmt w:val="bullet"/>
      <w:lvlText w:val="■"/>
      <w:lvlJc w:val="left"/>
      <w:pPr>
        <w:ind w:left="4320" w:hanging="360"/>
      </w:pPr>
    </w:lvl>
    <w:lvl w:ilvl="6" w:tplc="9F5AB446">
      <w:start w:val="1"/>
      <w:numFmt w:val="bullet"/>
      <w:lvlText w:val="●"/>
      <w:lvlJc w:val="left"/>
      <w:pPr>
        <w:ind w:left="5040" w:hanging="360"/>
      </w:pPr>
    </w:lvl>
    <w:lvl w:ilvl="7" w:tplc="770C97F4">
      <w:start w:val="1"/>
      <w:numFmt w:val="bullet"/>
      <w:lvlText w:val="●"/>
      <w:lvlJc w:val="left"/>
      <w:pPr>
        <w:ind w:left="5760" w:hanging="360"/>
      </w:pPr>
    </w:lvl>
    <w:lvl w:ilvl="8" w:tplc="D62AB0E0">
      <w:start w:val="1"/>
      <w:numFmt w:val="bullet"/>
      <w:lvlText w:val="●"/>
      <w:lvlJc w:val="left"/>
      <w:pPr>
        <w:ind w:left="6480" w:hanging="360"/>
      </w:pPr>
    </w:lvl>
  </w:abstractNum>
  <w:num w:numId="1" w16cid:durableId="17027031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2D7"/>
    <w:rsid w:val="002432D7"/>
    <w:rsid w:val="003908E4"/>
    <w:rsid w:val="004569D3"/>
    <w:rsid w:val="00B46ACD"/>
    <w:rsid w:val="00BC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3E0557"/>
  <w15:docId w15:val="{12DBE01F-50AF-B643-B634-6D81E384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961</Words>
  <Characters>5397</Characters>
  <Application>Microsoft Office Word</Application>
  <DocSecurity>0</DocSecurity>
  <Lines>257</Lines>
  <Paragraphs>144</Paragraphs>
  <ScaleCrop>false</ScaleCrop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Dávid Dr. Sütöri</cp:lastModifiedBy>
  <cp:revision>2</cp:revision>
  <dcterms:created xsi:type="dcterms:W3CDTF">2026-09-17T15:46:00Z</dcterms:created>
  <dcterms:modified xsi:type="dcterms:W3CDTF">2026-09-17T15:46:00Z</dcterms:modified>
</cp:coreProperties>
</file>