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Additional File</w:t>
      </w:r>
      <w:bookmarkStart w:id="0" w:name="_GoBack"/>
      <w:bookmarkEnd w:id="0"/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Title: </w:t>
      </w:r>
      <w:r>
        <w:rPr>
          <w:rFonts w:ascii="Times New Roman" w:hAnsi="Times New Roman" w:cs="Times New Roman"/>
          <w:color w:val="auto"/>
          <w:sz w:val="24"/>
        </w:rPr>
        <w:t>Long-term drinking behavior change patterns and its association with hyperuricemia in Chinese adults: evidence from China Health and Nutrition Survey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J</w:t>
      </w:r>
      <w:r>
        <w:rPr>
          <w:rFonts w:ascii="Times New Roman" w:hAnsi="Times New Roman" w:cs="Times New Roman"/>
          <w:b/>
          <w:bCs/>
          <w:color w:val="auto"/>
          <w:sz w:val="24"/>
        </w:rPr>
        <w:t xml:space="preserve">ournal 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N</w:t>
      </w:r>
      <w:r>
        <w:rPr>
          <w:rFonts w:ascii="Times New Roman" w:hAnsi="Times New Roman" w:cs="Times New Roman"/>
          <w:b/>
          <w:bCs/>
          <w:color w:val="auto"/>
          <w:sz w:val="24"/>
        </w:rPr>
        <w:t>ame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: </w:t>
      </w:r>
      <w:r>
        <w:rPr>
          <w:rFonts w:hint="eastAsia" w:ascii="Times New Roman" w:hAnsi="Times New Roman" w:cs="Times New Roman"/>
          <w:color w:val="auto"/>
          <w:sz w:val="24"/>
        </w:rPr>
        <w:t xml:space="preserve">BMC Public Health 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A</w:t>
      </w:r>
      <w:r>
        <w:rPr>
          <w:rFonts w:ascii="Times New Roman" w:hAnsi="Times New Roman" w:cs="Times New Roman"/>
          <w:b/>
          <w:bCs/>
          <w:color w:val="auto"/>
          <w:sz w:val="24"/>
        </w:rPr>
        <w:t xml:space="preserve">uthor 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N</w:t>
      </w:r>
      <w:r>
        <w:rPr>
          <w:rFonts w:ascii="Times New Roman" w:hAnsi="Times New Roman" w:cs="Times New Roman"/>
          <w:b/>
          <w:bCs/>
          <w:color w:val="auto"/>
          <w:sz w:val="24"/>
        </w:rPr>
        <w:t>ames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: </w:t>
      </w:r>
      <w:r>
        <w:rPr>
          <w:rFonts w:ascii="Times New Roman" w:hAnsi="Times New Roman" w:cs="Times New Roman"/>
          <w:color w:val="auto"/>
          <w:sz w:val="24"/>
        </w:rPr>
        <w:t>Bowen Zhu, Yang Li, Yiqin Shi, Nana Song, Yi Fang</w:t>
      </w:r>
      <w:r>
        <w:rPr>
          <w:rFonts w:hint="eastAsia" w:ascii="Times New Roman" w:hAnsi="Times New Roman" w:cs="Times New Roman"/>
          <w:color w:val="auto"/>
          <w:sz w:val="24"/>
        </w:rPr>
        <w:t xml:space="preserve"> and </w:t>
      </w:r>
      <w:r>
        <w:rPr>
          <w:rFonts w:ascii="Times New Roman" w:hAnsi="Times New Roman" w:cs="Times New Roman"/>
          <w:color w:val="auto"/>
          <w:sz w:val="24"/>
        </w:rPr>
        <w:t>Xiaoqiang Ding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A</w:t>
      </w:r>
      <w:r>
        <w:rPr>
          <w:rFonts w:ascii="Times New Roman" w:hAnsi="Times New Roman" w:cs="Times New Roman"/>
          <w:b/>
          <w:bCs/>
          <w:color w:val="auto"/>
          <w:sz w:val="24"/>
        </w:rPr>
        <w:t xml:space="preserve">ffiliation and 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E</w:t>
      </w:r>
      <w:r>
        <w:rPr>
          <w:rFonts w:ascii="Times New Roman" w:hAnsi="Times New Roman" w:cs="Times New Roman"/>
          <w:b/>
          <w:bCs/>
          <w:color w:val="auto"/>
          <w:sz w:val="24"/>
        </w:rPr>
        <w:t>-mail address of the corresponding author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: 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1.Xiaoqiang Ding, Professor, Department of Nephrology, Zhongshan Hospital, Fudan University, Shanghai, China. E-mail:ding.xiaoqiang@zs-hospital.sh.cn; </w:t>
      </w:r>
    </w:p>
    <w:p>
      <w:pPr>
        <w:spacing w:line="360" w:lineRule="auto"/>
        <w:jc w:val="left"/>
        <w:rPr>
          <w:rFonts w:ascii="Times New Roman" w:hAnsi="Times New Roman" w:cs="Times New Roman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color w:val="auto"/>
          <w:sz w:val="24"/>
        </w:rPr>
        <w:t xml:space="preserve">2.Yi Fang, Professor, Department of Nephrology, Zhongshan Hospital, Fudan University, Shanghai, China. E-mail: fang.yi@zs-hospital.sh.cn </w:t>
      </w:r>
    </w:p>
    <w:p>
      <w:pPr>
        <w:spacing w:after="156" w:afterLines="5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 xml:space="preserve">Supplementary Table 1. </w:t>
      </w:r>
      <w:r>
        <w:rPr>
          <w:rFonts w:hint="eastAsia" w:ascii="Times New Roman" w:hAnsi="Times New Roman" w:cs="Times New Roman"/>
          <w:color w:val="auto"/>
          <w:sz w:val="24"/>
        </w:rPr>
        <w:t>Characteristics of participants included in the analysis and those excluded from the final analysis</w:t>
      </w:r>
    </w:p>
    <w:p>
      <w:pPr>
        <w:adjustRightInd w:val="0"/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 xml:space="preserve">Supplementary Table 2. </w:t>
      </w:r>
      <w:r>
        <w:rPr>
          <w:rFonts w:ascii="Times New Roman" w:hAnsi="Times New Roman" w:cs="Times New Roman"/>
          <w:color w:val="auto"/>
          <w:sz w:val="24"/>
        </w:rPr>
        <w:t xml:space="preserve">Univariate and multivariate logistic regression analysis </w:t>
      </w:r>
      <w:r>
        <w:rPr>
          <w:rFonts w:hint="eastAsia" w:ascii="Times New Roman" w:hAnsi="Times New Roman" w:eastAsia="宋体" w:cs="Times New Roman"/>
          <w:color w:val="auto"/>
          <w:sz w:val="24"/>
        </w:rPr>
        <w:t xml:space="preserve">of </w:t>
      </w:r>
      <w:r>
        <w:rPr>
          <w:rFonts w:ascii="Times New Roman" w:hAnsi="Times New Roman" w:cs="Times New Roman"/>
          <w:color w:val="auto"/>
          <w:sz w:val="24"/>
        </w:rPr>
        <w:t>the association with HUA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 xml:space="preserve">Supplementary Table 3. </w:t>
      </w:r>
      <w:r>
        <w:rPr>
          <w:rFonts w:ascii="Times New Roman" w:hAnsi="Times New Roman" w:cs="Times New Roman"/>
          <w:color w:val="auto"/>
          <w:sz w:val="24"/>
        </w:rPr>
        <w:t>Risk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</w:rPr>
        <w:t>of</w:t>
      </w:r>
      <w:r>
        <w:rPr>
          <w:rFonts w:ascii="Times New Roman" w:hAnsi="Times New Roman" w:cs="Times New Roman"/>
          <w:color w:val="auto"/>
          <w:sz w:val="24"/>
        </w:rPr>
        <w:t xml:space="preserve"> HUA by threshold </w:t>
      </w:r>
      <w:r>
        <w:rPr>
          <w:rFonts w:hint="eastAsia" w:ascii="Times New Roman" w:hAnsi="Times New Roman" w:cs="Times New Roman"/>
          <w:color w:val="auto"/>
          <w:sz w:val="24"/>
        </w:rPr>
        <w:t>early</w:t>
      </w:r>
      <w:r>
        <w:rPr>
          <w:rFonts w:ascii="Times New Roman" w:hAnsi="Times New Roman" w:cs="Times New Roman"/>
          <w:color w:val="auto"/>
          <w:sz w:val="24"/>
        </w:rPr>
        <w:t xml:space="preserve"> alcohol intake by gender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>Supplementary Figure 1.</w:t>
      </w:r>
      <w:r>
        <w:rPr>
          <w:rFonts w:ascii="Times New Roman" w:hAnsi="Times New Roman" w:cs="Times New Roman"/>
          <w:color w:val="auto"/>
          <w:sz w:val="24"/>
        </w:rPr>
        <w:t xml:space="preserve"> Flowchart </w:t>
      </w:r>
      <w:r>
        <w:rPr>
          <w:rFonts w:hint="eastAsia" w:ascii="Times New Roman" w:hAnsi="Times New Roman" w:eastAsia="宋体" w:cs="Times New Roman"/>
          <w:color w:val="auto"/>
          <w:sz w:val="24"/>
        </w:rPr>
        <w:t>showing the selection</w:t>
      </w:r>
      <w:r>
        <w:rPr>
          <w:rFonts w:ascii="Times New Roman" w:hAnsi="Times New Roman" w:cs="Times New Roman"/>
          <w:color w:val="auto"/>
          <w:sz w:val="24"/>
        </w:rPr>
        <w:t xml:space="preserve"> of study population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 xml:space="preserve">Supplementary Figure 2. </w:t>
      </w:r>
      <w:r>
        <w:rPr>
          <w:rFonts w:ascii="Times New Roman" w:hAnsi="Times New Roman" w:cs="Times New Roman"/>
          <w:color w:val="auto"/>
          <w:sz w:val="24"/>
        </w:rPr>
        <w:t xml:space="preserve">Univariate and multivariate logistic regression analysis </w:t>
      </w:r>
      <w:r>
        <w:rPr>
          <w:rFonts w:hint="eastAsia" w:ascii="Times New Roman" w:hAnsi="Times New Roman" w:eastAsia="宋体" w:cs="Times New Roman"/>
          <w:color w:val="auto"/>
          <w:sz w:val="24"/>
        </w:rPr>
        <w:t xml:space="preserve">of the association between </w:t>
      </w:r>
      <w:r>
        <w:rPr>
          <w:rFonts w:ascii="Times New Roman" w:hAnsi="Times New Roman" w:cs="Times New Roman"/>
          <w:color w:val="auto"/>
          <w:sz w:val="24"/>
        </w:rPr>
        <w:t>drinking-related behavior</w:t>
      </w:r>
      <w:r>
        <w:rPr>
          <w:rFonts w:hint="eastAsia" w:ascii="Times New Roman" w:hAnsi="Times New Roman" w:cs="Times New Roman"/>
          <w:color w:val="auto"/>
          <w:sz w:val="24"/>
        </w:rPr>
        <w:t xml:space="preserve"> and</w:t>
      </w:r>
      <w:r>
        <w:rPr>
          <w:rFonts w:ascii="Times New Roman" w:hAnsi="Times New Roman" w:cs="Times New Roman"/>
          <w:color w:val="auto"/>
          <w:sz w:val="24"/>
        </w:rPr>
        <w:t xml:space="preserve"> HUA by gender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in 2009</w:t>
      </w:r>
    </w:p>
    <w:p>
      <w:pPr>
        <w:spacing w:after="156" w:afterLines="50"/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adjustRightInd w:val="0"/>
        <w:spacing w:after="156" w:afterLines="50"/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adjustRightInd w:val="0"/>
        <w:spacing w:after="156" w:afterLines="50"/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spacing w:after="156" w:afterLines="50"/>
        <w:rPr>
          <w:rFonts w:ascii="Times New Roman" w:hAnsi="Times New Roman" w:cs="Times New Roman"/>
          <w:color w:val="auto"/>
          <w:sz w:val="24"/>
        </w:rPr>
      </w:pPr>
    </w:p>
    <w:p>
      <w:pPr>
        <w:spacing w:after="156" w:afterLines="50"/>
        <w:jc w:val="center"/>
        <w:rPr>
          <w:rFonts w:ascii="Times New Roman" w:hAnsi="Times New Roman" w:cs="Times New Roman"/>
          <w:b/>
          <w:bCs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156" w:afterLines="50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Supplementary Table 1. </w:t>
      </w:r>
      <w:r>
        <w:rPr>
          <w:rFonts w:hint="eastAsia" w:ascii="Times New Roman" w:hAnsi="Times New Roman"/>
          <w:color w:val="auto"/>
          <w:sz w:val="24"/>
        </w:rPr>
        <w:t>Characteristics of participants included in the analysis and those excluded from the final analysis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2052"/>
        <w:gridCol w:w="2062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0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Analytic Sample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Missing sample</w:t>
            </w:r>
          </w:p>
        </w:tc>
        <w:tc>
          <w:tcPr>
            <w:tcW w:w="69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P-value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Participants (n)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4127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93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Age (years)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54 (±11)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52 (±12)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Male (%)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1974 (47.8)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38 (40.9)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Education (years)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0.859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Never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635 (15.4)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17 (18.3)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≤6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1422 (34.5)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30 (32.3)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7–9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1327 (32.2)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32 (34.4)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10–12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430 (10.4)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 (9.7)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&gt;12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305 (7.4)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 (5.4)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Rural (%)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2991 (72.5)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71 (76.3)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0.408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Anthropometry parameters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Waist (cm)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83 (±10)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81 (±10)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0.029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Hip (cm)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94 (±8)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93 (±7)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0.362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Obese WHR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2022 (50.6)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38 (42.7)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BMI (kg/m</w:t>
            </w:r>
            <w:r>
              <w:rPr>
                <w:rStyle w:val="6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0.769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Lean (&lt;18.5)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218 (5.3)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 (7.5)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Normal (18.5–23.9)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2267 (54.9)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50 (53.8)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Overweight (24–27.9)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1267 (30.7)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29 (31.2)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Obesity (≥28)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375 (9.1)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 (7.5)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Systolic BP (mm Hg)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125 (±19)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126 (±18)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0.880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Diastolic BP (mm Hg)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81 (±11)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81 (±10)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0.941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1036 (29.3)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 (31.3)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0.689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Diabetes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105 (2.5)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 (7.5)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0.009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Serum uric acid (mg/dL)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 (±2)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 (±2)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Hyperuricemia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640 (15.5)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16 (17.2)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0.655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Dyslipidemia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2496 (60.5)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61 (65.6)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0.319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eGFR (ml/ min/l.73m</w:t>
            </w:r>
            <w:r>
              <w:rPr>
                <w:rStyle w:val="6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81 (±18)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81 (±14)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0.975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History of MI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40 (1.0)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 (0.0)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History of apoplexy 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41 (1.0)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 (1.1)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0.936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 xml:space="preserve">health-related behavior 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Smoking status 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0.500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Never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2781 (67.4)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62 (67.4)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Ever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131 (3.2)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 (1.1)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Current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1214 (29.4)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29 (31.5)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Tea intake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1492 (36.2)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35 (37.6)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Coffee intake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66 (1.6)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 (1.1)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0.696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Total protein intake (g/day)</w:t>
            </w:r>
          </w:p>
        </w:tc>
        <w:tc>
          <w:tcPr>
            <w:tcW w:w="120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63 (±19)</w:t>
            </w:r>
          </w:p>
        </w:tc>
        <w:tc>
          <w:tcPr>
            <w:tcW w:w="121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61 (±17)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0.221 </w:t>
            </w:r>
          </w:p>
        </w:tc>
      </w:tr>
    </w:tbl>
    <w:p>
      <w:pPr>
        <w:jc w:val="left"/>
        <w:rPr>
          <w:rFonts w:ascii="Times New Roman" w:hAnsi="Times New Roman" w:cs="Times New Roman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Continue.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8"/>
        <w:gridCol w:w="2052"/>
        <w:gridCol w:w="2062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Physical activity level (METs/week)</w:t>
            </w:r>
          </w:p>
        </w:tc>
        <w:tc>
          <w:tcPr>
            <w:tcW w:w="120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Low (&lt;49.6)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1376 (33.3)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 w:val="0"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11 (36.7)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Medium (49.6~143.7)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1375 (33.3)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9 (30.0)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High (&gt;143.7)</w:t>
            </w:r>
          </w:p>
        </w:tc>
        <w:tc>
          <w:tcPr>
            <w:tcW w:w="120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1376 (33.3)</w:t>
            </w:r>
          </w:p>
        </w:tc>
        <w:tc>
          <w:tcPr>
            <w:tcW w:w="121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10 (33.3)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Abbreviation: BMI, body mass index; BP, blood pressure; eGFR, estimated glomerular filtration rate; MI, myocardial infarction; SUA, serum uric acid; WHR, waist to hip circumference ratio.</w:t>
      </w:r>
    </w:p>
    <w:p>
      <w:pPr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Data are presented as No. (%), mean± SD or median (IQR); </w:t>
      </w:r>
    </w:p>
    <w:p>
      <w:pPr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*P values were calculated by using T test for continuous variables and χ</w:t>
      </w:r>
      <w:r>
        <w:rPr>
          <w:rFonts w:ascii="Times New Roman" w:hAnsi="Times New Roman" w:cs="Times New Roman"/>
          <w:color w:val="auto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auto"/>
          <w:sz w:val="24"/>
        </w:rPr>
        <w:t xml:space="preserve"> test or Fisher's exact test for categorical variables.</w:t>
      </w:r>
    </w:p>
    <w:p>
      <w:pPr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8 participants were not available for education level; 137 participants were not available for WHR; 601 participants were not available for hypertension; 10 participants were not available for coffee intake; 8 participants were not available for tea intake; 3 participants were not available for the history of myocardial infarction; 1 participant was not available for the history of apoplexy; 2 participants were not available for smoking status.</w:t>
      </w: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adjustRightInd w:val="0"/>
        <w:spacing w:after="156" w:afterLines="50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Supplementary Table 2. </w:t>
      </w:r>
      <w:r>
        <w:rPr>
          <w:rFonts w:hint="eastAsia" w:ascii="Times New Roman" w:hAnsi="Times New Roman" w:cs="Times New Roman"/>
          <w:color w:val="auto"/>
          <w:sz w:val="24"/>
        </w:rPr>
        <w:t>Univariate and multivariate logistic regression analysis of the association with HUA</w:t>
      </w:r>
    </w:p>
    <w:tbl>
      <w:tblPr>
        <w:tblStyle w:val="3"/>
        <w:tblW w:w="10550" w:type="dxa"/>
        <w:tblInd w:w="-8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1246"/>
        <w:gridCol w:w="1246"/>
        <w:gridCol w:w="1033"/>
        <w:gridCol w:w="1267"/>
        <w:gridCol w:w="941"/>
        <w:gridCol w:w="250"/>
        <w:gridCol w:w="1350"/>
        <w:gridCol w:w="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23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HUA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P-value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*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Unadjusted OR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(95% CI)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P-value</w:t>
            </w:r>
          </w:p>
        </w:tc>
        <w:tc>
          <w:tcPr>
            <w:tcW w:w="2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Multivariable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adjusted OR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(95% CI)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Style w:val="7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No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Yes</w:t>
            </w:r>
          </w:p>
        </w:tc>
        <w:tc>
          <w:tcPr>
            <w:tcW w:w="103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Participants (n)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3487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640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Age, per 5 year increase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54 (±11)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55 (±11)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0.047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1.0 (1.0~1.1)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0.047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0.9 (0.9~1.0)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Male (%)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1571 (45.1)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403 (63.0)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2.1 (1.7~2.5)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(1.2~2.3)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0.003</w:t>
            </w: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Education (years)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0.051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551 (15.8)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84 (13.2)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0.9 (0.7~1.2)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0.703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(0.9~1.6)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≤6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1225 (35.2)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197 (30.8)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7–9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1108 (31.8)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219 (34.3)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(1.0~1.5)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0.053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(0.9~1.6)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0.142</w:t>
            </w: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10–12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360 (10.3)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70 (11.0)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0.210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1.0 (0.7~1.5)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&gt;12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236 (6.8)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69 (10.8)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(1.3~2.5)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(0.8~1.9)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0.313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Urban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926 (26.6)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210 (32.8)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(1.1~1.6)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(1.0~1.6)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Anthropometry parameters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Obese WHR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1632 (48.4)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390 (62.9)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(1.5~2.2)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(1.1~1.7)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BMI (kg/m</w:t>
            </w:r>
            <w:r>
              <w:rPr>
                <w:rStyle w:val="8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Lean (&lt;18.5)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206 (5.9)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 (1.9)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0.5 (0.3~0.8)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0.010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0.7 (0.3~1.3)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Normal (18.5–23.9)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2011 (57.7)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256 (40.0)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Overweight (24–27.9)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1003 (28.8)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264 (41.3)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2.1 (1.7~2.5)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0.7 (0.3~1.3)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Obesity (≥28)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267 (7.7)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108 (16.9)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3.2 (2.5~4.1)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(1.3~2.1)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Hypertension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796 (26.7)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240 (43.3)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2.1 (1.7~2.5)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(1.1~1.8)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Diabetes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79 (2.3)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 (4.1)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(1.2~2.9)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0.009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0.9 (0.5~1.6)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Dyslipidemia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1959 (56.2)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537 (83.9)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4.1 (3.3~5.1)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2.9 (2.2~3.7)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History of MI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30 (0.9)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 (1.6)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0.096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(0.9~3.8)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0.101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History of apoplexy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32 (0.9)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 (1.4)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0.252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1.5 (0.7~3.2)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0.255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Framingham score (%)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，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per 10 unit increase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3.9 (2.0~7.3)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5.6 (3.3~10.0)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(1.4~1.7)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(0.8~1.4)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eGFR, per 10 unit increase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77 (±15)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69 (±17)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 (0.6~0.7)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 (0.5~0.6)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lang w:bidi="ar"/>
              </w:rPr>
              <w:t>Health-related behaviour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Smoking status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Never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2391 (68.6)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390 (60.9)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Ever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104 (3.0)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27 (4.2)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(1.0~2.5)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0.037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0.8 (0.5~1.5)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0.533</w:t>
            </w:r>
          </w:p>
        </w:tc>
      </w:tr>
      <w:tr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Current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991 (28.4)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223 (34.8)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(1.2~1.7)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(0.8~1.4)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Tea intake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1224 (35.1)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268 (41.9)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(1.1~1.6)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0.9 (0.7~1.1)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Coffee intake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51 (1.5)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15 (2.4)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0.103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(0.9~2.9)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0.106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Total protein intake, per 10 g increase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62 (±19)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65 (±19)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(1.0~1.1)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(1.0~1.1)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0.031</w:t>
            </w:r>
          </w:p>
        </w:tc>
      </w:tr>
    </w:tbl>
    <w:p>
      <w:pPr>
        <w:jc w:val="left"/>
        <w:rPr>
          <w:rFonts w:ascii="Times New Roman" w:hAnsi="Times New Roman" w:cs="Times New Roman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0550" w:type="dxa"/>
        <w:tblInd w:w="-8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1254"/>
        <w:gridCol w:w="1254"/>
        <w:gridCol w:w="800"/>
        <w:gridCol w:w="1384"/>
        <w:gridCol w:w="975"/>
        <w:gridCol w:w="258"/>
        <w:gridCol w:w="1408"/>
        <w:gridCol w:w="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i/>
                <w:iCs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Physical activity level (METs/week)</w:t>
            </w: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0.778</w:t>
            </w:r>
          </w:p>
        </w:tc>
        <w:tc>
          <w:tcPr>
            <w:tcW w:w="138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5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Low (&lt;49.6)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1161 (33.3)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215 (33.6)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Medium (49.6~143.7)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1156 (33.2)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219 (34.2)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 (0.8~1.3)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0.828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High (&gt;143.7)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1170 (33.6)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206 (32.2)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 (0.8~1.2)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0.634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Drinking behavior change pattern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Never drinking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1929 (55.3)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258 (40.3)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Ref (1.00)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Change to be a drinker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356 (10.2)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68 (10.6)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(1.1~1.9)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0.016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(0.8~1.8)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Quit drinking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440 (12.6)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92 (14.4)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(1.2~2.0)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(0.9~1.8)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Keep drinking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762 (21.9)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222 (34.7)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2.2 (1.8~2.7)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(1.2~2.4)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0.002</w:t>
            </w:r>
          </w:p>
        </w:tc>
      </w:tr>
    </w:tbl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Abbreviation: OR, odds ratio; CI, confidence interval; Other abbreviations as in Supplementary table 1Abbreviations as in Table 1; Data are presented as No. (%), mean± SD or median (IQR); </w:t>
      </w:r>
    </w:p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*P values were calculated by using T test or Wilcoxon test for continuous variables and χ</w:t>
      </w:r>
      <w:r>
        <w:rPr>
          <w:rFonts w:ascii="Times New Roman" w:hAnsi="Times New Roman" w:cs="Times New Roman"/>
          <w:color w:val="auto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auto"/>
          <w:sz w:val="24"/>
        </w:rPr>
        <w:t xml:space="preserve"> test for categorical variables.</w:t>
      </w:r>
    </w:p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8 participants were not available for education level; 133 participants were not available for WHR; 591 participants were not available for hypertension; 31 participants were not available for drinking frequency; 9 participants were not available for coffee intake; 7 participants were not available for tea intake; 3 participants were not available for the history of myocardial infarction; 1 participant was not available for the history of apoplexy; 1 participant was not available for smoking status; 26 participants were not available for drinking frequency; 9 participants were not available for beer drinking; 10 participants were not available for wine drinking; 11 participants were not available for liquor drinking. </w:t>
      </w:r>
    </w:p>
    <w:p>
      <w:pPr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br w:type="page"/>
      </w:r>
    </w:p>
    <w:p>
      <w:pPr>
        <w:jc w:val="left"/>
        <w:rPr>
          <w:rFonts w:ascii="Times New Roman" w:hAnsi="Times New Roman" w:cs="Times New Roman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156" w:afterLines="50"/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Supplementary Table 3. </w:t>
      </w:r>
      <w:r>
        <w:rPr>
          <w:rFonts w:hint="eastAsia" w:ascii="Times New Roman" w:hAnsi="Times New Roman" w:cs="Times New Roman"/>
          <w:color w:val="auto"/>
          <w:sz w:val="24"/>
        </w:rPr>
        <w:t>Risk of HUA by threshold early alcohol intake by gender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4"/>
        <w:gridCol w:w="2615"/>
        <w:gridCol w:w="273"/>
        <w:gridCol w:w="26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8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Threshold alcohol intake, SD/week</w:t>
            </w:r>
          </w:p>
        </w:tc>
        <w:tc>
          <w:tcPr>
            <w:tcW w:w="153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Male</w:t>
            </w:r>
          </w:p>
        </w:tc>
        <w:tc>
          <w:tcPr>
            <w:tcW w:w="1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Female</w:t>
            </w:r>
          </w:p>
        </w:tc>
      </w:tr>
      <w:tr>
        <w:trPr>
          <w:trHeight w:val="570" w:hRule="atLeast"/>
        </w:trPr>
        <w:tc>
          <w:tcPr>
            <w:tcW w:w="1768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Multivariable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adjusted OR (95% CI)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Multivariable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adjusted OR (95% 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(0.8~2.3)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(0.3~4.0)</w:t>
            </w:r>
          </w:p>
        </w:tc>
      </w:tr>
      <w:tr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(0.8~2.4)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0.8 (0.2~2.8)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(0.9~2.0)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1.5 (0.5~4.9)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(0.9~2.0)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(0.4~4.5)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6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(1.0~2.0)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vertAlign w:val="superscript"/>
                <w:lang w:bidi="ar"/>
              </w:rPr>
              <w:t>†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(0.4~4.6)</w:t>
            </w:r>
          </w:p>
        </w:tc>
      </w:tr>
      <w:tr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7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(1.0~2.0)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vertAlign w:val="superscript"/>
                <w:lang w:bidi="ar"/>
              </w:rPr>
              <w:t>†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(0.5~5.3)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8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(0.9~1.7)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1.4 (0.4~4.7)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9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(0.9~1.7)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1.5 (0.4~4.9)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10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(0.9~1.8)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(0.5~6.0)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11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(0.9~1.7)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2.5 (0.7~8.6)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12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(0.8~1.5)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2.8 (0.8~9.9)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13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1.1 (0.8~1.6)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2.8 (0.8~9.9)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14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(0.8~1.6)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3.4 (0.9~12.3)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vertAlign w:val="superscript"/>
                <w:lang w:bidi="ar"/>
              </w:rPr>
              <w:t>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15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1.2 (0.9~1.7)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3.4 (0.9~12.3)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vertAlign w:val="superscript"/>
                <w:lang w:bidi="ar"/>
              </w:rPr>
              <w:t>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16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(0.9~1.8)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2.2 (0.5~10.2)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17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(1.0~1.9)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vertAlign w:val="superscript"/>
                <w:lang w:bidi="ar"/>
              </w:rPr>
              <w:t>†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2.3 (0.5~10.8)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18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1.5 (1.0~2.1)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(0.2~7.3)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19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1.5 (1.1~2.2)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1.3 (0.2~7.3)</w:t>
            </w:r>
          </w:p>
        </w:tc>
      </w:tr>
      <w:tr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20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(1.1~2.2)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0.5 (0.1~5.0)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21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(1.1~2.3)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0.5 (0.1~5.0)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22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(1.2~2.4)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23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1.6 (1.1~2.4)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24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(1.2~2.4)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25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(1.2~2.5)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26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1.7 (1.2~2.5)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27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(1.2~2.6)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28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1.8 (1.2~2.6)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29</w:t>
            </w:r>
          </w:p>
        </w:tc>
        <w:tc>
          <w:tcPr>
            <w:tcW w:w="1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1.9 (1.3~2.8)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30</w:t>
            </w:r>
          </w:p>
        </w:tc>
        <w:tc>
          <w:tcPr>
            <w:tcW w:w="15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1.9 (1.3~2.8)</w:t>
            </w:r>
            <w:r>
              <w:rPr>
                <w:rStyle w:val="5"/>
                <w:rFonts w:ascii="Times New Roman" w:hAnsi="Times New Roman" w:eastAsia="宋体" w:cs="Times New Roman"/>
                <w:color w:val="auto"/>
                <w:sz w:val="24"/>
                <w:szCs w:val="24"/>
                <w:lang w:bidi="ar"/>
              </w:rPr>
              <w:t>***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righ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N.A</w:t>
            </w:r>
          </w:p>
        </w:tc>
      </w:tr>
    </w:tbl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OR was adjusted for age (as continous), gender, BMI, HTN, diabetes, eGFR and dyslipidemia, smoking status and total protein intake; †P &lt;0.10; * P&lt;0.05; ** P&lt;0.010; *** P&lt;0.001; Abbreviations as in Supplementary table 1.</w:t>
      </w: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drawing>
          <wp:inline distT="0" distB="0" distL="114300" distR="114300">
            <wp:extent cx="5621655" cy="5897245"/>
            <wp:effectExtent l="0" t="0" r="7620" b="8255"/>
            <wp:docPr id="1" name="图片 1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"/>
                    <pic:cNvPicPr>
                      <a:picLocks noChangeAspect="1"/>
                    </pic:cNvPicPr>
                  </pic:nvPicPr>
                  <pic:blipFill>
                    <a:blip r:embed="rId4"/>
                    <a:srcRect l="8666" b="1673"/>
                    <a:stretch>
                      <a:fillRect/>
                    </a:stretch>
                  </pic:blipFill>
                  <pic:spPr>
                    <a:xfrm>
                      <a:off x="0" y="0"/>
                      <a:ext cx="5621655" cy="589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color w:val="auto"/>
          <w:sz w:val="24"/>
        </w:rPr>
      </w:pPr>
    </w:p>
    <w:p>
      <w:pPr>
        <w:jc w:val="center"/>
        <w:rPr>
          <w:rFonts w:hint="eastAsia" w:ascii="Times New Roman" w:hAnsi="Times New Roman" w:cs="Times New Roman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color w:val="auto"/>
          <w:sz w:val="24"/>
        </w:rPr>
        <w:t xml:space="preserve">Supplementary Figure 1. </w:t>
      </w:r>
      <w:r>
        <w:rPr>
          <w:rFonts w:hint="eastAsia" w:ascii="Times New Roman" w:hAnsi="Times New Roman" w:cs="Times New Roman"/>
          <w:color w:val="auto"/>
          <w:sz w:val="24"/>
        </w:rPr>
        <w:t>Flowchart showing the selection of study population</w:t>
      </w:r>
    </w:p>
    <w:p>
      <w:pPr>
        <w:jc w:val="left"/>
        <w:rPr>
          <w:rFonts w:hint="eastAsia" w:ascii="Times New Roman" w:hAnsi="Times New Roman" w:cs="Times New Roman"/>
          <w:color w:val="auto"/>
          <w:sz w:val="24"/>
        </w:rPr>
      </w:pPr>
    </w:p>
    <w:p>
      <w:pPr>
        <w:jc w:val="center"/>
        <w:rPr>
          <w:rFonts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</w:rPr>
        <w:drawing>
          <wp:inline distT="0" distB="0" distL="114300" distR="114300">
            <wp:extent cx="9253220" cy="3673475"/>
            <wp:effectExtent l="0" t="0" r="5080" b="3175"/>
            <wp:docPr id="3" name="图片 3" descr="S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53220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color w:val="auto"/>
          <w:sz w:val="24"/>
        </w:rPr>
      </w:pPr>
    </w:p>
    <w:p>
      <w:pPr>
        <w:jc w:val="left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 xml:space="preserve">Supplementary Figure 2. </w:t>
      </w:r>
      <w:r>
        <w:rPr>
          <w:rFonts w:hint="eastAsia" w:ascii="Times New Roman" w:hAnsi="Times New Roman" w:cs="Times New Roman"/>
          <w:color w:val="auto"/>
          <w:sz w:val="24"/>
        </w:rPr>
        <w:t>Univariate and multivariate logistic regression analysis of the association between drinking-related behavior and HUA by gender in 2009</w:t>
      </w:r>
      <w:r>
        <w:rPr>
          <w:rFonts w:ascii="Times New Roman" w:hAnsi="Times New Roman" w:cs="Times New Roman"/>
          <w:color w:val="auto"/>
          <w:sz w:val="24"/>
        </w:rPr>
        <w:t xml:space="preserve"> (OR, odds ratio; CI, confidence interval; SD, standard drink; Other abbreviations as in Table 1).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yNTGzNLGwNDAwMjVW0lEKTi0uzszPAykwrAUALoIFACwAAAA="/>
  </w:docVars>
  <w:rsids>
    <w:rsidRoot w:val="00172A27"/>
    <w:rsid w:val="000A3110"/>
    <w:rsid w:val="00172A27"/>
    <w:rsid w:val="00523FAC"/>
    <w:rsid w:val="00776B5E"/>
    <w:rsid w:val="00C10024"/>
    <w:rsid w:val="00FB6312"/>
    <w:rsid w:val="01D379DA"/>
    <w:rsid w:val="03DA7ED5"/>
    <w:rsid w:val="0516576C"/>
    <w:rsid w:val="07940DFC"/>
    <w:rsid w:val="0A35250A"/>
    <w:rsid w:val="0B7B531A"/>
    <w:rsid w:val="0C7317C1"/>
    <w:rsid w:val="0C84236A"/>
    <w:rsid w:val="0D9154D6"/>
    <w:rsid w:val="0F787EB4"/>
    <w:rsid w:val="0F7E739B"/>
    <w:rsid w:val="0FD333EA"/>
    <w:rsid w:val="0FD56E42"/>
    <w:rsid w:val="11290986"/>
    <w:rsid w:val="129C52FF"/>
    <w:rsid w:val="12BF0323"/>
    <w:rsid w:val="130172AA"/>
    <w:rsid w:val="13A322A2"/>
    <w:rsid w:val="144B5FC9"/>
    <w:rsid w:val="147A50E8"/>
    <w:rsid w:val="16E91BEB"/>
    <w:rsid w:val="179672D7"/>
    <w:rsid w:val="18011451"/>
    <w:rsid w:val="1BA931DC"/>
    <w:rsid w:val="1BFB4653"/>
    <w:rsid w:val="1C75017C"/>
    <w:rsid w:val="1E3D3067"/>
    <w:rsid w:val="1F021577"/>
    <w:rsid w:val="1F112FB1"/>
    <w:rsid w:val="230D2364"/>
    <w:rsid w:val="252A50D3"/>
    <w:rsid w:val="254E096E"/>
    <w:rsid w:val="263E5CEF"/>
    <w:rsid w:val="26ED761C"/>
    <w:rsid w:val="27A863C5"/>
    <w:rsid w:val="27D14AB1"/>
    <w:rsid w:val="27E07B23"/>
    <w:rsid w:val="28AA12BA"/>
    <w:rsid w:val="299A3263"/>
    <w:rsid w:val="2ABC1F24"/>
    <w:rsid w:val="2BFE5B99"/>
    <w:rsid w:val="2C8B1F44"/>
    <w:rsid w:val="2D656AFA"/>
    <w:rsid w:val="2DDA613D"/>
    <w:rsid w:val="2FC02A68"/>
    <w:rsid w:val="2FEB6F8C"/>
    <w:rsid w:val="30B40894"/>
    <w:rsid w:val="334335B1"/>
    <w:rsid w:val="35404575"/>
    <w:rsid w:val="38716DF8"/>
    <w:rsid w:val="3952710B"/>
    <w:rsid w:val="398B3FE2"/>
    <w:rsid w:val="39DC0B7C"/>
    <w:rsid w:val="39E62D89"/>
    <w:rsid w:val="3B557EDC"/>
    <w:rsid w:val="3C4D1958"/>
    <w:rsid w:val="3CD079EE"/>
    <w:rsid w:val="3D276353"/>
    <w:rsid w:val="3FA459C9"/>
    <w:rsid w:val="42DF676C"/>
    <w:rsid w:val="446441D4"/>
    <w:rsid w:val="44FA5EC6"/>
    <w:rsid w:val="45511CF9"/>
    <w:rsid w:val="45725B31"/>
    <w:rsid w:val="4980397F"/>
    <w:rsid w:val="4AF560AE"/>
    <w:rsid w:val="4BB944B6"/>
    <w:rsid w:val="4C787B91"/>
    <w:rsid w:val="4FBF7DC5"/>
    <w:rsid w:val="529B042B"/>
    <w:rsid w:val="53624A43"/>
    <w:rsid w:val="537651A3"/>
    <w:rsid w:val="54561AAF"/>
    <w:rsid w:val="55B443BA"/>
    <w:rsid w:val="55E80D2A"/>
    <w:rsid w:val="56843A9B"/>
    <w:rsid w:val="578E2A10"/>
    <w:rsid w:val="582E2201"/>
    <w:rsid w:val="58C5003C"/>
    <w:rsid w:val="5981599A"/>
    <w:rsid w:val="598813F1"/>
    <w:rsid w:val="5BBE7DAD"/>
    <w:rsid w:val="5CF73C8F"/>
    <w:rsid w:val="5D5C2C77"/>
    <w:rsid w:val="5E69185E"/>
    <w:rsid w:val="5F1F4051"/>
    <w:rsid w:val="606A2DCA"/>
    <w:rsid w:val="60A2043E"/>
    <w:rsid w:val="616444D6"/>
    <w:rsid w:val="617E5595"/>
    <w:rsid w:val="62E70A4B"/>
    <w:rsid w:val="6386445C"/>
    <w:rsid w:val="63E605E8"/>
    <w:rsid w:val="6770209D"/>
    <w:rsid w:val="67B82C07"/>
    <w:rsid w:val="6A001D4F"/>
    <w:rsid w:val="6A4E2769"/>
    <w:rsid w:val="6B0426A4"/>
    <w:rsid w:val="6BA87213"/>
    <w:rsid w:val="6F0B25F6"/>
    <w:rsid w:val="703C783E"/>
    <w:rsid w:val="703E0148"/>
    <w:rsid w:val="71A72E1E"/>
    <w:rsid w:val="72D635E5"/>
    <w:rsid w:val="734F0550"/>
    <w:rsid w:val="7500509D"/>
    <w:rsid w:val="78114BC2"/>
    <w:rsid w:val="78494641"/>
    <w:rsid w:val="7B0723F5"/>
    <w:rsid w:val="7CEE1809"/>
    <w:rsid w:val="7DD317A6"/>
    <w:rsid w:val="7E762A8B"/>
    <w:rsid w:val="7ED5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31"/>
    <w:basedOn w:val="4"/>
    <w:qFormat/>
    <w:uiPriority w:val="0"/>
    <w:rPr>
      <w:rFonts w:hint="default" w:ascii="Arial" w:hAnsi="Arial" w:cs="Arial"/>
      <w:color w:val="231F20"/>
      <w:sz w:val="18"/>
      <w:szCs w:val="18"/>
      <w:u w:val="none"/>
    </w:rPr>
  </w:style>
  <w:style w:type="character" w:customStyle="1" w:styleId="6">
    <w:name w:val="font41"/>
    <w:basedOn w:val="4"/>
    <w:qFormat/>
    <w:uiPriority w:val="0"/>
    <w:rPr>
      <w:rFonts w:hint="default" w:ascii="Arial" w:hAnsi="Arial" w:cs="Arial"/>
      <w:color w:val="333333"/>
      <w:sz w:val="18"/>
      <w:szCs w:val="18"/>
      <w:u w:val="none"/>
      <w:vertAlign w:val="superscript"/>
    </w:rPr>
  </w:style>
  <w:style w:type="character" w:customStyle="1" w:styleId="7">
    <w:name w:val="font61"/>
    <w:basedOn w:val="4"/>
    <w:qFormat/>
    <w:uiPriority w:val="0"/>
    <w:rPr>
      <w:rFonts w:hint="default" w:ascii="Arial" w:hAnsi="Arial" w:cs="Arial"/>
      <w:i/>
      <w:iCs/>
      <w:color w:val="231F20"/>
      <w:sz w:val="18"/>
      <w:szCs w:val="18"/>
      <w:u w:val="none"/>
    </w:rPr>
  </w:style>
  <w:style w:type="character" w:customStyle="1" w:styleId="8">
    <w:name w:val="font71"/>
    <w:basedOn w:val="4"/>
    <w:qFormat/>
    <w:uiPriority w:val="0"/>
    <w:rPr>
      <w:rFonts w:hint="default" w:ascii="Arial" w:hAnsi="Arial" w:cs="Arial"/>
      <w:color w:val="333333"/>
      <w:sz w:val="18"/>
      <w:szCs w:val="18"/>
      <w:u w:val="none"/>
      <w:vertAlign w:val="superscript"/>
    </w:rPr>
  </w:style>
  <w:style w:type="character" w:customStyle="1" w:styleId="9">
    <w:name w:val="font51"/>
    <w:basedOn w:val="4"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1410</Words>
  <Characters>8039</Characters>
  <Lines>66</Lines>
  <Paragraphs>18</Paragraphs>
  <TotalTime>23</TotalTime>
  <ScaleCrop>false</ScaleCrop>
  <LinksUpToDate>false</LinksUpToDate>
  <CharactersWithSpaces>9431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2021-08-24T05:01:00Z</dcterms:created>
  <dc:creator>ZBW</dc:creator>
  <cp:lastModifiedBy>博小文</cp:lastModifiedBy>
  <dcterms:modified xsi:type="dcterms:W3CDTF">2021-11-23T06:13:15Z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1D2CC639A61645A0B55DABEB2D4CC354</vt:lpwstr>
  </property>
</Properties>
</file>