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21DB5" w14:textId="77777777" w:rsidR="004860B8" w:rsidRPr="006D678D" w:rsidRDefault="008537C9">
      <w:pPr>
        <w:jc w:val="center"/>
        <w:rPr>
          <w:sz w:val="32"/>
          <w:szCs w:val="32"/>
        </w:rPr>
      </w:pPr>
      <w:r w:rsidRPr="006D678D">
        <w:rPr>
          <w:b/>
          <w:sz w:val="32"/>
          <w:szCs w:val="32"/>
        </w:rPr>
        <w:t>Supporting Information</w:t>
      </w:r>
    </w:p>
    <w:p w14:paraId="269A6F6A" w14:textId="1B5A3907" w:rsidR="004860B8" w:rsidRPr="006D678D" w:rsidRDefault="001F60CF">
      <w:pPr>
        <w:jc w:val="center"/>
        <w:rPr>
          <w:sz w:val="28"/>
          <w:szCs w:val="28"/>
        </w:rPr>
      </w:pPr>
      <w:r w:rsidRPr="001F60CF">
        <w:rPr>
          <w:b/>
          <w:sz w:val="28"/>
          <w:szCs w:val="28"/>
        </w:rPr>
        <w:t>Oxygen plasma-engineered resin–carbon interfaces in 3D-printed hollow microneedle electrodes for IL-6 detection</w:t>
      </w:r>
    </w:p>
    <w:p w14:paraId="0DB0F400" w14:textId="4D9C467F" w:rsidR="004860B8" w:rsidRPr="00C6096E" w:rsidRDefault="008537C9">
      <w:pPr>
        <w:jc w:val="center"/>
        <w:rPr>
          <w:lang w:val="pt-BR"/>
        </w:rPr>
      </w:pPr>
      <w:r w:rsidRPr="00C6096E">
        <w:rPr>
          <w:lang w:val="pt-BR"/>
        </w:rPr>
        <w:t>Rafael C. Otoni,</w:t>
      </w:r>
      <w:r w:rsidR="001E4344">
        <w:rPr>
          <w:vertAlign w:val="superscript"/>
          <w:lang w:val="pt-BR"/>
        </w:rPr>
        <w:t>1</w:t>
      </w:r>
      <w:r w:rsidRPr="00C6096E">
        <w:rPr>
          <w:lang w:val="pt-BR"/>
        </w:rPr>
        <w:t xml:space="preserve"> Leandro T. Kochi,</w:t>
      </w:r>
      <w:r w:rsidR="001E4344">
        <w:rPr>
          <w:vertAlign w:val="superscript"/>
          <w:lang w:val="pt-BR"/>
        </w:rPr>
        <w:t>1</w:t>
      </w:r>
      <w:r w:rsidRPr="00C6096E">
        <w:rPr>
          <w:lang w:val="pt-BR"/>
        </w:rPr>
        <w:t xml:space="preserve"> Ana Cristina H. Castro-Kochi,</w:t>
      </w:r>
      <w:r w:rsidR="001E4344">
        <w:rPr>
          <w:vertAlign w:val="superscript"/>
          <w:lang w:val="pt-BR"/>
        </w:rPr>
        <w:t>1,2</w:t>
      </w:r>
      <w:r w:rsidRPr="00C6096E">
        <w:rPr>
          <w:lang w:val="pt-BR"/>
        </w:rPr>
        <w:t xml:space="preserve"> Ana Carola D. L. V. Reis,</w:t>
      </w:r>
      <w:r w:rsidR="001E4344">
        <w:rPr>
          <w:vertAlign w:val="superscript"/>
          <w:lang w:val="pt-BR"/>
        </w:rPr>
        <w:t>1</w:t>
      </w:r>
      <w:r w:rsidRPr="00C6096E">
        <w:rPr>
          <w:lang w:val="pt-BR"/>
        </w:rPr>
        <w:t xml:space="preserve"> Fabíola L. de Castro,</w:t>
      </w:r>
      <w:r w:rsidR="001E4344">
        <w:rPr>
          <w:vertAlign w:val="superscript"/>
          <w:lang w:val="pt-BR"/>
        </w:rPr>
        <w:t>1</w:t>
      </w:r>
      <w:r w:rsidRPr="00C6096E">
        <w:rPr>
          <w:lang w:val="pt-BR"/>
        </w:rPr>
        <w:t xml:space="preserve"> </w:t>
      </w:r>
      <w:r w:rsidR="001F60CF">
        <w:rPr>
          <w:lang w:val="pt-BR"/>
        </w:rPr>
        <w:br/>
      </w:r>
      <w:r w:rsidRPr="00C6096E">
        <w:rPr>
          <w:lang w:val="pt-BR"/>
        </w:rPr>
        <w:t>Ana Alice Zaneli,</w:t>
      </w:r>
      <w:r w:rsidR="001E4344">
        <w:rPr>
          <w:vertAlign w:val="superscript"/>
          <w:lang w:val="pt-BR"/>
        </w:rPr>
        <w:t>1</w:t>
      </w:r>
      <w:r w:rsidRPr="00C6096E">
        <w:rPr>
          <w:lang w:val="pt-BR"/>
        </w:rPr>
        <w:t xml:space="preserve"> Wendel A. Alves</w:t>
      </w:r>
      <w:r w:rsidR="001E4344">
        <w:rPr>
          <w:lang w:val="pt-BR"/>
        </w:rPr>
        <w:t xml:space="preserve"> </w:t>
      </w:r>
      <w:proofErr w:type="gramStart"/>
      <w:r w:rsidR="001E4344">
        <w:rPr>
          <w:vertAlign w:val="superscript"/>
          <w:lang w:val="pt-BR"/>
        </w:rPr>
        <w:t>1,</w:t>
      </w:r>
      <w:r w:rsidRPr="00C6096E">
        <w:rPr>
          <w:lang w:val="pt-BR"/>
        </w:rPr>
        <w:t>*</w:t>
      </w:r>
      <w:proofErr w:type="gramEnd"/>
    </w:p>
    <w:p w14:paraId="4131B8C5" w14:textId="77777777" w:rsidR="00B33240" w:rsidRDefault="00B33240" w:rsidP="001E4344">
      <w:pPr>
        <w:jc w:val="center"/>
      </w:pPr>
      <w:r w:rsidRPr="001E4344">
        <w:rPr>
          <w:rFonts w:hint="eastAsia"/>
          <w:vertAlign w:val="superscript"/>
        </w:rPr>
        <w:t>1</w:t>
      </w:r>
      <w:r>
        <w:rPr>
          <w:rFonts w:hint="eastAsia"/>
        </w:rPr>
        <w:t>Center for Natural and Human Sciences, Federal University of ABC, 09210</w:t>
      </w:r>
      <w:r>
        <w:rPr>
          <w:rFonts w:hint="eastAsia"/>
        </w:rPr>
        <w:t>‐</w:t>
      </w:r>
      <w:r>
        <w:rPr>
          <w:rFonts w:hint="eastAsia"/>
        </w:rPr>
        <w:t>580, Santo André - SP, Brazil.</w:t>
      </w:r>
    </w:p>
    <w:p w14:paraId="588D6A35" w14:textId="2B8A3F93" w:rsidR="004860B8" w:rsidRDefault="00B33240" w:rsidP="001E4344">
      <w:pPr>
        <w:jc w:val="center"/>
      </w:pPr>
      <w:r w:rsidRPr="00B33240">
        <w:rPr>
          <w:vertAlign w:val="superscript"/>
        </w:rPr>
        <w:t>2</w:t>
      </w:r>
      <w:r>
        <w:t xml:space="preserve">School of Biomedical Engineering, Einstein Hospital Israelita, </w:t>
      </w:r>
      <w:proofErr w:type="spellStart"/>
      <w:r>
        <w:t>São</w:t>
      </w:r>
      <w:proofErr w:type="spellEnd"/>
      <w:r>
        <w:t xml:space="preserve"> Paulo, </w:t>
      </w:r>
      <w:proofErr w:type="spellStart"/>
      <w:r>
        <w:t>São</w:t>
      </w:r>
      <w:proofErr w:type="spellEnd"/>
      <w:r>
        <w:t xml:space="preserve"> Paulo 05521-200, Brazil.</w:t>
      </w:r>
    </w:p>
    <w:p w14:paraId="3882D308" w14:textId="77777777" w:rsidR="001E4344" w:rsidRDefault="001E4344">
      <w:pPr>
        <w:jc w:val="center"/>
        <w:rPr>
          <w:sz w:val="18"/>
        </w:rPr>
      </w:pPr>
    </w:p>
    <w:p w14:paraId="443054A9" w14:textId="7F494256" w:rsidR="004860B8" w:rsidRDefault="008537C9">
      <w:pPr>
        <w:jc w:val="center"/>
      </w:pPr>
      <w:r>
        <w:rPr>
          <w:sz w:val="18"/>
        </w:rPr>
        <w:t>*Corresponding author: wendel.alves@ufabc.edu.br</w:t>
      </w:r>
    </w:p>
    <w:p w14:paraId="0D2CB655" w14:textId="77777777" w:rsidR="004860B8" w:rsidRDefault="008537C9" w:rsidP="006D678D">
      <w:pPr>
        <w:pStyle w:val="SIHeading"/>
        <w:spacing w:before="240"/>
      </w:pPr>
      <w:r>
        <w:t>S1. Charge-transfer kinetics</w:t>
      </w:r>
    </w:p>
    <w:p w14:paraId="075B93AE" w14:textId="670871FE" w:rsidR="004860B8" w:rsidRDefault="008537C9" w:rsidP="00DE35DA">
      <w:pPr>
        <w:spacing w:before="240" w:line="480" w:lineRule="auto"/>
        <w:ind w:firstLine="284"/>
        <w:jc w:val="both"/>
      </w:pPr>
      <w:r>
        <w:t>The influence of scan rate (25 to 200 mV s⁻¹) on the redox response of the [Fe(CN)</w:t>
      </w:r>
      <w:r w:rsidR="006D678D">
        <w:rPr>
          <w:vertAlign w:val="subscript"/>
        </w:rPr>
        <w:t>6</w:t>
      </w:r>
      <w:r>
        <w:t>]</w:t>
      </w:r>
      <w:r w:rsidR="006D678D">
        <w:rPr>
          <w:vertAlign w:val="superscript"/>
        </w:rPr>
        <w:t>3-/4-</w:t>
      </w:r>
      <w:r>
        <w:t xml:space="preserve"> probe (5.0 mmol L</w:t>
      </w:r>
      <w:r w:rsidR="006D678D">
        <w:rPr>
          <w:vertAlign w:val="superscript"/>
        </w:rPr>
        <w:t>-1</w:t>
      </w:r>
      <w:r>
        <w:t>) was investigated by cyclic voltammetry. For both untreated and oxygen-plasma-treated HMNEs, the peak currents increased linearly with the square root of the scan rate (</w:t>
      </w:r>
      <w:r w:rsidR="006D678D">
        <w:sym w:font="Symbol" w:char="F075"/>
      </w:r>
      <w:r w:rsidR="006D678D">
        <w:rPr>
          <w:vertAlign w:val="superscript"/>
        </w:rPr>
        <w:t>1/2</w:t>
      </w:r>
      <w:r>
        <w:t>), indicating predominantly diffusion-controlled mass transport (Figure S1). The standard heterogeneous electron-transfer rate constant (</w:t>
      </w:r>
      <w:r w:rsidRPr="006D678D">
        <w:rPr>
          <w:i/>
          <w:iCs/>
        </w:rPr>
        <w:t>k</w:t>
      </w:r>
      <w:r w:rsidR="006D678D">
        <w:rPr>
          <w:i/>
          <w:iCs/>
          <w:vertAlign w:val="superscript"/>
        </w:rPr>
        <w:t>0</w:t>
      </w:r>
      <w:r>
        <w:t xml:space="preserve">) was estimated using Nicholson’s dimensionless kinetic parameter, ψ, calculated from the empirical relationship proposed by </w:t>
      </w:r>
      <w:proofErr w:type="spellStart"/>
      <w:r>
        <w:t>Lavagnini</w:t>
      </w:r>
      <w:proofErr w:type="spellEnd"/>
      <w:r>
        <w:t xml:space="preserve"> </w:t>
      </w:r>
      <w:r w:rsidRPr="006D678D">
        <w:rPr>
          <w:i/>
          <w:iCs/>
        </w:rPr>
        <w:t>et al.</w:t>
      </w:r>
      <w:r w:rsidR="006D678D">
        <w:rPr>
          <w:vertAlign w:val="superscript"/>
        </w:rPr>
        <w:t>1</w:t>
      </w:r>
      <w:r>
        <w:t>:</w:t>
      </w:r>
    </w:p>
    <w:p w14:paraId="5F3D218C" w14:textId="6D498A94" w:rsidR="004860B8" w:rsidRDefault="008537C9" w:rsidP="00DE35DA">
      <w:pPr>
        <w:spacing w:line="480" w:lineRule="auto"/>
        <w:jc w:val="center"/>
      </w:pPr>
      <w:r>
        <w:t xml:space="preserve">ψ = (−0.6288 + 0.0021ΔEₚ)/(1 − 0.017ΔEₚ)   </w:t>
      </w:r>
      <w:r w:rsidR="006D678D">
        <w:t xml:space="preserve">              </w:t>
      </w:r>
      <w:r>
        <w:t xml:space="preserve">  </w:t>
      </w:r>
      <w:r w:rsidRPr="006D678D">
        <w:rPr>
          <w:b/>
          <w:bCs/>
        </w:rPr>
        <w:t>(1)</w:t>
      </w:r>
    </w:p>
    <w:p w14:paraId="473CDF8F" w14:textId="721689A9" w:rsidR="004860B8" w:rsidRDefault="008537C9" w:rsidP="001E4344">
      <w:pPr>
        <w:spacing w:after="0" w:line="480" w:lineRule="auto"/>
        <w:jc w:val="both"/>
      </w:pPr>
      <w:r>
        <w:t>where n is the number of electrons involved in the redox process</w:t>
      </w:r>
      <w:r w:rsidR="001E4344">
        <w:t>,</w:t>
      </w:r>
      <w:r>
        <w:t xml:space="preserve"> and ΔEₚ is the peak-to-peak separation between the anodic and cathodic waves. The </w:t>
      </w:r>
      <w:r w:rsidRPr="006D678D">
        <w:rPr>
          <w:i/>
          <w:iCs/>
        </w:rPr>
        <w:t>k⁰</w:t>
      </w:r>
      <w:r>
        <w:t xml:space="preserve"> values were obtained from the scan-rate-dependent Nicholson parameter using a diffusion coefficient D = 4.24 × 10</w:t>
      </w:r>
      <w:r w:rsidR="006D678D">
        <w:rPr>
          <w:vertAlign w:val="superscript"/>
        </w:rPr>
        <w:t>-6</w:t>
      </w:r>
      <w:r>
        <w:t xml:space="preserve"> cm</w:t>
      </w:r>
      <w:r w:rsidR="006D678D">
        <w:rPr>
          <w:vertAlign w:val="superscript"/>
        </w:rPr>
        <w:t>2</w:t>
      </w:r>
      <w:r>
        <w:t xml:space="preserve"> s</w:t>
      </w:r>
      <w:r w:rsidR="006D678D">
        <w:rPr>
          <w:vertAlign w:val="superscript"/>
        </w:rPr>
        <w:t>-1</w:t>
      </w:r>
      <w:r>
        <w:t xml:space="preserve"> for the [Fe(CN)₆]</w:t>
      </w:r>
      <w:r w:rsidR="006D678D">
        <w:rPr>
          <w:vertAlign w:val="superscript"/>
        </w:rPr>
        <w:t>3-/4-</w:t>
      </w:r>
      <w:r>
        <w:t xml:space="preserve"> couple at 25 °C.</w:t>
      </w:r>
    </w:p>
    <w:p w14:paraId="055959C7" w14:textId="51637BAA" w:rsidR="004860B8" w:rsidRDefault="00FB7542" w:rsidP="009E3092">
      <w:pPr>
        <w:spacing w:line="480" w:lineRule="auto"/>
        <w:jc w:val="center"/>
      </w:pPr>
      <w:r>
        <w:rPr>
          <w:noProof/>
        </w:rPr>
        <w:drawing>
          <wp:inline distT="0" distB="0" distL="0" distR="0" wp14:anchorId="151EAC36" wp14:editId="6C2A9AB4">
            <wp:extent cx="5211165" cy="3064934"/>
            <wp:effectExtent l="0" t="0" r="8890" b="2540"/>
            <wp:docPr id="184704598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45981" name="Imagem 18470459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771" cy="309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5DF30" w14:textId="7EF7FBC8" w:rsidR="004860B8" w:rsidRDefault="008537C9">
      <w:pPr>
        <w:spacing w:before="80" w:after="160"/>
        <w:jc w:val="both"/>
      </w:pPr>
      <w:r w:rsidRPr="00C6096E">
        <w:rPr>
          <w:b/>
          <w:bCs/>
          <w:sz w:val="18"/>
        </w:rPr>
        <w:lastRenderedPageBreak/>
        <w:t>Figure S1.</w:t>
      </w:r>
      <w:r>
        <w:rPr>
          <w:sz w:val="18"/>
        </w:rPr>
        <w:t xml:space="preserve"> Cyclic voltammograms of the </w:t>
      </w:r>
      <w:r w:rsidR="00C6096E">
        <w:rPr>
          <w:sz w:val="18"/>
        </w:rPr>
        <w:t>[Fe(CN)</w:t>
      </w:r>
      <w:r w:rsidR="00C6096E">
        <w:rPr>
          <w:sz w:val="18"/>
          <w:vertAlign w:val="subscript"/>
        </w:rPr>
        <w:t>6</w:t>
      </w:r>
      <w:r w:rsidR="00C6096E">
        <w:rPr>
          <w:sz w:val="18"/>
        </w:rPr>
        <w:t>]</w:t>
      </w:r>
      <w:r w:rsidR="00C6096E">
        <w:rPr>
          <w:sz w:val="18"/>
          <w:vertAlign w:val="superscript"/>
        </w:rPr>
        <w:t>3-/4-</w:t>
      </w:r>
      <w:r>
        <w:rPr>
          <w:sz w:val="18"/>
        </w:rPr>
        <w:t xml:space="preserve"> redox couple recorded at scan rates from 25 to 200 mV s⁻¹ for (A–C) untreated HMNE and (D–F) oxygen-plasma-treated HMNE. Panels show the scan-rate-dependent voltammograms, peak current as a function of </w:t>
      </w:r>
      <w:r w:rsidR="00C6096E">
        <w:rPr>
          <w:sz w:val="18"/>
        </w:rPr>
        <w:sym w:font="Symbol" w:char="F075"/>
      </w:r>
      <w:r w:rsidR="00C6096E">
        <w:rPr>
          <w:sz w:val="18"/>
          <w:vertAlign w:val="superscript"/>
        </w:rPr>
        <w:t>1/2</w:t>
      </w:r>
      <w:r>
        <w:rPr>
          <w:sz w:val="18"/>
        </w:rPr>
        <w:t>, and Nicholson parameter ψ as a function of 43.90v⁻¹ᐟ², respectively. Electrolyte: 5 mmol L⁻¹ [Fe(CN)</w:t>
      </w:r>
      <w:r w:rsidR="00C6096E">
        <w:rPr>
          <w:sz w:val="18"/>
          <w:vertAlign w:val="subscript"/>
        </w:rPr>
        <w:t>6</w:t>
      </w:r>
      <w:r>
        <w:rPr>
          <w:sz w:val="18"/>
        </w:rPr>
        <w:t>]</w:t>
      </w:r>
      <w:r w:rsidR="00C6096E">
        <w:rPr>
          <w:sz w:val="18"/>
          <w:vertAlign w:val="superscript"/>
        </w:rPr>
        <w:t>3-/4-</w:t>
      </w:r>
      <w:r>
        <w:rPr>
          <w:sz w:val="18"/>
        </w:rPr>
        <w:t xml:space="preserve"> in 0.1 mol L⁻¹ KCl.</w:t>
      </w:r>
    </w:p>
    <w:p w14:paraId="35F42D76" w14:textId="77777777" w:rsidR="00EB6DC6" w:rsidRDefault="008537C9" w:rsidP="00EB6DC6">
      <w:pPr>
        <w:spacing w:after="0" w:line="480" w:lineRule="auto"/>
        <w:ind w:firstLine="284"/>
        <w:jc w:val="both"/>
      </w:pPr>
      <w:r>
        <w:t xml:space="preserve">The untreated HMNE exhibited a </w:t>
      </w:r>
      <w:r w:rsidRPr="00DF41E1">
        <w:rPr>
          <w:i/>
          <w:iCs/>
        </w:rPr>
        <w:t>k⁰</w:t>
      </w:r>
      <w:r>
        <w:t xml:space="preserve"> of 1.26 × 10</w:t>
      </w:r>
      <w:r w:rsidR="00DF41E1">
        <w:rPr>
          <w:vertAlign w:val="superscript"/>
        </w:rPr>
        <w:t>-3</w:t>
      </w:r>
      <w:r>
        <w:t xml:space="preserve"> cm s</w:t>
      </w:r>
      <w:r w:rsidR="00DF41E1">
        <w:rPr>
          <w:vertAlign w:val="superscript"/>
        </w:rPr>
        <w:t>-1</w:t>
      </w:r>
      <w:r>
        <w:t>, whereas oxygen plasma treatment increased this value to 2.62 × 10</w:t>
      </w:r>
      <w:r w:rsidR="00DF41E1">
        <w:rPr>
          <w:vertAlign w:val="superscript"/>
        </w:rPr>
        <w:t>-3</w:t>
      </w:r>
      <w:r>
        <w:t xml:space="preserve"> cm s</w:t>
      </w:r>
      <w:r w:rsidR="00DF41E1">
        <w:rPr>
          <w:vertAlign w:val="superscript"/>
        </w:rPr>
        <w:t>-1</w:t>
      </w:r>
      <w:r>
        <w:t xml:space="preserve">. The ψ parameter further indicated quasi-reversible electron-transfer behavior for both electrodes. The </w:t>
      </w:r>
      <w:r w:rsidRPr="00DF41E1">
        <w:rPr>
          <w:i/>
          <w:iCs/>
        </w:rPr>
        <w:t>k⁰</w:t>
      </w:r>
      <w:r>
        <w:t xml:space="preserve"> values were compared with representative carbon-based and related electrode materials reported in the literature (Table S1).</w:t>
      </w:r>
    </w:p>
    <w:p w14:paraId="3242EFB8" w14:textId="77777777" w:rsidR="00EB6DC6" w:rsidRPr="00EB6DC6" w:rsidRDefault="00EB6DC6" w:rsidP="00EB6DC6">
      <w:pPr>
        <w:spacing w:after="0" w:line="480" w:lineRule="auto"/>
        <w:ind w:firstLine="284"/>
        <w:jc w:val="both"/>
        <w:rPr>
          <w:bCs/>
        </w:rPr>
      </w:pPr>
    </w:p>
    <w:p w14:paraId="63762A19" w14:textId="7380E0F4" w:rsidR="004860B8" w:rsidRDefault="008537C9" w:rsidP="00EB6DC6">
      <w:pPr>
        <w:spacing w:after="0" w:line="480" w:lineRule="auto"/>
        <w:jc w:val="both"/>
      </w:pPr>
      <w:r>
        <w:rPr>
          <w:b/>
        </w:rPr>
        <w:t xml:space="preserve">Table S1. </w:t>
      </w:r>
      <w:r>
        <w:t>Comparison of heterogeneous electron-transfer rate constants reported for different electrode materials.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4860B8" w14:paraId="397794DD" w14:textId="77777777">
        <w:trPr>
          <w:tblHeader/>
          <w:jc w:val="center"/>
        </w:trPr>
        <w:tc>
          <w:tcPr>
            <w:tcW w:w="4986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39E569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8"/>
              </w:rPr>
              <w:t>Electrode</w:t>
            </w:r>
          </w:p>
        </w:tc>
        <w:tc>
          <w:tcPr>
            <w:tcW w:w="4986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22CF4E" w14:textId="5C370BBB" w:rsidR="004860B8" w:rsidRDefault="008537C9">
            <w:pPr>
              <w:spacing w:after="0"/>
              <w:jc w:val="center"/>
            </w:pPr>
            <w:r w:rsidRPr="00DF41E1">
              <w:rPr>
                <w:b/>
                <w:i/>
                <w:iCs/>
                <w:sz w:val="18"/>
              </w:rPr>
              <w:t>k⁰</w:t>
            </w:r>
            <w:r>
              <w:rPr>
                <w:b/>
                <w:sz w:val="18"/>
              </w:rPr>
              <w:t xml:space="preserve"> (cm s</w:t>
            </w:r>
            <w:r w:rsidR="00DF41E1">
              <w:rPr>
                <w:b/>
                <w:sz w:val="18"/>
                <w:vertAlign w:val="superscript"/>
              </w:rPr>
              <w:t>-1</w:t>
            </w:r>
            <w:r>
              <w:rPr>
                <w:b/>
                <w:sz w:val="18"/>
              </w:rPr>
              <w:t>)</w:t>
            </w:r>
          </w:p>
        </w:tc>
      </w:tr>
      <w:tr w:rsidR="004860B8" w14:paraId="1B058865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96BE99" w14:textId="77777777" w:rsidR="004860B8" w:rsidRDefault="008537C9">
            <w:pPr>
              <w:spacing w:after="0"/>
            </w:pPr>
            <w:r>
              <w:rPr>
                <w:sz w:val="18"/>
              </w:rPr>
              <w:t>Pyrolyzed paper with cellulose acetate³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1AC508" w14:textId="2EC798AF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1.5 × 10</w:t>
            </w:r>
            <w:r w:rsidR="00DF41E1">
              <w:rPr>
                <w:sz w:val="18"/>
                <w:vertAlign w:val="superscript"/>
              </w:rPr>
              <w:t>-3</w:t>
            </w:r>
          </w:p>
        </w:tc>
      </w:tr>
      <w:tr w:rsidR="004860B8" w14:paraId="0CFE3E8C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4E3EEB" w14:textId="6897F270" w:rsidR="004860B8" w:rsidRDefault="008537C9">
            <w:pPr>
              <w:spacing w:after="0"/>
            </w:pPr>
            <w:r>
              <w:rPr>
                <w:sz w:val="18"/>
              </w:rPr>
              <w:t>Reduced graphene oxide foam</w:t>
            </w:r>
            <w:r w:rsidRPr="0016565D">
              <w:rPr>
                <w:sz w:val="18"/>
              </w:rPr>
              <w:t>⁴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D08800" w14:textId="2262E5C3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2.4 × 10</w:t>
            </w:r>
            <w:r w:rsidR="00DF41E1">
              <w:rPr>
                <w:sz w:val="18"/>
                <w:vertAlign w:val="superscript"/>
              </w:rPr>
              <w:t>-4</w:t>
            </w:r>
          </w:p>
        </w:tc>
      </w:tr>
      <w:tr w:rsidR="004860B8" w14:paraId="01ABB3E2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B22C79" w14:textId="77777777" w:rsidR="004860B8" w:rsidRDefault="008537C9">
            <w:pPr>
              <w:spacing w:after="0"/>
            </w:pPr>
            <w:r>
              <w:rPr>
                <w:sz w:val="18"/>
              </w:rPr>
              <w:t>Carbon paper⁵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60C67F" w14:textId="0E5B55D0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1.6 × 10</w:t>
            </w:r>
            <w:r w:rsidR="002B50B5">
              <w:rPr>
                <w:sz w:val="18"/>
                <w:vertAlign w:val="superscript"/>
              </w:rPr>
              <w:t>-3</w:t>
            </w:r>
          </w:p>
        </w:tc>
      </w:tr>
      <w:tr w:rsidR="004860B8" w14:paraId="67483672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208BFE" w14:textId="77777777" w:rsidR="004860B8" w:rsidRDefault="008537C9">
            <w:pPr>
              <w:spacing w:after="0"/>
            </w:pPr>
            <w:r>
              <w:rPr>
                <w:sz w:val="18"/>
              </w:rPr>
              <w:t>ITO⁶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A74D2C" w14:textId="42CC1D1B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2.57 × 10</w:t>
            </w:r>
            <w:r w:rsidR="002B50B5">
              <w:rPr>
                <w:sz w:val="18"/>
                <w:vertAlign w:val="superscript"/>
              </w:rPr>
              <w:t>-3</w:t>
            </w:r>
          </w:p>
        </w:tc>
      </w:tr>
      <w:tr w:rsidR="004860B8" w14:paraId="6008A448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5DACB9" w14:textId="77777777" w:rsidR="004860B8" w:rsidRDefault="008537C9">
            <w:pPr>
              <w:spacing w:after="0"/>
            </w:pPr>
            <w:r>
              <w:rPr>
                <w:sz w:val="18"/>
              </w:rPr>
              <w:t>Pyrolyzed paper with T20⁷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B828F9" w14:textId="07B31608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1.2 × 10</w:t>
            </w:r>
            <w:r w:rsidR="002B50B5">
              <w:rPr>
                <w:sz w:val="18"/>
                <w:vertAlign w:val="superscript"/>
              </w:rPr>
              <w:t>-3</w:t>
            </w:r>
          </w:p>
        </w:tc>
      </w:tr>
      <w:tr w:rsidR="004860B8" w14:paraId="1D89812B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935777" w14:textId="77777777" w:rsidR="004860B8" w:rsidRDefault="008537C9">
            <w:pPr>
              <w:spacing w:after="0"/>
            </w:pPr>
            <w:r>
              <w:rPr>
                <w:sz w:val="18"/>
              </w:rPr>
              <w:t>HMNE without oxygen plasma treatment (this work)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8F4CFE" w14:textId="4D4BF8EC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1.26 × 10</w:t>
            </w:r>
            <w:r w:rsidR="002B50B5">
              <w:rPr>
                <w:sz w:val="18"/>
                <w:vertAlign w:val="superscript"/>
              </w:rPr>
              <w:t>-3</w:t>
            </w:r>
          </w:p>
        </w:tc>
      </w:tr>
      <w:tr w:rsidR="004860B8" w14:paraId="66DDD4C8" w14:textId="77777777">
        <w:trPr>
          <w:jc w:val="center"/>
        </w:trPr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2D20BE" w14:textId="77777777" w:rsidR="004860B8" w:rsidRDefault="008537C9">
            <w:pPr>
              <w:spacing w:after="0"/>
            </w:pPr>
            <w:r>
              <w:rPr>
                <w:sz w:val="18"/>
              </w:rPr>
              <w:t>HMNE with oxygen plasma treatment (this work)</w:t>
            </w:r>
          </w:p>
        </w:tc>
        <w:tc>
          <w:tcPr>
            <w:tcW w:w="49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4DF5DC" w14:textId="59A7A6CA" w:rsidR="004860B8" w:rsidRDefault="008537C9" w:rsidP="002B50B5">
            <w:pPr>
              <w:spacing w:after="0"/>
              <w:jc w:val="center"/>
            </w:pPr>
            <w:r>
              <w:rPr>
                <w:sz w:val="18"/>
              </w:rPr>
              <w:t>2.62 × 10</w:t>
            </w:r>
            <w:r w:rsidR="002B50B5">
              <w:rPr>
                <w:sz w:val="18"/>
                <w:vertAlign w:val="superscript"/>
              </w:rPr>
              <w:t>-3</w:t>
            </w:r>
          </w:p>
        </w:tc>
      </w:tr>
    </w:tbl>
    <w:p w14:paraId="6738F105" w14:textId="77777777" w:rsidR="004860B8" w:rsidRDefault="008537C9" w:rsidP="002B50B5">
      <w:pPr>
        <w:pStyle w:val="SIHeading"/>
        <w:spacing w:before="360"/>
      </w:pPr>
      <w:r>
        <w:t>S2. Performance in diluted human plasma</w:t>
      </w:r>
    </w:p>
    <w:p w14:paraId="0E832A08" w14:textId="77777777" w:rsidR="004860B8" w:rsidRDefault="008537C9" w:rsidP="00EC1002">
      <w:pPr>
        <w:spacing w:before="240" w:line="480" w:lineRule="auto"/>
        <w:ind w:firstLine="284"/>
        <w:jc w:val="both"/>
      </w:pPr>
      <w:r>
        <w:t>The impedimetric performance of the IL-6 immunosensor was further evaluated in human plasma diluted 1:100. Relative signal recovery was calculated by comparing the Rct responses obtained in diluted plasma and buffer at the same IL-6 concentration. Data are presented as mean ± SD (n = 3), and RSD was calculated as 100 × SD/mean.</w:t>
      </w:r>
    </w:p>
    <w:p w14:paraId="58F026E2" w14:textId="2FC8CFF7" w:rsidR="004860B8" w:rsidRPr="00EC1002" w:rsidRDefault="008537C9">
      <w:pPr>
        <w:rPr>
          <w:szCs w:val="20"/>
        </w:rPr>
      </w:pPr>
      <w:r w:rsidRPr="00EC1002">
        <w:rPr>
          <w:b/>
          <w:szCs w:val="20"/>
        </w:rPr>
        <w:t xml:space="preserve">Table S2. </w:t>
      </w:r>
      <w:r w:rsidRPr="00EC1002">
        <w:rPr>
          <w:szCs w:val="20"/>
        </w:rPr>
        <w:t>Relative signal recovery and precision of the HMNE immunosensor for IL-6 detection in diluted human plasma (1:100). Rct values were obtained from Nyquist plots fitted to the Randles equivalent circuit. Electrolyte: 5 mmol L</w:t>
      </w:r>
      <w:r w:rsidR="00716AF1">
        <w:rPr>
          <w:szCs w:val="20"/>
          <w:vertAlign w:val="superscript"/>
        </w:rPr>
        <w:t>-1</w:t>
      </w:r>
      <w:r w:rsidRPr="00EC1002">
        <w:rPr>
          <w:szCs w:val="20"/>
        </w:rPr>
        <w:t xml:space="preserve"> K</w:t>
      </w:r>
      <w:r w:rsidR="00716AF1">
        <w:rPr>
          <w:szCs w:val="20"/>
          <w:vertAlign w:val="subscript"/>
        </w:rPr>
        <w:t>4</w:t>
      </w:r>
      <w:r w:rsidRPr="00EC1002">
        <w:rPr>
          <w:szCs w:val="20"/>
        </w:rPr>
        <w:t>[Fe(CN)</w:t>
      </w:r>
      <w:r w:rsidR="00716AF1">
        <w:rPr>
          <w:szCs w:val="20"/>
          <w:vertAlign w:val="subscript"/>
        </w:rPr>
        <w:t>6</w:t>
      </w:r>
      <w:r w:rsidRPr="00EC1002">
        <w:rPr>
          <w:szCs w:val="20"/>
        </w:rPr>
        <w:t>]/K</w:t>
      </w:r>
      <w:r w:rsidR="00716AF1">
        <w:rPr>
          <w:szCs w:val="20"/>
          <w:vertAlign w:val="subscript"/>
        </w:rPr>
        <w:t>3</w:t>
      </w:r>
      <w:r w:rsidRPr="00EC1002">
        <w:rPr>
          <w:szCs w:val="20"/>
        </w:rPr>
        <w:t>[Fe(CN)</w:t>
      </w:r>
      <w:r w:rsidR="00716AF1">
        <w:rPr>
          <w:szCs w:val="20"/>
          <w:vertAlign w:val="subscript"/>
        </w:rPr>
        <w:t>6</w:t>
      </w:r>
      <w:r w:rsidRPr="00EC1002">
        <w:rPr>
          <w:szCs w:val="20"/>
        </w:rPr>
        <w:t>] in 0.1 mol L</w:t>
      </w:r>
      <w:r w:rsidR="00716AF1">
        <w:rPr>
          <w:szCs w:val="20"/>
          <w:vertAlign w:val="superscript"/>
        </w:rPr>
        <w:t>-1</w:t>
      </w:r>
      <w:r w:rsidRPr="00EC1002">
        <w:rPr>
          <w:szCs w:val="20"/>
        </w:rPr>
        <w:t xml:space="preserve"> KCl.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4860B8" w14:paraId="716196B9" w14:textId="77777777">
        <w:trPr>
          <w:tblHeader/>
          <w:jc w:val="center"/>
        </w:trPr>
        <w:tc>
          <w:tcPr>
            <w:tcW w:w="199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08BDD" w14:textId="0696A26C" w:rsidR="004860B8" w:rsidRPr="00EC1002" w:rsidRDefault="008537C9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b/>
                <w:sz w:val="18"/>
                <w:szCs w:val="18"/>
              </w:rPr>
              <w:t>Added IL-6 (ng mL</w:t>
            </w:r>
            <w:r w:rsidR="002B50B5" w:rsidRPr="00EC1002">
              <w:rPr>
                <w:b/>
                <w:sz w:val="18"/>
                <w:szCs w:val="18"/>
                <w:vertAlign w:val="superscript"/>
              </w:rPr>
              <w:t>-1</w:t>
            </w:r>
            <w:r w:rsidRPr="00EC1002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9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D25601" w14:textId="77777777" w:rsidR="004860B8" w:rsidRPr="00EC1002" w:rsidRDefault="008537C9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EC1002">
              <w:rPr>
                <w:b/>
                <w:i/>
                <w:iCs/>
                <w:sz w:val="18"/>
                <w:szCs w:val="18"/>
              </w:rPr>
              <w:t>R</w:t>
            </w:r>
            <w:r w:rsidRPr="00EC1002">
              <w:rPr>
                <w:b/>
                <w:i/>
                <w:iCs/>
                <w:sz w:val="18"/>
                <w:szCs w:val="18"/>
                <w:vertAlign w:val="subscript"/>
              </w:rPr>
              <w:t>ct</w:t>
            </w:r>
            <w:proofErr w:type="spellEnd"/>
            <w:r w:rsidRPr="00EC1002">
              <w:rPr>
                <w:b/>
                <w:sz w:val="18"/>
                <w:szCs w:val="18"/>
              </w:rPr>
              <w:t>, buffer (</w:t>
            </w:r>
            <w:proofErr w:type="spellStart"/>
            <w:r w:rsidRPr="00EC1002">
              <w:rPr>
                <w:b/>
                <w:sz w:val="18"/>
                <w:szCs w:val="18"/>
              </w:rPr>
              <w:t>kΩ</w:t>
            </w:r>
            <w:proofErr w:type="spellEnd"/>
            <w:r w:rsidRPr="00EC1002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9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A5175" w14:textId="77777777" w:rsidR="004860B8" w:rsidRPr="00EC1002" w:rsidRDefault="008537C9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b/>
                <w:i/>
                <w:iCs/>
                <w:sz w:val="18"/>
                <w:szCs w:val="18"/>
              </w:rPr>
              <w:t>R</w:t>
            </w:r>
            <w:r w:rsidRPr="00EC1002">
              <w:rPr>
                <w:b/>
                <w:i/>
                <w:iCs/>
                <w:sz w:val="18"/>
                <w:szCs w:val="18"/>
                <w:vertAlign w:val="subscript"/>
              </w:rPr>
              <w:t>ct</w:t>
            </w:r>
            <w:r w:rsidRPr="00EC1002">
              <w:rPr>
                <w:b/>
                <w:sz w:val="18"/>
                <w:szCs w:val="18"/>
              </w:rPr>
              <w:t>, diluted human plasma (</w:t>
            </w:r>
            <w:proofErr w:type="spellStart"/>
            <w:r w:rsidRPr="00EC1002">
              <w:rPr>
                <w:b/>
                <w:sz w:val="18"/>
                <w:szCs w:val="18"/>
              </w:rPr>
              <w:t>kΩ</w:t>
            </w:r>
            <w:proofErr w:type="spellEnd"/>
            <w:r w:rsidRPr="00EC1002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9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3E153" w14:textId="77777777" w:rsidR="004860B8" w:rsidRPr="00EC1002" w:rsidRDefault="008537C9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b/>
                <w:sz w:val="18"/>
                <w:szCs w:val="18"/>
              </w:rPr>
              <w:t>Relative signal recovery (%)</w:t>
            </w:r>
          </w:p>
        </w:tc>
        <w:tc>
          <w:tcPr>
            <w:tcW w:w="199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F8159A" w14:textId="77777777" w:rsidR="004860B8" w:rsidRPr="00EC1002" w:rsidRDefault="008537C9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b/>
                <w:sz w:val="18"/>
                <w:szCs w:val="18"/>
              </w:rPr>
              <w:t>RSD (%)</w:t>
            </w:r>
          </w:p>
        </w:tc>
      </w:tr>
      <w:tr w:rsidR="004860B8" w14:paraId="2FEEAE08" w14:textId="77777777">
        <w:trPr>
          <w:jc w:val="center"/>
        </w:trPr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E038FC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0.5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F6E619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6.198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E64305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5.940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A5ED0F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95.84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8434EA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14.95</w:t>
            </w:r>
          </w:p>
        </w:tc>
      </w:tr>
      <w:tr w:rsidR="004860B8" w14:paraId="32BE17FD" w14:textId="77777777">
        <w:trPr>
          <w:jc w:val="center"/>
        </w:trPr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972525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1.0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78FE25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8.729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BA951A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8.059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F6E11C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92.32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26C0C4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9.19</w:t>
            </w:r>
          </w:p>
        </w:tc>
      </w:tr>
      <w:tr w:rsidR="004860B8" w14:paraId="31EA4A1D" w14:textId="77777777">
        <w:trPr>
          <w:jc w:val="center"/>
        </w:trPr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AB1742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2.5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A80A5A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20.325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A2148E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15.600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FB8112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76.75</w:t>
            </w:r>
          </w:p>
        </w:tc>
        <w:tc>
          <w:tcPr>
            <w:tcW w:w="19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93888D" w14:textId="77777777" w:rsidR="004860B8" w:rsidRPr="00EC1002" w:rsidRDefault="008537C9" w:rsidP="002B50B5">
            <w:pPr>
              <w:spacing w:after="0"/>
              <w:jc w:val="center"/>
              <w:rPr>
                <w:sz w:val="18"/>
                <w:szCs w:val="18"/>
              </w:rPr>
            </w:pPr>
            <w:r w:rsidRPr="00EC1002">
              <w:rPr>
                <w:sz w:val="18"/>
                <w:szCs w:val="18"/>
              </w:rPr>
              <w:t>3.96</w:t>
            </w:r>
          </w:p>
        </w:tc>
      </w:tr>
    </w:tbl>
    <w:p w14:paraId="0429F98E" w14:textId="77777777" w:rsidR="004860B8" w:rsidRDefault="008537C9">
      <w:pPr>
        <w:spacing w:before="80"/>
        <w:rPr>
          <w:i/>
          <w:sz w:val="18"/>
        </w:rPr>
      </w:pPr>
      <w:r>
        <w:rPr>
          <w:i/>
          <w:sz w:val="18"/>
        </w:rPr>
        <w:t xml:space="preserve">Note: Relative signal recovery was calculated as 100 × </w:t>
      </w:r>
      <w:proofErr w:type="spellStart"/>
      <w:r>
        <w:rPr>
          <w:i/>
          <w:sz w:val="18"/>
        </w:rPr>
        <w:t>R</w:t>
      </w:r>
      <w:r w:rsidRPr="00EC1002">
        <w:rPr>
          <w:i/>
          <w:sz w:val="18"/>
          <w:vertAlign w:val="subscript"/>
        </w:rPr>
        <w:t>ct</w:t>
      </w:r>
      <w:r>
        <w:rPr>
          <w:i/>
          <w:sz w:val="18"/>
        </w:rPr>
        <w:t>,diluted</w:t>
      </w:r>
      <w:proofErr w:type="spellEnd"/>
      <w:r>
        <w:rPr>
          <w:i/>
          <w:sz w:val="18"/>
        </w:rPr>
        <w:t xml:space="preserve"> plasma/</w:t>
      </w:r>
      <w:proofErr w:type="spellStart"/>
      <w:r>
        <w:rPr>
          <w:i/>
          <w:sz w:val="18"/>
        </w:rPr>
        <w:t>R</w:t>
      </w:r>
      <w:r w:rsidRPr="00EC1002">
        <w:rPr>
          <w:i/>
          <w:sz w:val="18"/>
          <w:vertAlign w:val="subscript"/>
        </w:rPr>
        <w:t>ct</w:t>
      </w:r>
      <w:r>
        <w:rPr>
          <w:i/>
          <w:sz w:val="18"/>
        </w:rPr>
        <w:t>,buffer</w:t>
      </w:r>
      <w:proofErr w:type="spellEnd"/>
      <w:r>
        <w:rPr>
          <w:i/>
          <w:sz w:val="18"/>
        </w:rPr>
        <w:t>.</w:t>
      </w:r>
    </w:p>
    <w:p w14:paraId="1A520652" w14:textId="77777777" w:rsidR="00EC1002" w:rsidRDefault="00EC1002">
      <w:pPr>
        <w:spacing w:before="80"/>
      </w:pPr>
    </w:p>
    <w:p w14:paraId="5B6AF030" w14:textId="77777777" w:rsidR="004860B8" w:rsidRDefault="004860B8">
      <w:pPr>
        <w:sectPr w:rsidR="004860B8">
          <w:footerReference w:type="default" r:id="rId9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14:paraId="308D4BB0" w14:textId="77777777" w:rsidR="004860B8" w:rsidRDefault="008537C9">
      <w:pPr>
        <w:pStyle w:val="SIHeading"/>
      </w:pPr>
      <w:r>
        <w:lastRenderedPageBreak/>
        <w:t>S3. Comparison with reported microneedle-based cytokine sensors</w:t>
      </w:r>
    </w:p>
    <w:p w14:paraId="379D6825" w14:textId="77777777" w:rsidR="004860B8" w:rsidRDefault="008537C9" w:rsidP="00EC1002">
      <w:pPr>
        <w:spacing w:before="240" w:line="480" w:lineRule="auto"/>
        <w:ind w:firstLine="284"/>
        <w:jc w:val="both"/>
      </w:pPr>
      <w:r>
        <w:t>Table S3 summarizes representative microneedle-based platforms reported for IL-6 and related inflammatory cytokine detection, highlighting differences in electrode architecture, analytical performance, sample matrix, in vivo evaluation, and fabrication strategy.</w:t>
      </w:r>
    </w:p>
    <w:p w14:paraId="2CB118AD" w14:textId="20F18492" w:rsidR="004860B8" w:rsidRDefault="008537C9" w:rsidP="00EC1002">
      <w:pPr>
        <w:ind w:firstLine="284"/>
      </w:pPr>
      <w:r>
        <w:rPr>
          <w:b/>
        </w:rPr>
        <w:t xml:space="preserve">Table S3. </w:t>
      </w:r>
      <w:r>
        <w:t xml:space="preserve">Comparison of microneedle-based platforms reported for </w:t>
      </w:r>
      <w:r w:rsidR="00EC1002">
        <w:t>detecting</w:t>
      </w:r>
      <w:r>
        <w:t xml:space="preserve"> IL-6 and related inflammatory cytokines.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1224"/>
        <w:gridCol w:w="1224"/>
        <w:gridCol w:w="1584"/>
        <w:gridCol w:w="1656"/>
        <w:gridCol w:w="1728"/>
        <w:gridCol w:w="3168"/>
        <w:gridCol w:w="1008"/>
      </w:tblGrid>
      <w:tr w:rsidR="004860B8" w14:paraId="66E5CD00" w14:textId="77777777">
        <w:trPr>
          <w:tblHeader/>
          <w:jc w:val="center"/>
        </w:trPr>
        <w:tc>
          <w:tcPr>
            <w:tcW w:w="2232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C7865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Platform / electrode architecture</w:t>
            </w:r>
          </w:p>
        </w:tc>
        <w:tc>
          <w:tcPr>
            <w:tcW w:w="122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38278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Target</w:t>
            </w:r>
          </w:p>
        </w:tc>
        <w:tc>
          <w:tcPr>
            <w:tcW w:w="122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1363F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Detection method</w:t>
            </w:r>
          </w:p>
        </w:tc>
        <w:tc>
          <w:tcPr>
            <w:tcW w:w="158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AE414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Sample / matrix</w:t>
            </w:r>
          </w:p>
        </w:tc>
        <w:tc>
          <w:tcPr>
            <w:tcW w:w="1656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CC143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Analytical performance</w:t>
            </w:r>
          </w:p>
        </w:tc>
        <w:tc>
          <w:tcPr>
            <w:tcW w:w="172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EF3B2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In vivo evaluation</w:t>
            </w:r>
          </w:p>
        </w:tc>
        <w:tc>
          <w:tcPr>
            <w:tcW w:w="316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E7AAA9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Main characteristics</w:t>
            </w:r>
          </w:p>
        </w:tc>
        <w:tc>
          <w:tcPr>
            <w:tcW w:w="100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AFBAC" w14:textId="77777777" w:rsidR="004860B8" w:rsidRDefault="008537C9">
            <w:pPr>
              <w:spacing w:after="0"/>
              <w:jc w:val="center"/>
            </w:pPr>
            <w:r>
              <w:rPr>
                <w:b/>
                <w:sz w:val="14"/>
              </w:rPr>
              <w:t>Ref.</w:t>
            </w:r>
          </w:p>
        </w:tc>
      </w:tr>
      <w:tr w:rsidR="004860B8" w14:paraId="69A11577" w14:textId="77777777">
        <w:trPr>
          <w:jc w:val="center"/>
        </w:trPr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F658D6" w14:textId="77777777" w:rsidR="004860B8" w:rsidRDefault="008537C9">
            <w:pPr>
              <w:spacing w:after="0"/>
            </w:pPr>
            <w:r>
              <w:rPr>
                <w:sz w:val="14"/>
              </w:rPr>
              <w:t>Antibody-functionalized polystyrene microneedle patch with plasmonic-fluor amplification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BAC96F" w14:textId="77777777" w:rsidR="004860B8" w:rsidRDefault="008537C9">
            <w:pPr>
              <w:spacing w:after="0"/>
            </w:pPr>
            <w:r>
              <w:rPr>
                <w:sz w:val="14"/>
              </w:rPr>
              <w:t>IL-6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CE69F0" w14:textId="77777777" w:rsidR="004860B8" w:rsidRDefault="008537C9">
            <w:pPr>
              <w:spacing w:after="0"/>
            </w:pPr>
            <w:r>
              <w:rPr>
                <w:sz w:val="14"/>
              </w:rPr>
              <w:t>Fluorescence (p-FLISA)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6C2E206" w14:textId="77777777" w:rsidR="004860B8" w:rsidRDefault="008537C9">
            <w:pPr>
              <w:spacing w:after="0"/>
            </w:pPr>
            <w:r>
              <w:rPr>
                <w:sz w:val="14"/>
              </w:rPr>
              <w:t>Artificial media and dermal ISF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65BEBF" w14:textId="77777777" w:rsidR="004860B8" w:rsidRDefault="008537C9">
            <w:pPr>
              <w:spacing w:after="0"/>
            </w:pPr>
            <w:r>
              <w:rPr>
                <w:sz w:val="14"/>
              </w:rPr>
              <w:t xml:space="preserve">LOD: ~0.33 </w:t>
            </w:r>
            <w:proofErr w:type="spellStart"/>
            <w:r>
              <w:rPr>
                <w:sz w:val="14"/>
              </w:rPr>
              <w:t>pg</w:t>
            </w:r>
            <w:proofErr w:type="spellEnd"/>
            <w:r>
              <w:rPr>
                <w:sz w:val="14"/>
              </w:rPr>
              <w:t xml:space="preserve"> mL⁻¹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537290" w14:textId="77777777" w:rsidR="004860B8" w:rsidRDefault="008537C9">
            <w:pPr>
              <w:spacing w:after="0"/>
            </w:pPr>
            <w:r>
              <w:rPr>
                <w:sz w:val="14"/>
              </w:rPr>
              <w:t>Yes; longitudinal IL-6 monitoring in an LPS-induced mouse inflammation model</w:t>
            </w:r>
          </w:p>
        </w:tc>
        <w:tc>
          <w:tcPr>
            <w:tcW w:w="316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5EDB9A" w14:textId="77777777" w:rsidR="004860B8" w:rsidRDefault="008537C9">
            <w:pPr>
              <w:spacing w:after="0"/>
            </w:pPr>
            <w:r>
              <w:rPr>
                <w:sz w:val="14"/>
              </w:rPr>
              <w:t xml:space="preserve">On-needle capture and ex vivo fluorescent readout; plasmonic </w:t>
            </w:r>
            <w:proofErr w:type="spellStart"/>
            <w:r>
              <w:rPr>
                <w:sz w:val="14"/>
              </w:rPr>
              <w:t>nanolabel</w:t>
            </w:r>
            <w:proofErr w:type="spellEnd"/>
            <w:r>
              <w:rPr>
                <w:sz w:val="14"/>
              </w:rPr>
              <w:t xml:space="preserve"> provides strong signal amplification.</w:t>
            </w:r>
          </w:p>
        </w:tc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1B5BE4" w14:textId="77777777" w:rsidR="004860B8" w:rsidRDefault="008537C9">
            <w:pPr>
              <w:spacing w:after="0"/>
            </w:pPr>
            <w:r>
              <w:rPr>
                <w:sz w:val="14"/>
              </w:rPr>
              <w:t>Wang et al., 2021⁸</w:t>
            </w:r>
          </w:p>
        </w:tc>
      </w:tr>
      <w:tr w:rsidR="004860B8" w14:paraId="6DA6A2A7" w14:textId="77777777">
        <w:trPr>
          <w:jc w:val="center"/>
        </w:trPr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C155B0" w14:textId="77777777" w:rsidR="004860B8" w:rsidRDefault="008537C9">
            <w:pPr>
              <w:spacing w:after="0"/>
            </w:pPr>
            <w:r>
              <w:rPr>
                <w:sz w:val="14"/>
              </w:rPr>
              <w:t>Metallized microneedle array coated with an electropolymerized molecularly imprinted polymer (MIP)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012A84" w14:textId="77777777" w:rsidR="004860B8" w:rsidRDefault="008537C9">
            <w:pPr>
              <w:spacing w:after="0"/>
            </w:pPr>
            <w:r>
              <w:rPr>
                <w:sz w:val="14"/>
              </w:rPr>
              <w:t>IL-6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C8BACE" w14:textId="77777777" w:rsidR="004860B8" w:rsidRDefault="008537C9">
            <w:pPr>
              <w:spacing w:after="0"/>
            </w:pPr>
            <w:r>
              <w:rPr>
                <w:sz w:val="14"/>
              </w:rPr>
              <w:t>EIS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B35B29" w14:textId="77777777" w:rsidR="004860B8" w:rsidRDefault="008537C9">
            <w:pPr>
              <w:spacing w:after="0"/>
            </w:pPr>
            <w:r>
              <w:rPr>
                <w:sz w:val="14"/>
              </w:rPr>
              <w:t>Artificial ISF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BD0412" w14:textId="77777777" w:rsidR="004860B8" w:rsidRDefault="008537C9">
            <w:pPr>
              <w:spacing w:after="0"/>
            </w:pPr>
            <w:r>
              <w:rPr>
                <w:sz w:val="14"/>
              </w:rPr>
              <w:t xml:space="preserve">Range: 1 </w:t>
            </w:r>
            <w:proofErr w:type="spellStart"/>
            <w:r>
              <w:rPr>
                <w:sz w:val="14"/>
              </w:rPr>
              <w:t>pg</w:t>
            </w:r>
            <w:proofErr w:type="spellEnd"/>
            <w:r>
              <w:rPr>
                <w:sz w:val="14"/>
              </w:rPr>
              <w:t xml:space="preserve"> mL⁻¹–10 ng mL⁻¹; lower detectable level: 1 </w:t>
            </w:r>
            <w:proofErr w:type="spellStart"/>
            <w:r>
              <w:rPr>
                <w:sz w:val="14"/>
              </w:rPr>
              <w:t>pg</w:t>
            </w:r>
            <w:proofErr w:type="spellEnd"/>
            <w:r>
              <w:rPr>
                <w:sz w:val="14"/>
              </w:rPr>
              <w:t xml:space="preserve"> mL⁻¹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51E7A6" w14:textId="77777777" w:rsidR="004860B8" w:rsidRDefault="008537C9">
            <w:pPr>
              <w:spacing w:after="0"/>
            </w:pPr>
            <w:r>
              <w:rPr>
                <w:sz w:val="14"/>
              </w:rPr>
              <w:t>No</w:t>
            </w:r>
          </w:p>
        </w:tc>
        <w:tc>
          <w:tcPr>
            <w:tcW w:w="316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30C596" w14:textId="77777777" w:rsidR="004860B8" w:rsidRDefault="008537C9">
            <w:pPr>
              <w:spacing w:after="0"/>
            </w:pPr>
            <w:r>
              <w:rPr>
                <w:sz w:val="14"/>
              </w:rPr>
              <w:t xml:space="preserve">MIP acts as a synthetic recognition layer; requires metallization, </w:t>
            </w:r>
            <w:proofErr w:type="spellStart"/>
            <w:r>
              <w:rPr>
                <w:sz w:val="14"/>
              </w:rPr>
              <w:t>electropolymerization</w:t>
            </w:r>
            <w:proofErr w:type="spellEnd"/>
            <w:r>
              <w:rPr>
                <w:sz w:val="14"/>
              </w:rPr>
              <w:t>, and template removal.</w:t>
            </w:r>
          </w:p>
        </w:tc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18F61E" w14:textId="77777777" w:rsidR="004860B8" w:rsidRDefault="008537C9">
            <w:pPr>
              <w:spacing w:after="0"/>
            </w:pPr>
            <w:r>
              <w:rPr>
                <w:sz w:val="14"/>
              </w:rPr>
              <w:t>Oliveira et al., 2022⁹</w:t>
            </w:r>
          </w:p>
        </w:tc>
      </w:tr>
      <w:tr w:rsidR="004860B8" w14:paraId="3DEA1179" w14:textId="77777777">
        <w:trPr>
          <w:jc w:val="center"/>
        </w:trPr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BAE4FE" w14:textId="77777777" w:rsidR="004860B8" w:rsidRDefault="008537C9">
            <w:pPr>
              <w:spacing w:after="0"/>
            </w:pPr>
            <w:r>
              <w:rPr>
                <w:sz w:val="14"/>
              </w:rPr>
              <w:t xml:space="preserve">Wearable microneedle patch with CNT–chitosan conductive </w:t>
            </w:r>
            <w:proofErr w:type="spellStart"/>
            <w:r>
              <w:rPr>
                <w:sz w:val="14"/>
              </w:rPr>
              <w:t>biointerface</w:t>
            </w:r>
            <w:proofErr w:type="spellEnd"/>
            <w:r>
              <w:rPr>
                <w:sz w:val="14"/>
              </w:rPr>
              <w:t xml:space="preserve"> and immobilized antibodies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EFB5B9" w14:textId="77777777" w:rsidR="004860B8" w:rsidRDefault="008537C9">
            <w:pPr>
              <w:spacing w:after="0"/>
            </w:pPr>
            <w:r>
              <w:rPr>
                <w:sz w:val="14"/>
              </w:rPr>
              <w:t>IL-6 and other inflammatory cytokines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1B3EB1" w14:textId="77777777" w:rsidR="004860B8" w:rsidRDefault="008537C9">
            <w:pPr>
              <w:spacing w:after="0"/>
            </w:pPr>
            <w:r>
              <w:rPr>
                <w:sz w:val="14"/>
              </w:rPr>
              <w:t>Electrochemical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40E6E4" w14:textId="77777777" w:rsidR="004860B8" w:rsidRDefault="008537C9">
            <w:pPr>
              <w:spacing w:after="0"/>
            </w:pPr>
            <w:r>
              <w:rPr>
                <w:sz w:val="14"/>
              </w:rPr>
              <w:t>Artificial ISF and dermal ISF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E68375" w14:textId="77777777" w:rsidR="004860B8" w:rsidRDefault="008537C9">
            <w:pPr>
              <w:spacing w:after="0"/>
            </w:pPr>
            <w:r>
              <w:rPr>
                <w:sz w:val="14"/>
              </w:rPr>
              <w:t xml:space="preserve">IL-6 range: 1–5000 </w:t>
            </w:r>
            <w:proofErr w:type="spellStart"/>
            <w:r>
              <w:rPr>
                <w:sz w:val="14"/>
              </w:rPr>
              <w:t>pg</w:t>
            </w:r>
            <w:proofErr w:type="spellEnd"/>
            <w:r>
              <w:rPr>
                <w:sz w:val="14"/>
              </w:rPr>
              <w:t xml:space="preserve"> mL⁻¹; LOD: 0.54 </w:t>
            </w:r>
            <w:proofErr w:type="spellStart"/>
            <w:r>
              <w:rPr>
                <w:sz w:val="14"/>
              </w:rPr>
              <w:t>pg</w:t>
            </w:r>
            <w:proofErr w:type="spellEnd"/>
            <w:r>
              <w:rPr>
                <w:sz w:val="14"/>
              </w:rPr>
              <w:t xml:space="preserve"> mL⁻¹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4DF60D" w14:textId="77777777" w:rsidR="004860B8" w:rsidRDefault="008537C9">
            <w:pPr>
              <w:spacing w:after="0"/>
            </w:pPr>
            <w:r>
              <w:rPr>
                <w:sz w:val="14"/>
              </w:rPr>
              <w:t>Yes; real-time cytokine monitoring in rats</w:t>
            </w:r>
          </w:p>
        </w:tc>
        <w:tc>
          <w:tcPr>
            <w:tcW w:w="316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E4FC54" w14:textId="77777777" w:rsidR="004860B8" w:rsidRDefault="008537C9">
            <w:pPr>
              <w:spacing w:after="0"/>
            </w:pPr>
            <w:r>
              <w:rPr>
                <w:sz w:val="14"/>
              </w:rPr>
              <w:t>Integrated capture and electrochemical monitoring; CNT-based interface, oriented antibody immobilization, and antifouling/blocking steps.</w:t>
            </w:r>
          </w:p>
        </w:tc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B117C7" w14:textId="77777777" w:rsidR="004860B8" w:rsidRDefault="008537C9">
            <w:pPr>
              <w:spacing w:after="0"/>
            </w:pPr>
            <w:r>
              <w:rPr>
                <w:sz w:val="14"/>
              </w:rPr>
              <w:t>Xu et al., 2023¹⁰</w:t>
            </w:r>
          </w:p>
        </w:tc>
      </w:tr>
      <w:tr w:rsidR="004860B8" w14:paraId="046F1FB0" w14:textId="77777777">
        <w:trPr>
          <w:jc w:val="center"/>
        </w:trPr>
        <w:tc>
          <w:tcPr>
            <w:tcW w:w="22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AD2340" w14:textId="77777777" w:rsidR="004860B8" w:rsidRDefault="008537C9">
            <w:pPr>
              <w:spacing w:after="0"/>
            </w:pPr>
            <w:r>
              <w:rPr>
                <w:sz w:val="14"/>
              </w:rPr>
              <w:t>SLA-printed hollow resin microneedle electrode with carbon paste confined within internal channels and oxygen-plasma-treated resin–carbon interface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82E355A" w14:textId="77777777" w:rsidR="004860B8" w:rsidRDefault="008537C9">
            <w:pPr>
              <w:spacing w:after="0"/>
            </w:pPr>
            <w:r>
              <w:rPr>
                <w:sz w:val="14"/>
              </w:rPr>
              <w:t>IL-6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C19524" w14:textId="77777777" w:rsidR="004860B8" w:rsidRDefault="008537C9">
            <w:pPr>
              <w:spacing w:after="0"/>
            </w:pPr>
            <w:r>
              <w:rPr>
                <w:sz w:val="14"/>
              </w:rPr>
              <w:t>EIS</w:t>
            </w:r>
          </w:p>
        </w:tc>
        <w:tc>
          <w:tcPr>
            <w:tcW w:w="15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833895" w14:textId="77777777" w:rsidR="004860B8" w:rsidRDefault="008537C9">
            <w:pPr>
              <w:spacing w:after="0"/>
            </w:pPr>
            <w:r>
              <w:rPr>
                <w:sz w:val="14"/>
              </w:rPr>
              <w:t>Buffer, simulated ISF, and human plasma diluted 1:100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1E6FF1" w14:textId="77777777" w:rsidR="004860B8" w:rsidRDefault="008537C9">
            <w:pPr>
              <w:spacing w:after="0"/>
            </w:pPr>
            <w:r>
              <w:rPr>
                <w:sz w:val="14"/>
              </w:rPr>
              <w:t>Range: 0.5–7.5 ng mL⁻¹; LOD: 0.178 ng mL⁻¹</w:t>
            </w:r>
          </w:p>
        </w:tc>
        <w:tc>
          <w:tcPr>
            <w:tcW w:w="17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B932C9" w14:textId="77777777" w:rsidR="004860B8" w:rsidRDefault="008537C9">
            <w:pPr>
              <w:spacing w:after="0"/>
            </w:pPr>
            <w:r>
              <w:rPr>
                <w:sz w:val="14"/>
              </w:rPr>
              <w:t>No</w:t>
            </w:r>
          </w:p>
        </w:tc>
        <w:tc>
          <w:tcPr>
            <w:tcW w:w="316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DE38BD" w14:textId="77777777" w:rsidR="004860B8" w:rsidRDefault="008537C9">
            <w:pPr>
              <w:spacing w:after="0"/>
            </w:pPr>
            <w:r>
              <w:rPr>
                <w:sz w:val="14"/>
              </w:rPr>
              <w:t>Integrated hollow microneedle/electrode architecture; comparatively simple SLA + carbon-paste fabrication; no metal microfabrication; plasma used for interfacial tuning.</w:t>
            </w:r>
          </w:p>
        </w:tc>
        <w:tc>
          <w:tcPr>
            <w:tcW w:w="10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337DD4" w14:textId="77777777" w:rsidR="004860B8" w:rsidRDefault="008537C9">
            <w:pPr>
              <w:spacing w:after="0"/>
            </w:pPr>
            <w:r>
              <w:rPr>
                <w:sz w:val="14"/>
              </w:rPr>
              <w:t>This work</w:t>
            </w:r>
          </w:p>
        </w:tc>
      </w:tr>
    </w:tbl>
    <w:p w14:paraId="361F451B" w14:textId="77777777" w:rsidR="004860B8" w:rsidRDefault="004860B8">
      <w:pPr>
        <w:sectPr w:rsidR="004860B8">
          <w:pgSz w:w="15840" w:h="12240" w:orient="landscape"/>
          <w:pgMar w:top="850" w:right="737" w:bottom="850" w:left="737" w:header="720" w:footer="720" w:gutter="0"/>
          <w:cols w:space="720"/>
          <w:docGrid w:linePitch="360"/>
        </w:sectPr>
      </w:pPr>
    </w:p>
    <w:p w14:paraId="68AAF00D" w14:textId="77777777" w:rsidR="004860B8" w:rsidRDefault="008537C9">
      <w:pPr>
        <w:pStyle w:val="SIHeading"/>
      </w:pPr>
      <w:r>
        <w:lastRenderedPageBreak/>
        <w:t>References</w:t>
      </w:r>
    </w:p>
    <w:p w14:paraId="00C81B5D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 xml:space="preserve">1. Lavagnini, I.; </w:t>
      </w:r>
      <w:proofErr w:type="spellStart"/>
      <w:r>
        <w:rPr>
          <w:sz w:val="18"/>
        </w:rPr>
        <w:t>Antiochia</w:t>
      </w:r>
      <w:proofErr w:type="spellEnd"/>
      <w:r>
        <w:rPr>
          <w:sz w:val="18"/>
        </w:rPr>
        <w:t xml:space="preserve">, R.; Magno, F. An Extended Method for the Practical Evaluation of the Standard Rate Constant </w:t>
      </w:r>
      <w:proofErr w:type="gramStart"/>
      <w:r>
        <w:rPr>
          <w:sz w:val="18"/>
        </w:rPr>
        <w:t>From</w:t>
      </w:r>
      <w:proofErr w:type="gramEnd"/>
      <w:r>
        <w:rPr>
          <w:sz w:val="18"/>
        </w:rPr>
        <w:t xml:space="preserve"> Cyclic </w:t>
      </w:r>
      <w:proofErr w:type="spellStart"/>
      <w:r>
        <w:rPr>
          <w:sz w:val="18"/>
        </w:rPr>
        <w:t>Voltammetric</w:t>
      </w:r>
      <w:proofErr w:type="spellEnd"/>
      <w:r>
        <w:rPr>
          <w:sz w:val="18"/>
        </w:rPr>
        <w:t xml:space="preserve"> Data. Electroanalysis 2004, 16, 505–506.</w:t>
      </w:r>
    </w:p>
    <w:p w14:paraId="17CE5CD6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>2. Nicholson, R. S.; Shain, I. Theory of Stationary Electrode Polarography. Single Scan and Cyclic Methods Applied to Reversible, Irreversible, and Kinetic Systems. Anal. Chem. 1964, 36, 706–723.</w:t>
      </w:r>
    </w:p>
    <w:p w14:paraId="62CC2B00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 xml:space="preserve">3. Damasceno, S.; Corrêa, C. C.; Gouveia, R. F.; Strauss, M.; </w:t>
      </w:r>
      <w:proofErr w:type="spellStart"/>
      <w:r>
        <w:rPr>
          <w:sz w:val="18"/>
        </w:rPr>
        <w:t>Bufon</w:t>
      </w:r>
      <w:proofErr w:type="spellEnd"/>
      <w:r>
        <w:rPr>
          <w:sz w:val="18"/>
        </w:rPr>
        <w:t xml:space="preserve">, C. C. B.; Santhiago, M. Delayed Capillary Flow of Elastomers: An Efficient Method for Fabrication and </w:t>
      </w:r>
      <w:proofErr w:type="spellStart"/>
      <w:r>
        <w:rPr>
          <w:sz w:val="18"/>
        </w:rPr>
        <w:t>Nanofunctionalization</w:t>
      </w:r>
      <w:proofErr w:type="spellEnd"/>
      <w:r>
        <w:rPr>
          <w:sz w:val="18"/>
        </w:rPr>
        <w:t xml:space="preserve"> of Flexible, Foldable, Twistable, and Stretchable Electrodes from Pyrolyzed Paper. Adv. Electron. Mater. 2020, 6, 1900826.</w:t>
      </w:r>
    </w:p>
    <w:p w14:paraId="4D9A7940" w14:textId="766AED61" w:rsidR="004860B8" w:rsidRDefault="008537C9">
      <w:pPr>
        <w:spacing w:after="80"/>
        <w:ind w:left="317" w:hanging="317"/>
        <w:jc w:val="both"/>
      </w:pPr>
      <w:r w:rsidRPr="0016565D">
        <w:rPr>
          <w:sz w:val="18"/>
        </w:rPr>
        <w:t xml:space="preserve">4. </w:t>
      </w:r>
      <w:r w:rsidR="005B7611" w:rsidRPr="0016565D">
        <w:rPr>
          <w:sz w:val="18"/>
        </w:rPr>
        <w:t xml:space="preserve">Baptista-Pires, L.; de la </w:t>
      </w:r>
      <w:proofErr w:type="spellStart"/>
      <w:r w:rsidR="005B7611" w:rsidRPr="0016565D">
        <w:rPr>
          <w:sz w:val="18"/>
        </w:rPr>
        <w:t>Escosura</w:t>
      </w:r>
      <w:proofErr w:type="spellEnd"/>
      <w:r w:rsidR="005B7611" w:rsidRPr="0016565D">
        <w:rPr>
          <w:sz w:val="18"/>
        </w:rPr>
        <w:t xml:space="preserve">-Muñiz, A.; </w:t>
      </w:r>
      <w:proofErr w:type="spellStart"/>
      <w:r w:rsidR="005B7611" w:rsidRPr="0016565D">
        <w:rPr>
          <w:sz w:val="18"/>
        </w:rPr>
        <w:t>Balsells</w:t>
      </w:r>
      <w:proofErr w:type="spellEnd"/>
      <w:r w:rsidR="005B7611" w:rsidRPr="0016565D">
        <w:rPr>
          <w:sz w:val="18"/>
        </w:rPr>
        <w:t xml:space="preserve">, M.; </w:t>
      </w:r>
      <w:proofErr w:type="spellStart"/>
      <w:r w:rsidR="005B7611" w:rsidRPr="0016565D">
        <w:rPr>
          <w:sz w:val="18"/>
        </w:rPr>
        <w:t>Zuaznabar-Gardona</w:t>
      </w:r>
      <w:proofErr w:type="spellEnd"/>
      <w:r w:rsidR="005B7611" w:rsidRPr="0016565D">
        <w:rPr>
          <w:sz w:val="18"/>
        </w:rPr>
        <w:t xml:space="preserve">, J. C.; </w:t>
      </w:r>
      <w:proofErr w:type="spellStart"/>
      <w:r w:rsidR="005B7611" w:rsidRPr="0016565D">
        <w:rPr>
          <w:sz w:val="18"/>
        </w:rPr>
        <w:t>Merkoçi</w:t>
      </w:r>
      <w:proofErr w:type="spellEnd"/>
      <w:r w:rsidR="005B7611" w:rsidRPr="0016565D">
        <w:rPr>
          <w:sz w:val="18"/>
        </w:rPr>
        <w:t xml:space="preserve">, A. Production and Printing of Graphene Oxide Foam Ink for Electrocatalytic Applications. </w:t>
      </w:r>
      <w:proofErr w:type="spellStart"/>
      <w:r w:rsidR="005B7611" w:rsidRPr="0016565D">
        <w:rPr>
          <w:i/>
          <w:iCs/>
          <w:sz w:val="18"/>
        </w:rPr>
        <w:t>Electrochem</w:t>
      </w:r>
      <w:proofErr w:type="spellEnd"/>
      <w:r w:rsidR="005B7611" w:rsidRPr="0016565D">
        <w:rPr>
          <w:i/>
          <w:iCs/>
          <w:sz w:val="18"/>
        </w:rPr>
        <w:t>. Commun.</w:t>
      </w:r>
      <w:r w:rsidR="005B7611" w:rsidRPr="0016565D">
        <w:rPr>
          <w:sz w:val="18"/>
        </w:rPr>
        <w:t xml:space="preserve"> 2019, </w:t>
      </w:r>
      <w:r w:rsidR="005B7611" w:rsidRPr="0016565D">
        <w:rPr>
          <w:i/>
          <w:iCs/>
          <w:sz w:val="18"/>
        </w:rPr>
        <w:t>98</w:t>
      </w:r>
      <w:r w:rsidR="005B7611" w:rsidRPr="0016565D">
        <w:rPr>
          <w:sz w:val="18"/>
        </w:rPr>
        <w:t>, 6–9.</w:t>
      </w:r>
    </w:p>
    <w:p w14:paraId="3A2A711B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 xml:space="preserve">5. </w:t>
      </w:r>
      <w:proofErr w:type="spellStart"/>
      <w:r>
        <w:rPr>
          <w:sz w:val="18"/>
        </w:rPr>
        <w:t>Torrinha</w:t>
      </w:r>
      <w:proofErr w:type="spellEnd"/>
      <w:r>
        <w:rPr>
          <w:sz w:val="18"/>
        </w:rPr>
        <w:t xml:space="preserve">, A.; Martins, M.; Tavares, M.; Delerue-Matos, C.; Morais, S. Carbon Paper as a Promising Sensing Material: Characterization and Electrocatalysis of Ketoprofen in Wastewater and Fish. </w:t>
      </w:r>
      <w:proofErr w:type="spellStart"/>
      <w:r>
        <w:rPr>
          <w:sz w:val="18"/>
        </w:rPr>
        <w:t>Talanta</w:t>
      </w:r>
      <w:proofErr w:type="spellEnd"/>
      <w:r>
        <w:rPr>
          <w:sz w:val="18"/>
        </w:rPr>
        <w:t xml:space="preserve"> 2021, 226, 122111.</w:t>
      </w:r>
    </w:p>
    <w:p w14:paraId="0941DF05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 xml:space="preserve">6. de Lima, L. F.; Ferreira, A. L.; Maciel, C. C.; Ferreira, M.; de Araujo, W. R. Disposable and Low-Cost Electrochemical Sensor Based on the Colorless Nail Polish and Graphite Composite Material for Tartrazine Detection. </w:t>
      </w:r>
      <w:proofErr w:type="spellStart"/>
      <w:r>
        <w:rPr>
          <w:sz w:val="18"/>
        </w:rPr>
        <w:t>Talanta</w:t>
      </w:r>
      <w:proofErr w:type="spellEnd"/>
      <w:r>
        <w:rPr>
          <w:sz w:val="18"/>
        </w:rPr>
        <w:t xml:space="preserve"> 2021, 227, 122200.</w:t>
      </w:r>
    </w:p>
    <w:p w14:paraId="3F157DDC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 xml:space="preserve">7. </w:t>
      </w:r>
      <w:proofErr w:type="spellStart"/>
      <w:r>
        <w:rPr>
          <w:sz w:val="18"/>
        </w:rPr>
        <w:t>Nicoliche</w:t>
      </w:r>
      <w:proofErr w:type="spellEnd"/>
      <w:r>
        <w:rPr>
          <w:sz w:val="18"/>
        </w:rPr>
        <w:t xml:space="preserve">, C. Y.; </w:t>
      </w:r>
      <w:proofErr w:type="spellStart"/>
      <w:r>
        <w:rPr>
          <w:sz w:val="18"/>
        </w:rPr>
        <w:t>Pascon</w:t>
      </w:r>
      <w:proofErr w:type="spellEnd"/>
      <w:r>
        <w:rPr>
          <w:sz w:val="18"/>
        </w:rPr>
        <w:t>, A. M.; Bezerra, I. R.; de Castro, A. C.; Martos, G. R.; Bettini, J.; Lima, R. S. In Situ Nanocoating on Porous Pyrolyzed Paper Enables Antibiofouling and Sensitive Electrochemical Analyses in Biological Fluids. ACS Appl. Mater. Interfaces 2022, 14, 2522–2533.</w:t>
      </w:r>
    </w:p>
    <w:p w14:paraId="368A3FDB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>8. Wang, Z.; et al. Microneedle Patch for the Ultrasensitive Quantification of Protein Biomarkers in Interstitial Fluid. Nat. Biomed. Eng. 2021, 5, 64–76. https://doi.org/10.1038/s41551-020-00672-y.</w:t>
      </w:r>
    </w:p>
    <w:p w14:paraId="70C093B7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>9. Oliveira, D.; Correia, B. P.; Sharma, S.; Moreira, F. T. C. Molecular Imprinted Polymers on Microneedle Arrays for Point of Care Transdermal Sampling and Sensing of Inflammatory Biomarkers. ACS Omega 2022, 7, 39039–39044. https://doi.org/10.1021/acsomega.2c04789.</w:t>
      </w:r>
    </w:p>
    <w:p w14:paraId="26EFC78C" w14:textId="77777777" w:rsidR="004860B8" w:rsidRDefault="008537C9">
      <w:pPr>
        <w:spacing w:after="80"/>
        <w:ind w:left="317" w:hanging="317"/>
        <w:jc w:val="both"/>
      </w:pPr>
      <w:r>
        <w:rPr>
          <w:sz w:val="18"/>
        </w:rPr>
        <w:t>10. Xu, J.; Yang, B.; Kong, J.; Zhang, Y.; Fang, X. Real-Time Monitoring and Early Warning of a Cytokine Storm In Vivo Using a Wearable Noninvasive Skin Microneedle Patch. Adv. Healthcare Mater. 2023. https://doi.org/10.1002/adhm.202203133.</w:t>
      </w:r>
    </w:p>
    <w:sectPr w:rsidR="004860B8" w:rsidSect="00034616">
      <w:pgSz w:w="11909" w:h="16834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F147" w14:textId="77777777" w:rsidR="00F62AA2" w:rsidRDefault="00F62AA2">
      <w:pPr>
        <w:spacing w:after="0"/>
      </w:pPr>
      <w:r>
        <w:separator/>
      </w:r>
    </w:p>
  </w:endnote>
  <w:endnote w:type="continuationSeparator" w:id="0">
    <w:p w14:paraId="499DDEBC" w14:textId="77777777" w:rsidR="00F62AA2" w:rsidRDefault="00F62A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EA5E" w14:textId="77777777" w:rsidR="004860B8" w:rsidRDefault="004860B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CD4C3" w14:textId="77777777" w:rsidR="00F62AA2" w:rsidRDefault="00F62AA2">
      <w:pPr>
        <w:spacing w:after="0"/>
      </w:pPr>
      <w:r>
        <w:separator/>
      </w:r>
    </w:p>
  </w:footnote>
  <w:footnote w:type="continuationSeparator" w:id="0">
    <w:p w14:paraId="38B155F3" w14:textId="77777777" w:rsidR="00F62AA2" w:rsidRDefault="00F62A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763179">
    <w:abstractNumId w:val="8"/>
  </w:num>
  <w:num w:numId="2" w16cid:durableId="1575161981">
    <w:abstractNumId w:val="6"/>
  </w:num>
  <w:num w:numId="3" w16cid:durableId="805009792">
    <w:abstractNumId w:val="5"/>
  </w:num>
  <w:num w:numId="4" w16cid:durableId="1530332376">
    <w:abstractNumId w:val="4"/>
  </w:num>
  <w:num w:numId="5" w16cid:durableId="286816550">
    <w:abstractNumId w:val="7"/>
  </w:num>
  <w:num w:numId="6" w16cid:durableId="2104253794">
    <w:abstractNumId w:val="3"/>
  </w:num>
  <w:num w:numId="7" w16cid:durableId="125970300">
    <w:abstractNumId w:val="2"/>
  </w:num>
  <w:num w:numId="8" w16cid:durableId="516650803">
    <w:abstractNumId w:val="1"/>
  </w:num>
  <w:num w:numId="9" w16cid:durableId="213019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7C9"/>
    <w:rsid w:val="0015074B"/>
    <w:rsid w:val="0016565D"/>
    <w:rsid w:val="001E4344"/>
    <w:rsid w:val="001F60CF"/>
    <w:rsid w:val="002703A6"/>
    <w:rsid w:val="00285954"/>
    <w:rsid w:val="0029639D"/>
    <w:rsid w:val="002B50B5"/>
    <w:rsid w:val="002C3028"/>
    <w:rsid w:val="00317D50"/>
    <w:rsid w:val="00326F90"/>
    <w:rsid w:val="00402EC1"/>
    <w:rsid w:val="004860B8"/>
    <w:rsid w:val="004D5B2A"/>
    <w:rsid w:val="005A1B4A"/>
    <w:rsid w:val="005B7611"/>
    <w:rsid w:val="006D678D"/>
    <w:rsid w:val="006D7125"/>
    <w:rsid w:val="00716AF1"/>
    <w:rsid w:val="00806133"/>
    <w:rsid w:val="008537C9"/>
    <w:rsid w:val="00963613"/>
    <w:rsid w:val="009E3092"/>
    <w:rsid w:val="00A373D6"/>
    <w:rsid w:val="00AA1D8D"/>
    <w:rsid w:val="00B33240"/>
    <w:rsid w:val="00B47730"/>
    <w:rsid w:val="00B60091"/>
    <w:rsid w:val="00BE2FE6"/>
    <w:rsid w:val="00C52E73"/>
    <w:rsid w:val="00C6096E"/>
    <w:rsid w:val="00CA1EC1"/>
    <w:rsid w:val="00CB0664"/>
    <w:rsid w:val="00D5020D"/>
    <w:rsid w:val="00D6357F"/>
    <w:rsid w:val="00DE35DA"/>
    <w:rsid w:val="00DF41E1"/>
    <w:rsid w:val="00E93701"/>
    <w:rsid w:val="00EB6DC6"/>
    <w:rsid w:val="00EC1002"/>
    <w:rsid w:val="00F123BD"/>
    <w:rsid w:val="00F62AA2"/>
    <w:rsid w:val="00FB75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D9A3D88-CA9F-43A8-8B43-CF7C77E8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IHeading">
    <w:name w:val="SI Heading"/>
    <w:pPr>
      <w:spacing w:before="200" w:after="100"/>
    </w:pPr>
    <w:rPr>
      <w:rFonts w:ascii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1281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Wendel Alves</cp:lastModifiedBy>
  <cp:revision>7</cp:revision>
  <dcterms:created xsi:type="dcterms:W3CDTF">2026-09-22T16:41:00Z</dcterms:created>
  <dcterms:modified xsi:type="dcterms:W3CDTF">2026-09-25T18:27:00Z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46296eb3-2b67-4246-9fc8-691cc2a85ed5</vt:lpwstr>
  </property>
  <property fmtid="{D5CDD505-2E9C-101B-9397-08002B2CF9AE}" pid="3" name="ZOTERO_PREF_1">
    <vt:lpwstr>&lt;data data-version="3" zotero-version="9.0.6"&gt;&lt;session id="paUGzoc7"/&gt;&lt;style id="http://www.zotero.org/styles/acs-biomaterials-science-and-engineering" hasBibliography="1" bibliographyStyleHasBeenSet="0"/&gt;&lt;prefs&gt;&lt;pref name="fieldType" value="Field"/&gt;&lt;pref</vt:lpwstr>
  </property>
  <property fmtid="{D5CDD505-2E9C-101B-9397-08002B2CF9AE}" pid="4" name="ZOTERO_PREF_2">
    <vt:lpwstr> name="automaticJournalAbbreviations" value="true"/&gt;&lt;/prefs&gt;&lt;/data&gt;</vt:lpwstr>
  </property>
</Properties>
</file>