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1699C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>Supplementary Figure S1. Recursive feature elimination performance curve for candidate predictor selection.</w:t>
      </w:r>
    </w:p>
    <w:p w14:paraId="23361F4F">
      <w:pPr>
        <w:rPr>
          <w:rFonts w:hint="default" w:ascii="Times New Roman" w:hAnsi="Times New Roman" w:cs="Times New Roman"/>
          <w:sz w:val="24"/>
          <w:szCs w:val="24"/>
        </w:rPr>
      </w:pPr>
    </w:p>
    <w:p w14:paraId="567A0EE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S2. Univariate AUC ranking of candidate predictors for acute kidney injury.</w:t>
      </w:r>
    </w:p>
    <w:p w14:paraId="634FF8AF">
      <w:pPr>
        <w:rPr>
          <w:rFonts w:hint="default" w:ascii="Times New Roman" w:hAnsi="Times New Roman" w:cs="Times New Roman"/>
          <w:sz w:val="24"/>
          <w:szCs w:val="24"/>
        </w:rPr>
      </w:pPr>
    </w:p>
    <w:p w14:paraId="2F17F06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S3. Spearman correlation matrix of candidate predictors.</w:t>
      </w:r>
    </w:p>
    <w:p w14:paraId="58223341">
      <w:pPr>
        <w:rPr>
          <w:rFonts w:hint="default" w:ascii="Times New Roman" w:hAnsi="Times New Roman" w:cs="Times New Roman"/>
          <w:sz w:val="24"/>
          <w:szCs w:val="24"/>
        </w:rPr>
      </w:pPr>
    </w:p>
    <w:p w14:paraId="790BAF5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S4. Feature importance ranking of the AdaBoost model.</w:t>
      </w:r>
    </w:p>
    <w:p w14:paraId="055A7191">
      <w:pPr>
        <w:rPr>
          <w:rFonts w:hint="default" w:ascii="Times New Roman" w:hAnsi="Times New Roman" w:cs="Times New Roman"/>
          <w:sz w:val="24"/>
          <w:szCs w:val="24"/>
        </w:rPr>
      </w:pPr>
    </w:p>
    <w:p w14:paraId="0336CD5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S5. Feature importance ranking of the KNN model.</w:t>
      </w:r>
    </w:p>
    <w:p w14:paraId="013A5210">
      <w:pPr>
        <w:rPr>
          <w:rFonts w:hint="default" w:ascii="Times New Roman" w:hAnsi="Times New Roman" w:cs="Times New Roman"/>
          <w:sz w:val="24"/>
          <w:szCs w:val="24"/>
        </w:rPr>
      </w:pPr>
    </w:p>
    <w:p w14:paraId="6B36459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S6. Feature importance ranking of the LightGBM model.</w:t>
      </w:r>
    </w:p>
    <w:p w14:paraId="5C579EF5">
      <w:pPr>
        <w:rPr>
          <w:rFonts w:hint="default" w:ascii="Times New Roman" w:hAnsi="Times New Roman" w:cs="Times New Roman"/>
          <w:sz w:val="24"/>
          <w:szCs w:val="24"/>
        </w:rPr>
      </w:pPr>
    </w:p>
    <w:p w14:paraId="35128DE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S7. Feature importance ranking of the logistic regression model.</w:t>
      </w:r>
    </w:p>
    <w:p w14:paraId="54121B46">
      <w:pPr>
        <w:rPr>
          <w:rFonts w:hint="default" w:ascii="Times New Roman" w:hAnsi="Times New Roman" w:cs="Times New Roman"/>
          <w:sz w:val="24"/>
          <w:szCs w:val="24"/>
        </w:rPr>
      </w:pPr>
    </w:p>
    <w:p w14:paraId="30C1C5A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S8. Feature importance ranking of the neural network model.</w:t>
      </w:r>
    </w:p>
    <w:p w14:paraId="6E1DA8C6">
      <w:pPr>
        <w:rPr>
          <w:rFonts w:hint="default" w:ascii="Times New Roman" w:hAnsi="Times New Roman" w:cs="Times New Roman"/>
          <w:sz w:val="24"/>
          <w:szCs w:val="24"/>
        </w:rPr>
      </w:pPr>
    </w:p>
    <w:p w14:paraId="0942260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S9. Feature importance ranking of the SVM model.</w:t>
      </w:r>
    </w:p>
    <w:p w14:paraId="51F4C2C1">
      <w:pPr>
        <w:rPr>
          <w:rFonts w:hint="default" w:ascii="Times New Roman" w:hAnsi="Times New Roman" w:cs="Times New Roman"/>
          <w:sz w:val="24"/>
          <w:szCs w:val="24"/>
        </w:rPr>
      </w:pPr>
    </w:p>
    <w:p w14:paraId="5E245DD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S10. Feature importance ranking of the XGBoost model.</w:t>
      </w:r>
    </w:p>
    <w:p w14:paraId="01F155A0">
      <w:pPr>
        <w:rPr>
          <w:rFonts w:hint="default" w:ascii="Times New Roman" w:hAnsi="Times New Roman" w:cs="Times New Roman"/>
          <w:sz w:val="24"/>
          <w:szCs w:val="24"/>
        </w:rPr>
      </w:pPr>
    </w:p>
    <w:p w14:paraId="0B26DC8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S11. Confusion matrices of the AdaBoost model across the internal test and external validation cohorts. A, MIMIC-IV internal test cohort; B, eICU external validation cohort; C, MIMIC-III external validation cohort; D, Guangxi local external validation cohort.</w:t>
      </w:r>
    </w:p>
    <w:p w14:paraId="677F809D">
      <w:pPr>
        <w:rPr>
          <w:rFonts w:hint="default" w:ascii="Times New Roman" w:hAnsi="Times New Roman" w:cs="Times New Roman"/>
          <w:sz w:val="24"/>
          <w:szCs w:val="24"/>
        </w:rPr>
      </w:pPr>
    </w:p>
    <w:p w14:paraId="49E5C1F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S12. Confusion matrices of the KNN model across the internal test and external validation cohorts. A, MIMIC-IV internal test cohort; B, eICU external validation cohort; C, MIMIC-III external validation cohort; D, Guangxi local external validation cohort.</w:t>
      </w:r>
    </w:p>
    <w:p w14:paraId="516C5D0D">
      <w:pPr>
        <w:rPr>
          <w:rFonts w:hint="default" w:ascii="Times New Roman" w:hAnsi="Times New Roman" w:cs="Times New Roman"/>
          <w:sz w:val="24"/>
          <w:szCs w:val="24"/>
        </w:rPr>
      </w:pPr>
    </w:p>
    <w:p w14:paraId="22BFDDD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S13. Confusion matrices of the LightGBM model across the internal test and external validation cohorts. A, MIMIC-IV internal test cohort; B, eICU external validation cohort; C, MIMIC-III external validation cohort; D, Guangxi local external validation cohort.</w:t>
      </w:r>
    </w:p>
    <w:p w14:paraId="446CE16A">
      <w:pPr>
        <w:rPr>
          <w:rFonts w:hint="default" w:ascii="Times New Roman" w:hAnsi="Times New Roman" w:cs="Times New Roman"/>
          <w:sz w:val="24"/>
          <w:szCs w:val="24"/>
        </w:rPr>
      </w:pPr>
    </w:p>
    <w:p w14:paraId="4F8E601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S14. Confusion matrices of the logistic regression model across the internal test and external validation cohorts. A, MIMIC-IV internal test cohort; B, eICU external validation cohort; C, MIMIC-III external validation cohort; D, Guangxi local external validation cohort.</w:t>
      </w:r>
    </w:p>
    <w:p w14:paraId="4DC8DFB1">
      <w:pPr>
        <w:rPr>
          <w:rFonts w:hint="default" w:ascii="Times New Roman" w:hAnsi="Times New Roman" w:cs="Times New Roman"/>
          <w:sz w:val="24"/>
          <w:szCs w:val="24"/>
        </w:rPr>
      </w:pPr>
    </w:p>
    <w:p w14:paraId="3F76B25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S15. Confusion matrices of the neural network model across the internal test and external validation cohorts. A, MIMIC-IV internal test cohort; B, eICU external validation cohort; C, MIMIC-III external validation cohort; D, Guangxi local external validation cohort.</w:t>
      </w:r>
    </w:p>
    <w:p w14:paraId="3EF8A9E2">
      <w:pPr>
        <w:rPr>
          <w:rFonts w:hint="default" w:ascii="Times New Roman" w:hAnsi="Times New Roman" w:cs="Times New Roman"/>
          <w:sz w:val="24"/>
          <w:szCs w:val="24"/>
        </w:rPr>
      </w:pPr>
    </w:p>
    <w:p w14:paraId="2E89185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S16. Confusion matrices of the SVM model across the internal test and external validation cohorts. A, MIMIC-IV internal test cohort; B, eICU external validation cohort; C, MIMIC-III external validation cohort; D, Guangxi local external validation cohort.</w:t>
      </w:r>
    </w:p>
    <w:p w14:paraId="22737B68">
      <w:pPr>
        <w:rPr>
          <w:rFonts w:hint="default" w:ascii="Times New Roman" w:hAnsi="Times New Roman" w:cs="Times New Roman"/>
          <w:sz w:val="24"/>
          <w:szCs w:val="24"/>
        </w:rPr>
      </w:pPr>
    </w:p>
    <w:p w14:paraId="6DA13B0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S17. Confusion matrices of the XGBoost model across the internal test and external validation cohorts. A, MIMIC-IV internal test cohort; B, eICU external validation cohort; C, MIMIC-III external validation cohort; D, Guangxi local external validation cohort.</w:t>
      </w:r>
    </w:p>
    <w:p w14:paraId="55016DD6">
      <w:pPr>
        <w:rPr>
          <w:rFonts w:hint="default" w:ascii="Times New Roman" w:hAnsi="Times New Roman" w:cs="Times New Roman"/>
          <w:sz w:val="24"/>
          <w:szCs w:val="24"/>
        </w:rPr>
      </w:pPr>
    </w:p>
    <w:p w14:paraId="61C0EBA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S18. SHAP dependence plot for total calcium in the logistic regression model.</w:t>
      </w:r>
    </w:p>
    <w:p w14:paraId="251E440E">
      <w:pPr>
        <w:rPr>
          <w:rFonts w:hint="default" w:ascii="Times New Roman" w:hAnsi="Times New Roman" w:cs="Times New Roman"/>
          <w:sz w:val="24"/>
          <w:szCs w:val="24"/>
        </w:rPr>
      </w:pPr>
    </w:p>
    <w:p w14:paraId="1227FCA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S19. SHAP dependence plot for heart failure (HF) in the logistic regression model.</w:t>
      </w:r>
    </w:p>
    <w:p w14:paraId="5B5E5778">
      <w:pPr>
        <w:rPr>
          <w:rFonts w:hint="default" w:ascii="Times New Roman" w:hAnsi="Times New Roman" w:cs="Times New Roman"/>
          <w:sz w:val="24"/>
          <w:szCs w:val="24"/>
        </w:rPr>
      </w:pPr>
    </w:p>
    <w:p w14:paraId="2346C42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S20. SHAP dependence plot for magnesium in the logistic regression model.</w:t>
      </w:r>
    </w:p>
    <w:p w14:paraId="2E249C81">
      <w:pPr>
        <w:rPr>
          <w:rFonts w:hint="default" w:ascii="Times New Roman" w:hAnsi="Times New Roman" w:cs="Times New Roman"/>
          <w:sz w:val="24"/>
          <w:szCs w:val="24"/>
        </w:rPr>
      </w:pPr>
    </w:p>
    <w:p w14:paraId="6E2EF5B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S21. SHAP dependence plot for pH in the logistic regression model.</w:t>
      </w:r>
    </w:p>
    <w:p w14:paraId="355B9DCA">
      <w:pPr>
        <w:rPr>
          <w:rFonts w:hint="default" w:ascii="Times New Roman" w:hAnsi="Times New Roman" w:cs="Times New Roman"/>
          <w:sz w:val="24"/>
          <w:szCs w:val="24"/>
        </w:rPr>
      </w:pPr>
    </w:p>
    <w:p w14:paraId="1276CB3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S22. SHAP dependence plot for partial pressure of oxygen (PO2) in the logistic regression model.</w:t>
      </w:r>
    </w:p>
    <w:p w14:paraId="1967FE35">
      <w:pPr>
        <w:rPr>
          <w:rFonts w:hint="default" w:ascii="Times New Roman" w:hAnsi="Times New Roman" w:cs="Times New Roman"/>
          <w:sz w:val="24"/>
          <w:szCs w:val="24"/>
        </w:rPr>
      </w:pPr>
    </w:p>
    <w:p w14:paraId="394322D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S23. SHAP dependence plot for partial thromboplastin time (PTT) in the logistic regression model.</w:t>
      </w:r>
    </w:p>
    <w:p w14:paraId="75369CA3">
      <w:pPr>
        <w:rPr>
          <w:rFonts w:hint="default" w:ascii="Times New Roman" w:hAnsi="Times New Roman" w:cs="Times New Roman"/>
          <w:sz w:val="24"/>
          <w:szCs w:val="24"/>
        </w:rPr>
      </w:pPr>
    </w:p>
    <w:p w14:paraId="7B78708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S24. SHAP dependence plot for weight in the logistic regression model.</w:t>
      </w:r>
    </w:p>
    <w:p w14:paraId="66927A38">
      <w:pPr>
        <w:rPr>
          <w:rFonts w:hint="default" w:ascii="Times New Roman" w:hAnsi="Times New Roman" w:cs="Times New Roman"/>
          <w:sz w:val="24"/>
          <w:szCs w:val="24"/>
        </w:rPr>
      </w:pPr>
    </w:p>
    <w:p w14:paraId="4795975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243279B5">
      <w:pPr>
        <w:rPr>
          <w:rFonts w:hint="default" w:ascii="Times New Roman" w:hAnsi="Times New Roman" w:cs="Times New Roman"/>
          <w:sz w:val="24"/>
          <w:szCs w:val="24"/>
        </w:rPr>
      </w:pPr>
    </w:p>
    <w:p w14:paraId="3BC1DFA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5F2C3DB4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</w:p>
    <w:p w14:paraId="7091A912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Supplementary Table S1. Optimized hyperparameter settings for the seven machine learning models.</w:t>
      </w:r>
    </w:p>
    <w:p w14:paraId="567A7649">
      <w:pPr>
        <w:jc w:val="both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8595" cy="3848100"/>
            <wp:effectExtent l="0" t="0" r="8255" b="0"/>
            <wp:docPr id="1" name="图片 1" descr="RF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FE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B9DA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S1. Recursive feature elimination performance curve for candidate predictor selection.</w:t>
      </w:r>
    </w:p>
    <w:p w14:paraId="5E44DC10">
      <w:pPr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6690" cy="5266690"/>
            <wp:effectExtent l="0" t="0" r="10160" b="10160"/>
            <wp:docPr id="5" name="图片 5" descr="变量相关性热图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变量相关性热图1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60C3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S2. Univariate AUC ranking of candidate predictors for acute kidney injury.</w:t>
      </w:r>
    </w:p>
    <w:p w14:paraId="5DA8DBD9">
      <w:pPr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39385" cy="5060315"/>
            <wp:effectExtent l="0" t="0" r="18415" b="6985"/>
            <wp:docPr id="4" name="图片 4" descr="变量相关性热图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变量相关性热图2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506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12C3B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S3. Spearman correlation matrix of candidate predictors.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4310" cy="3767455"/>
            <wp:effectExtent l="0" t="0" r="2540" b="4445"/>
            <wp:docPr id="9" name="图片 9" descr="Adaboost_important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daboost_important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3C802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S4. Feature importance ranking of the AdaBoost model.</w:t>
      </w:r>
    </w:p>
    <w:p w14:paraId="74827ED0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4310" cy="3767455"/>
            <wp:effectExtent l="0" t="0" r="2540" b="4445"/>
            <wp:docPr id="10" name="图片 10" descr="KNN_important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KNN_important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F2565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S5. Feature importance ranking of the KNN model.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4310" cy="3767455"/>
            <wp:effectExtent l="0" t="0" r="2540" b="4445"/>
            <wp:docPr id="11" name="图片 11" descr="LightGBM_importanc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LightGBM_importance_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EB1E5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S6. Feature importance ranking of the LightGBM model.</w:t>
      </w:r>
    </w:p>
    <w:p w14:paraId="10D91D8B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4310" cy="3767455"/>
            <wp:effectExtent l="0" t="0" r="2540" b="4445"/>
            <wp:docPr id="12" name="图片 12" descr="Logistic_important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Logistic_important_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8FEE8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S7. Feature importance ranking of the logistic regression model.</w:t>
      </w:r>
    </w:p>
    <w:p w14:paraId="31AA2FE8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4310" cy="3767455"/>
            <wp:effectExtent l="0" t="0" r="2540" b="4445"/>
            <wp:docPr id="13" name="图片 13" descr="NeuralNetwork_important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NeuralNetwork_important_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4A591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S8. Feature importance ranking of the neural network model.</w:t>
      </w:r>
    </w:p>
    <w:p w14:paraId="00998E85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4310" cy="3767455"/>
            <wp:effectExtent l="0" t="0" r="2540" b="4445"/>
            <wp:docPr id="14" name="图片 14" descr="SVM_important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VM_important_0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810D2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S9. Feature importance ranking of the SVM model.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4310" cy="3767455"/>
            <wp:effectExtent l="0" t="0" r="2540" b="4445"/>
            <wp:docPr id="15" name="图片 15" descr="Xgboost_important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Xgboost_important_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C1A9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S10. Feature importance ranking of the XGBoost model.</w:t>
      </w:r>
    </w:p>
    <w:p w14:paraId="4E0AC7B4">
      <w:pPr>
        <w:rPr>
          <w:rFonts w:hint="default" w:ascii="Times New Roman" w:hAnsi="Times New Roman" w:cs="Times New Roman"/>
        </w:rPr>
      </w:pPr>
    </w:p>
    <w:p w14:paraId="39562516">
      <w:pPr>
        <w:rPr>
          <w:rFonts w:hint="default" w:ascii="Times New Roman" w:hAnsi="Times New Roman" w:cs="Times New Roman"/>
        </w:rPr>
      </w:pPr>
    </w:p>
    <w:p w14:paraId="146F321F">
      <w:pPr>
        <w:rPr>
          <w:rFonts w:hint="default" w:ascii="Times New Roman" w:hAnsi="Times New Roman" w:cs="Times New Roman"/>
        </w:rPr>
      </w:pPr>
    </w:p>
    <w:p w14:paraId="0DEA408B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71770" cy="4798060"/>
            <wp:effectExtent l="0" t="0" r="5080" b="2540"/>
            <wp:docPr id="17" name="图片 17" descr="Adbo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Adboost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79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1672C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S11. Confusion matrices of the AdaBoost model across the internal test and external validation cohorts. A, MIMIC-IV internal test cohort; B, eICU external validation cohort; C, MIMIC-III external validation cohort; D, Guangxi local external validation cohort.</w:t>
      </w:r>
      <w:r>
        <w:rPr>
          <w:rFonts w:hint="default" w:ascii="Times New Roman" w:hAnsi="Times New Roman" w:cs="Times New Roman" w:eastAsiaTheme="minorEastAsia"/>
          <w:lang w:val="en-US" w:eastAsia="zh-CN"/>
        </w:rPr>
        <w:drawing>
          <wp:inline distT="0" distB="0" distL="114300" distR="114300">
            <wp:extent cx="5271770" cy="4893945"/>
            <wp:effectExtent l="0" t="0" r="5080" b="1905"/>
            <wp:docPr id="19" name="图片 19" descr="K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KNN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89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2C501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S12. Confusion matrices of the KNN model across the internal test and external validation cohorts. A, MIMIC-IV internal test cohort; B, eICU external validation cohort; C, MIMIC-III external validation cohort; D, Guangxi local external validation cohort.</w:t>
      </w: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73675" cy="4845685"/>
            <wp:effectExtent l="0" t="0" r="3175" b="12065"/>
            <wp:docPr id="20" name="图片 20" descr="LightG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LightGBM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84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3ED10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S13. Confusion matrices of the LightGBM model across the internal test and external validation cohorts. A, MIMIC-IV internal test cohort; B, eICU external validation cohort; C, MIMIC-III external validation cohort; D, Guangxi local external validation cohort.</w:t>
      </w: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73040" cy="4861560"/>
            <wp:effectExtent l="0" t="0" r="3810" b="15240"/>
            <wp:docPr id="21" name="图片 21" descr="Logist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Logistic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86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CD218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S14. Confusion matrices of the logistic regression model across the internal test and external validation cohorts. A, MIMIC-IV internal test cohort; B, eICU external validation cohort; C, MIMIC-III external validation cohort; D, Guangxi local external validation cohort.</w:t>
      </w:r>
      <w:r>
        <w:rPr>
          <w:rFonts w:hint="default" w:ascii="Times New Roman" w:hAnsi="Times New Roman" w:cs="Times New Roman" w:eastAsiaTheme="minorEastAsia"/>
          <w:lang w:val="en-US" w:eastAsia="zh-CN"/>
        </w:rPr>
        <w:drawing>
          <wp:inline distT="0" distB="0" distL="114300" distR="114300">
            <wp:extent cx="5269230" cy="4907915"/>
            <wp:effectExtent l="0" t="0" r="7620" b="6985"/>
            <wp:docPr id="22" name="图片 22" descr="NeuralNe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NeuralNetwork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90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AD710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S15. Confusion matrices of the neural network model across the internal test and external validation cohorts. A, MIMIC-IV internal test cohort; B, eICU external validation cohort; C, MIMIC-III external validation cohort; D, Guangxi local external validation cohort.</w:t>
      </w:r>
      <w:r>
        <w:rPr>
          <w:rFonts w:hint="default" w:ascii="Times New Roman" w:hAnsi="Times New Roman" w:cs="Times New Roman" w:eastAsiaTheme="minorEastAsia"/>
          <w:lang w:val="en-US" w:eastAsia="zh-CN"/>
        </w:rPr>
        <w:drawing>
          <wp:inline distT="0" distB="0" distL="114300" distR="114300">
            <wp:extent cx="5271770" cy="4734560"/>
            <wp:effectExtent l="0" t="0" r="5080" b="8890"/>
            <wp:docPr id="23" name="图片 23" descr="SV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SVM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73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B972D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S16. Confusion matrices of the SVM model across the internal test and external validation cohorts. A, MIMIC-IV internal test cohort; B, eICU external validation cohort; C, MIMIC-III external validation cohort; D, Guangxi local external validation cohort.</w:t>
      </w:r>
      <w:r>
        <w:rPr>
          <w:rFonts w:hint="default" w:ascii="Times New Roman" w:hAnsi="Times New Roman" w:cs="Times New Roman" w:eastAsiaTheme="minorEastAsia"/>
          <w:lang w:val="en-US" w:eastAsia="zh-CN"/>
        </w:rPr>
        <w:drawing>
          <wp:inline distT="0" distB="0" distL="114300" distR="114300">
            <wp:extent cx="5273040" cy="4886960"/>
            <wp:effectExtent l="0" t="0" r="3810" b="8890"/>
            <wp:docPr id="24" name="图片 24" descr="XGBo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XGBoost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88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8E73C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S17. Confusion matrices of the XGBoost model across the internal test and external validation cohorts. A, MIMIC-IV internal test cohort; B, eICU external validation cohort; C, MIMIC-III external validation cohort; D, Guangxi local external validation cohort.</w:t>
      </w:r>
    </w:p>
    <w:p w14:paraId="485869A6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605400C0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12141801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45AA622D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br w:type="textWrapping"/>
      </w:r>
    </w:p>
    <w:p w14:paraId="4AF56EDD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2F152160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289B4B25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53F843C1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740EC1CB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4F4B7CD3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1F89EF63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27F28167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08DC1CA4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247FA033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546401E1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260340" cy="4011930"/>
            <wp:effectExtent l="0" t="0" r="16510" b="7620"/>
            <wp:docPr id="25" name="图片 25" descr="依赖图Calcium_Total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依赖图Calcium_Total_0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C3FA7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S18. SHAP dependence plot for total calcium in the logistic regression model.</w:t>
      </w:r>
    </w:p>
    <w:p w14:paraId="74DF88E1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260340" cy="4011930"/>
            <wp:effectExtent l="0" t="0" r="16510" b="7620"/>
            <wp:docPr id="28" name="图片 28" descr="依赖图HF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依赖图HF_0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74D8F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S19. SHAP dependence plot for heart failure (HF) in the logistic regression model.</w:t>
      </w:r>
    </w:p>
    <w:p w14:paraId="127CA019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260340" cy="4011930"/>
            <wp:effectExtent l="0" t="0" r="16510" b="7620"/>
            <wp:docPr id="29" name="图片 29" descr="依赖图Magnesium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依赖图Magnesium_0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D7776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S20. SHAP dependence plot for magnesium in the logistic regression model.</w:t>
      </w:r>
    </w:p>
    <w:p w14:paraId="1416D790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260340" cy="4011930"/>
            <wp:effectExtent l="0" t="0" r="16510" b="7620"/>
            <wp:docPr id="30" name="图片 30" descr="依赖图pH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依赖图pH_0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080B2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S21. SHAP dependence plot for pH in the logistic regression model.</w:t>
      </w:r>
    </w:p>
    <w:p w14:paraId="7F5A1696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260340" cy="4011930"/>
            <wp:effectExtent l="0" t="0" r="16510" b="7620"/>
            <wp:docPr id="31" name="图片 31" descr="依赖图PO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依赖图PO2_0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F0920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015FF182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S22. SHAP dependence plot for partial pressure of oxygen (PO2) in the logistic regression model.</w:t>
      </w:r>
    </w:p>
    <w:p w14:paraId="1D9822F7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260340" cy="4011930"/>
            <wp:effectExtent l="0" t="0" r="16510" b="7620"/>
            <wp:docPr id="35" name="图片 35" descr="依赖图PTT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依赖图PTT_0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A158C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S23. SHAP dependence plot for partial thromboplastin time (PTT) in the logistic regression model.</w:t>
      </w:r>
    </w:p>
    <w:p w14:paraId="73530AC4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260340" cy="4011930"/>
            <wp:effectExtent l="0" t="0" r="16510" b="7620"/>
            <wp:docPr id="36" name="图片 36" descr="依赖图Weight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依赖图Weight_0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09452"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Figure S24. SHAP dependence plot for weight in the logistic regression model.</w:t>
      </w:r>
    </w:p>
    <w:p w14:paraId="355D5BBC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0FC5F818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6A9C88F1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667261DA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1829BA9D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4945B88A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693D7DED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19F87464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33C04ADB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0D77F36F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46142A38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233848A1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237F825D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02C89AFE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66E7BE5D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2AB398A9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135F66A9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1E92C336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3C1A6DA0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570942C7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73EE1912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14E75A66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6066E8C1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Supplementary Table S1. Optimized hyperparameter settings for the seven machine learning models.</w:t>
      </w:r>
    </w:p>
    <w:tbl>
      <w:tblPr>
        <w:tblStyle w:val="2"/>
        <w:tblW w:w="5746" w:type="pct"/>
        <w:jc w:val="center"/>
        <w:tblCellSpacing w:w="15" w:type="dxa"/>
        <w:tblBorders>
          <w:top w:val="none" w:color="000000" w:sz="8" w:space="0"/>
          <w:left w:val="none" w:color="000000" w:sz="8" w:space="0"/>
          <w:bottom w:val="none" w:color="000000" w:sz="8" w:space="0"/>
          <w:right w:val="none" w:color="000000" w:sz="8" w:space="0"/>
          <w:insideH w:val="none" w:color="000000" w:sz="8" w:space="0"/>
          <w:insideV w:val="none" w:color="000000" w:sz="8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32"/>
        <w:gridCol w:w="6617"/>
      </w:tblGrid>
      <w:tr w14:paraId="0D181E7A"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15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BA6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Model</w:t>
            </w:r>
          </w:p>
        </w:tc>
        <w:tc>
          <w:tcPr>
            <w:tcW w:w="340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CE72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Optimized hyperparameter settings</w:t>
            </w:r>
          </w:p>
        </w:tc>
      </w:tr>
      <w:tr w14:paraId="0AA48FA4"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548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9CA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Logistic regression</w:t>
            </w:r>
          </w:p>
        </w:tc>
        <w:tc>
          <w:tcPr>
            <w:tcW w:w="3405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333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No tuning parameters</w:t>
            </w:r>
          </w:p>
        </w:tc>
      </w:tr>
      <w:tr w14:paraId="41C84490"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54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4B19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Support vector machine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AA57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sigma = 0.001; C = 0.09</w:t>
            </w:r>
          </w:p>
        </w:tc>
      </w:tr>
      <w:tr w14:paraId="5B302F3F"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54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14A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Neural network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8A9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size = 4; decay = 0.4</w:t>
            </w:r>
          </w:p>
        </w:tc>
      </w:tr>
      <w:tr w14:paraId="07DE0C56"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54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39E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K-nearest neighbor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7776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kmax = 12; distance = 1; kernel = optimal</w:t>
            </w:r>
          </w:p>
        </w:tc>
      </w:tr>
      <w:tr w14:paraId="1DFD9FEE"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54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96F0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XGBoost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992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nrounds = 10; max_depth = 4; eta = 0.001; gamma = 10; colsample_bytree = 0.5; min_child_weight = 1; subsample = 0.6</w:t>
            </w:r>
          </w:p>
        </w:tc>
      </w:tr>
      <w:tr w14:paraId="7E8368DF"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54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E9EB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AdaBoost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5700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mfinal = 2; maxdepth = 2; coeflearn = Zhu</w:t>
            </w:r>
          </w:p>
        </w:tc>
      </w:tr>
      <w:tr w14:paraId="5A61AE1F"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548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273F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LightGBM</w:t>
            </w:r>
          </w:p>
        </w:tc>
        <w:tc>
          <w:tcPr>
            <w:tcW w:w="3405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2D8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objective = binary; metric = AUC; min_data = 1; learning_rate = 0.6; num_threads = 2; force_col_wise = TRUE</w:t>
            </w:r>
          </w:p>
        </w:tc>
      </w:tr>
    </w:tbl>
    <w:p w14:paraId="67D208AB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44130"/>
    <w:rsid w:val="0A6177F9"/>
    <w:rsid w:val="113C30C8"/>
    <w:rsid w:val="17FA7AEB"/>
    <w:rsid w:val="1C8036F4"/>
    <w:rsid w:val="1CDC6832"/>
    <w:rsid w:val="2BC65A1B"/>
    <w:rsid w:val="2EE425A7"/>
    <w:rsid w:val="394A56B6"/>
    <w:rsid w:val="3AD54F8E"/>
    <w:rsid w:val="3D9A2132"/>
    <w:rsid w:val="42D27F5D"/>
    <w:rsid w:val="5C3D1D80"/>
    <w:rsid w:val="6E296BAE"/>
    <w:rsid w:val="6F226D3C"/>
    <w:rsid w:val="70313510"/>
    <w:rsid w:val="70A1249D"/>
    <w:rsid w:val="74844130"/>
    <w:rsid w:val="7A84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1062</Words>
  <Characters>6656</Characters>
  <Lines>0</Lines>
  <Paragraphs>0</Paragraphs>
  <TotalTime>3</TotalTime>
  <ScaleCrop>false</ScaleCrop>
  <LinksUpToDate>false</LinksUpToDate>
  <CharactersWithSpaces>7655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2026-06-16T01:49:00Z</dcterms:created>
  <dc:creator>海不会不蓝@</dc:creator>
  <cp:lastModifiedBy>海不会不蓝@</cp:lastModifiedBy>
  <dcterms:modified xsi:type="dcterms:W3CDTF">2026-08-31T08:38:20Z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654B878AEC1B40598C38960C42DA0C5F_13</vt:lpwstr>
  </property>
  <property fmtid="{D5CDD505-2E9C-101B-9397-08002B2CF9AE}" pid="4" name="KSOTemplateDocerSaveRecord">
    <vt:lpwstr>eyJoZGlkIjoiOGQzNTVkMTJmZTdmNDJjN2ViOTQ1Y2U0NmFjOTRlZTMiLCJ1c2VySWQiOiI0MTI0NjU5NzAifQ==</vt:lpwstr>
  </property>
</Properties>
</file>