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b/>
          <w:sz w:val="28"/>
        </w:rPr>
        <w:t>Additional file 2</w:t>
      </w:r>
    </w:p>
    <w:p>
      <w:pPr>
        <w:jc w:val="center"/>
      </w:pPr>
      <w:r>
        <w:rPr>
          <w:rFonts w:ascii="Arial" w:hAnsi="Arial"/>
          <w:b/>
          <w:sz w:val="22"/>
        </w:rPr>
        <w:t>Summary of CIE L*a*b* coordinates of leaf-color examples selected by nursery experts for each crop</w:t>
      </w:r>
    </w:p>
    <w:tbl>
      <w:tblPr>
        <w:tblStyle w:val="af9"/>
        <w:tblW w:w="9638" w:type="dxa"/>
        <w:jc w:val="center"/>
        <w:tblBorders>
          <w:top w:val="single" w:sz="6" w:space="0" w:color="000000"/>
          <w:left w:val="nil"/>
          <w:bottom w:val="single" w:sz="6" w:space="0" w:color="000000"/>
          <w:right w:val="nil"/>
          <w:insideH w:val="nil"/>
          <w:insideV w:val="nil"/>
        </w:tblBorders>
        <w:tblLayout w:type="fixed"/>
        <w:tblLook w:val="04A0" w:firstRow="1" w:lastRow="0" w:firstColumn="1" w:lastColumn="0" w:noHBand="0" w:noVBand="1"/>
      </w:tblPr>
      <w:tblGrid>
        <w:gridCol w:w="1361"/>
        <w:gridCol w:w="510"/>
        <w:gridCol w:w="2589"/>
        <w:gridCol w:w="2589"/>
        <w:gridCol w:w="2589"/>
      </w:tblGrid>
      <w:tr w:rsidR="002D5071" w14:paraId="147459D2" w14:textId="77777777">
        <w:trPr>
          <w:cantSplit/>
          <w:tblHeader/>
          <w:jc w:val="center"/>
        </w:trPr>
        <w:tc>
          <w:tcPr>
            <w:tcW w:w="1361" w:type="dxa"/>
            <w:tcBorders>
              <w:bottom w:val="single" w:sz="6" w:space="0" w:color="000000"/>
            </w:tcBorders>
            <w:tcMar>
              <w:top w:w="70" w:type="dxa"/>
              <w:left w:w="55" w:type="dxa"/>
              <w:bottom w:w="70" w:type="dxa"/>
              <w:right w:w="55" w:type="dxa"/>
            </w:tcMar>
            <w:vAlign w:val="center"/>
          </w:tcPr>
          <w:p w14:paraId="482B3108" w14:textId="77777777" w:rsidR="002D5071" w:rsidRDefault="00CA7146">
            <w:pPr>
              <w:keepNext/>
              <w:keepLines/>
              <w:spacing w:line="240" w:lineRule="auto" w:after="0"/>
              <w:jc w:val="center"/>
            </w:pPr>
            <w:r>
              <w:rPr>
                <w:rFonts w:ascii="Arial" w:hAnsi="Arial"/>
                <w:b/>
                <w:color w:val="000000"/>
                <w:sz w:val="17"/>
              </w:rPr>
              <w:t>Crop</w:t>
            </w:r>
          </w:p>
        </w:tc>
        <w:tc>
          <w:tcPr>
            <w:tcW w:w="510" w:type="dxa"/>
            <w:tcBorders>
              <w:bottom w:val="single" w:sz="6" w:space="0" w:color="000000"/>
            </w:tcBorders>
            <w:tcMar>
              <w:top w:w="70" w:type="dxa"/>
              <w:left w:w="55" w:type="dxa"/>
              <w:bottom w:w="70" w:type="dxa"/>
              <w:right w:w="55" w:type="dxa"/>
            </w:tcMar>
            <w:vAlign w:val="center"/>
          </w:tcPr>
          <w:p w14:paraId="3C04CFA1" w14:textId="77777777" w:rsidR="002D5071" w:rsidRDefault="00CA7146">
            <w:pPr>
              <w:keepNext/>
              <w:keepLines/>
              <w:spacing w:line="240" w:lineRule="auto" w:after="0"/>
              <w:jc w:val="center"/>
            </w:pPr>
            <w:r>
              <w:rPr>
                <w:rFonts w:ascii="Arial" w:hAnsi="Arial"/>
                <w:b/>
                <w:i/>
                <w:color w:val="000000"/>
                <w:sz w:val="17"/>
              </w:rPr>
              <w:t>n</w:t>
            </w:r>
          </w:p>
        </w:tc>
        <w:tc>
          <w:tcPr>
            <w:tcW w:w="2589" w:type="dxa"/>
            <w:tcBorders>
              <w:bottom w:val="single" w:sz="6" w:space="0" w:color="000000"/>
            </w:tcBorders>
            <w:tcMar>
              <w:top w:w="70" w:type="dxa"/>
              <w:left w:w="55" w:type="dxa"/>
              <w:bottom w:w="70" w:type="dxa"/>
              <w:right w:w="55" w:type="dxa"/>
            </w:tcMar>
            <w:vAlign w:val="center"/>
          </w:tcPr>
          <w:p w14:paraId="1F9E3785" w14:textId="77777777" w:rsidR="002D5071" w:rsidRDefault="00CA7146">
            <w:pPr>
              <w:keepNext/>
              <w:keepLines/>
              <w:spacing w:line="240" w:lineRule="auto" w:after="0"/>
              <w:jc w:val="center"/>
            </w:pPr>
            <w:r>
              <w:rPr>
                <w:rFonts w:ascii="Arial" w:hAnsi="Arial"/>
                <w:b/>
                <w:i/>
                <w:color w:val="000000"/>
                <w:sz w:val="17"/>
              </w:rPr>
              <w:t>L*</w:t>
            </w:r>
          </w:p>
        </w:tc>
        <w:tc>
          <w:tcPr>
            <w:tcW w:w="2589" w:type="dxa"/>
            <w:tcBorders>
              <w:bottom w:val="single" w:sz="6" w:space="0" w:color="000000"/>
            </w:tcBorders>
            <w:tcMar>
              <w:top w:w="70" w:type="dxa"/>
              <w:left w:w="55" w:type="dxa"/>
              <w:bottom w:w="70" w:type="dxa"/>
              <w:right w:w="55" w:type="dxa"/>
            </w:tcMar>
            <w:vAlign w:val="center"/>
          </w:tcPr>
          <w:p w14:paraId="13C4AF9A" w14:textId="77777777" w:rsidR="002D5071" w:rsidRDefault="00CA7146">
            <w:pPr>
              <w:keepNext/>
              <w:keepLines/>
              <w:spacing w:line="240" w:lineRule="auto" w:after="0"/>
              <w:jc w:val="center"/>
            </w:pPr>
            <w:r>
              <w:rPr>
                <w:rFonts w:ascii="Arial" w:hAnsi="Arial"/>
                <w:b/>
                <w:i/>
                <w:color w:val="000000"/>
                <w:sz w:val="17"/>
              </w:rPr>
              <w:t>a*</w:t>
            </w:r>
          </w:p>
        </w:tc>
        <w:tc>
          <w:tcPr>
            <w:tcW w:w="2589" w:type="dxa"/>
            <w:tcBorders>
              <w:bottom w:val="single" w:sz="6" w:space="0" w:color="000000"/>
            </w:tcBorders>
            <w:tcMar>
              <w:top w:w="70" w:type="dxa"/>
              <w:left w:w="55" w:type="dxa"/>
              <w:bottom w:w="70" w:type="dxa"/>
              <w:right w:w="55" w:type="dxa"/>
            </w:tcMar>
            <w:vAlign w:val="center"/>
          </w:tcPr>
          <w:p w14:paraId="7B9168F4" w14:textId="77777777" w:rsidR="002D5071" w:rsidRDefault="00CA7146">
            <w:pPr>
              <w:keepNext/>
              <w:keepLines/>
              <w:spacing w:line="240" w:lineRule="auto" w:after="0"/>
              <w:jc w:val="center"/>
            </w:pPr>
            <w:r>
              <w:rPr>
                <w:rFonts w:ascii="Arial" w:hAnsi="Arial"/>
                <w:b/>
                <w:i/>
                <w:color w:val="000000"/>
                <w:sz w:val="17"/>
              </w:rPr>
              <w:t>b*</w:t>
            </w:r>
          </w:p>
        </w:tc>
      </w:tr>
      <w:tr w:rsidR="002D5071" w14:paraId="3BA4F759" w14:textId="77777777">
        <w:trPr>
          <w:cantSplit/>
          <w:jc w:val="center"/>
        </w:trPr>
        <w:tc>
          <w:tcPr>
            <w:tcW w:w="1361" w:type="dxa"/>
            <w:tcMar>
              <w:top w:w="70" w:type="dxa"/>
              <w:left w:w="55" w:type="dxa"/>
              <w:bottom w:w="70" w:type="dxa"/>
              <w:right w:w="55" w:type="dxa"/>
            </w:tcMar>
            <w:vAlign w:val="center"/>
          </w:tcPr>
          <w:p w14:paraId="4EA68675" w14:textId="77777777" w:rsidR="002D5071" w:rsidRDefault="00CA7146">
            <w:pPr>
              <w:keepNext/>
              <w:keepLines/>
              <w:spacing w:line="240" w:lineRule="auto" w:after="0"/>
              <w:jc w:val="left"/>
            </w:pPr>
            <w:r>
              <w:rPr>
                <w:rFonts w:ascii="Arial" w:hAnsi="Arial"/>
                <w:color w:val="000000"/>
                <w:sz w:val="17"/>
              </w:rPr>
              <w:t>Pepper</w:t>
            </w:r>
          </w:p>
        </w:tc>
        <w:tc>
          <w:tcPr>
            <w:tcW w:w="510" w:type="dxa"/>
            <w:tcMar>
              <w:top w:w="70" w:type="dxa"/>
              <w:left w:w="55" w:type="dxa"/>
              <w:bottom w:w="70" w:type="dxa"/>
              <w:right w:w="55" w:type="dxa"/>
            </w:tcMar>
            <w:vAlign w:val="center"/>
          </w:tcPr>
          <w:p w14:paraId="6581270B" w14:textId="77777777" w:rsidR="002D5071" w:rsidRDefault="00CA7146">
            <w:pPr>
              <w:keepNext/>
              <w:keepLines/>
              <w:spacing w:line="240" w:lineRule="auto" w:after="0"/>
              <w:jc w:val="center"/>
            </w:pPr>
            <w:r>
              <w:rPr>
                <w:rFonts w:ascii="Arial" w:hAnsi="Arial"/>
                <w:color w:val="000000"/>
                <w:sz w:val="17"/>
              </w:rPr>
              <w:t>30</w:t>
            </w:r>
          </w:p>
        </w:tc>
        <w:tc>
          <w:tcPr>
            <w:tcW w:w="2589" w:type="dxa"/>
            <w:tcMar>
              <w:top w:w="70" w:type="dxa"/>
              <w:left w:w="55" w:type="dxa"/>
              <w:bottom w:w="70" w:type="dxa"/>
              <w:right w:w="55" w:type="dxa"/>
            </w:tcMar>
            <w:vAlign w:val="center"/>
          </w:tcPr>
          <w:p w14:paraId="26C3CA75" w14:textId="77777777" w:rsidR="002D5071" w:rsidRDefault="00CA7146">
            <w:pPr>
              <w:keepNext/>
              <w:keepLines/>
              <w:spacing w:line="240" w:lineRule="auto" w:after="0"/>
              <w:jc w:val="center"/>
            </w:pPr>
            <w:r>
              <w:rPr>
                <w:rFonts w:ascii="Arial" w:hAnsi="Arial"/>
                <w:color w:val="000000"/>
                <w:sz w:val="17"/>
              </w:rPr>
              <w:t>49.64 (42.68–57.45;</w:t>
            </w:r>
            <w:r>
              <w:rPr>
                <w:rFonts w:ascii="Arial" w:hAnsi="Arial"/>
                <w:color w:val="000000"/>
                <w:sz w:val="17"/>
              </w:rPr>
              <w:br/>
              <w:t>28.36–68.83)</w:t>
            </w:r>
          </w:p>
        </w:tc>
        <w:tc>
          <w:tcPr>
            <w:tcW w:w="2589" w:type="dxa"/>
            <w:tcMar>
              <w:top w:w="70" w:type="dxa"/>
              <w:left w:w="55" w:type="dxa"/>
              <w:bottom w:w="70" w:type="dxa"/>
              <w:right w:w="55" w:type="dxa"/>
            </w:tcMar>
            <w:vAlign w:val="center"/>
          </w:tcPr>
          <w:p w14:paraId="403AAED7" w14:textId="77777777" w:rsidR="002D5071" w:rsidRDefault="00CA7146">
            <w:pPr>
              <w:keepNext/>
              <w:keepLines/>
              <w:spacing w:line="240" w:lineRule="auto" w:after="0"/>
              <w:jc w:val="center"/>
            </w:pPr>
            <w:r>
              <w:rPr>
                <w:rFonts w:ascii="Arial" w:hAnsi="Arial"/>
                <w:color w:val="000000"/>
                <w:sz w:val="17"/>
              </w:rPr>
              <w:t>−43.87 (−52.71–−37.46;</w:t>
            </w:r>
            <w:r>
              <w:rPr>
                <w:rFonts w:ascii="Arial" w:hAnsi="Arial"/>
                <w:color w:val="000000"/>
                <w:sz w:val="17"/>
              </w:rPr>
              <w:br/>
              <w:t>−58.40–−27.67)</w:t>
            </w:r>
          </w:p>
        </w:tc>
        <w:tc>
          <w:tcPr>
            <w:tcW w:w="2589" w:type="dxa"/>
            <w:tcMar>
              <w:top w:w="70" w:type="dxa"/>
              <w:left w:w="55" w:type="dxa"/>
              <w:bottom w:w="70" w:type="dxa"/>
              <w:right w:w="55" w:type="dxa"/>
            </w:tcMar>
            <w:vAlign w:val="center"/>
          </w:tcPr>
          <w:p w14:paraId="26523AC2" w14:textId="77777777" w:rsidR="002D5071" w:rsidRDefault="00CA7146">
            <w:pPr>
              <w:keepNext/>
              <w:keepLines/>
              <w:spacing w:line="240" w:lineRule="auto" w:after="0"/>
              <w:jc w:val="center"/>
            </w:pPr>
            <w:r>
              <w:rPr>
                <w:rFonts w:ascii="Arial" w:hAnsi="Arial"/>
                <w:color w:val="000000"/>
                <w:sz w:val="17"/>
              </w:rPr>
              <w:t>27.59 (17.35–38.04;</w:t>
            </w:r>
            <w:r>
              <w:rPr>
                <w:rFonts w:ascii="Arial" w:hAnsi="Arial"/>
                <w:color w:val="000000"/>
                <w:sz w:val="17"/>
              </w:rPr>
              <w:br/>
              <w:t>1.24–59.44)</w:t>
            </w:r>
          </w:p>
        </w:tc>
      </w:tr>
      <w:tr w:rsidR="002D5071" w14:paraId="031CDFCC" w14:textId="77777777">
        <w:trPr>
          <w:cantSplit/>
          <w:jc w:val="center"/>
        </w:trPr>
        <w:tc>
          <w:tcPr>
            <w:tcW w:w="1361" w:type="dxa"/>
            <w:tcMar>
              <w:top w:w="70" w:type="dxa"/>
              <w:left w:w="55" w:type="dxa"/>
              <w:bottom w:w="70" w:type="dxa"/>
              <w:right w:w="55" w:type="dxa"/>
            </w:tcMar>
            <w:vAlign w:val="center"/>
          </w:tcPr>
          <w:p w14:paraId="42B1E720" w14:textId="77777777" w:rsidR="002D5071" w:rsidRDefault="00CA7146">
            <w:pPr>
              <w:keepNext/>
              <w:keepLines/>
              <w:spacing w:line="240" w:lineRule="auto" w:after="0"/>
              <w:jc w:val="left"/>
            </w:pPr>
            <w:r>
              <w:rPr>
                <w:rFonts w:ascii="Arial" w:hAnsi="Arial"/>
                <w:color w:val="000000"/>
                <w:sz w:val="17"/>
              </w:rPr>
              <w:t>Tomato</w:t>
            </w:r>
          </w:p>
        </w:tc>
        <w:tc>
          <w:tcPr>
            <w:tcW w:w="510" w:type="dxa"/>
            <w:tcMar>
              <w:top w:w="70" w:type="dxa"/>
              <w:left w:w="55" w:type="dxa"/>
              <w:bottom w:w="70" w:type="dxa"/>
              <w:right w:w="55" w:type="dxa"/>
            </w:tcMar>
            <w:vAlign w:val="center"/>
          </w:tcPr>
          <w:p w14:paraId="3DFC8FA4" w14:textId="77777777" w:rsidR="002D5071" w:rsidRDefault="00CA7146">
            <w:pPr>
              <w:keepNext/>
              <w:keepLines/>
              <w:spacing w:line="240" w:lineRule="auto" w:after="0"/>
              <w:jc w:val="center"/>
            </w:pPr>
            <w:r>
              <w:rPr>
                <w:rFonts w:ascii="Arial" w:hAnsi="Arial"/>
                <w:color w:val="000000"/>
                <w:sz w:val="17"/>
              </w:rPr>
              <w:t>33</w:t>
            </w:r>
          </w:p>
        </w:tc>
        <w:tc>
          <w:tcPr>
            <w:tcW w:w="2589" w:type="dxa"/>
            <w:tcMar>
              <w:top w:w="70" w:type="dxa"/>
              <w:left w:w="55" w:type="dxa"/>
              <w:bottom w:w="70" w:type="dxa"/>
              <w:right w:w="55" w:type="dxa"/>
            </w:tcMar>
            <w:vAlign w:val="center"/>
          </w:tcPr>
          <w:p w14:paraId="1D1F5854" w14:textId="77777777" w:rsidR="002D5071" w:rsidRDefault="00CA7146">
            <w:pPr>
              <w:keepNext/>
              <w:keepLines/>
              <w:spacing w:line="240" w:lineRule="auto" w:after="0"/>
              <w:jc w:val="center"/>
            </w:pPr>
            <w:r>
              <w:rPr>
                <w:rFonts w:ascii="Arial" w:hAnsi="Arial"/>
                <w:color w:val="000000"/>
                <w:sz w:val="17"/>
              </w:rPr>
              <w:t>51.03 (41.33–57.08;</w:t>
            </w:r>
            <w:r>
              <w:rPr>
                <w:rFonts w:ascii="Arial" w:hAnsi="Arial"/>
                <w:color w:val="000000"/>
                <w:sz w:val="17"/>
              </w:rPr>
              <w:br/>
              <w:t>27.78–68.42)</w:t>
            </w:r>
          </w:p>
        </w:tc>
        <w:tc>
          <w:tcPr>
            <w:tcW w:w="2589" w:type="dxa"/>
            <w:tcMar>
              <w:top w:w="70" w:type="dxa"/>
              <w:left w:w="55" w:type="dxa"/>
              <w:bottom w:w="70" w:type="dxa"/>
              <w:right w:w="55" w:type="dxa"/>
            </w:tcMar>
            <w:vAlign w:val="center"/>
          </w:tcPr>
          <w:p w14:paraId="568C4882" w14:textId="77777777" w:rsidR="002D5071" w:rsidRDefault="00CA7146">
            <w:pPr>
              <w:keepNext/>
              <w:keepLines/>
              <w:spacing w:line="240" w:lineRule="auto" w:after="0"/>
              <w:jc w:val="center"/>
            </w:pPr>
            <w:r>
              <w:rPr>
                <w:rFonts w:ascii="Arial" w:hAnsi="Arial"/>
                <w:color w:val="000000"/>
                <w:sz w:val="17"/>
              </w:rPr>
              <w:t>−42.65 (−50.39–−37.27;</w:t>
            </w:r>
            <w:r>
              <w:rPr>
                <w:rFonts w:ascii="Arial" w:hAnsi="Arial"/>
                <w:color w:val="000000"/>
                <w:sz w:val="17"/>
              </w:rPr>
              <w:br/>
              <w:t>−57.81–−24.43)</w:t>
            </w:r>
          </w:p>
        </w:tc>
        <w:tc>
          <w:tcPr>
            <w:tcW w:w="2589" w:type="dxa"/>
            <w:tcMar>
              <w:top w:w="70" w:type="dxa"/>
              <w:left w:w="55" w:type="dxa"/>
              <w:bottom w:w="70" w:type="dxa"/>
              <w:right w:w="55" w:type="dxa"/>
            </w:tcMar>
            <w:vAlign w:val="center"/>
          </w:tcPr>
          <w:p w14:paraId="5EC693B1" w14:textId="77777777" w:rsidR="002D5071" w:rsidRDefault="00CA7146">
            <w:pPr>
              <w:keepNext/>
              <w:keepLines/>
              <w:spacing w:line="240" w:lineRule="auto" w:after="0"/>
              <w:jc w:val="center"/>
            </w:pPr>
            <w:r>
              <w:rPr>
                <w:rFonts w:ascii="Arial" w:hAnsi="Arial"/>
                <w:color w:val="000000"/>
                <w:sz w:val="17"/>
              </w:rPr>
              <w:t>28.34 (19.13–38.16;</w:t>
            </w:r>
            <w:r>
              <w:rPr>
                <w:rFonts w:ascii="Arial" w:hAnsi="Arial"/>
                <w:color w:val="000000"/>
                <w:sz w:val="17"/>
              </w:rPr>
              <w:br/>
              <w:t>−0.85–57.88)</w:t>
            </w:r>
          </w:p>
        </w:tc>
      </w:tr>
      <w:tr w:rsidR="002D5071" w14:paraId="52E9ADC9" w14:textId="77777777">
        <w:trPr>
          <w:cantSplit/>
          <w:jc w:val="center"/>
        </w:trPr>
        <w:tc>
          <w:tcPr>
            <w:tcW w:w="1361" w:type="dxa"/>
            <w:tcMar>
              <w:top w:w="70" w:type="dxa"/>
              <w:left w:w="55" w:type="dxa"/>
              <w:bottom w:w="70" w:type="dxa"/>
              <w:right w:w="55" w:type="dxa"/>
            </w:tcMar>
            <w:vAlign w:val="center"/>
          </w:tcPr>
          <w:p w14:paraId="05C23735" w14:textId="77777777" w:rsidR="002D5071" w:rsidRDefault="00CA7146">
            <w:pPr>
              <w:keepNext/>
              <w:keepLines/>
              <w:spacing w:line="240" w:lineRule="auto" w:after="0"/>
              <w:jc w:val="left"/>
            </w:pPr>
            <w:r>
              <w:rPr>
                <w:rFonts w:ascii="Arial" w:hAnsi="Arial"/>
                <w:color w:val="000000"/>
                <w:sz w:val="17"/>
              </w:rPr>
              <w:t>Watermelon</w:t>
            </w:r>
          </w:p>
        </w:tc>
        <w:tc>
          <w:tcPr>
            <w:tcW w:w="510" w:type="dxa"/>
            <w:tcMar>
              <w:top w:w="70" w:type="dxa"/>
              <w:left w:w="55" w:type="dxa"/>
              <w:bottom w:w="70" w:type="dxa"/>
              <w:right w:w="55" w:type="dxa"/>
            </w:tcMar>
            <w:vAlign w:val="center"/>
          </w:tcPr>
          <w:p w14:paraId="06CC922C" w14:textId="77777777" w:rsidR="002D5071" w:rsidRDefault="00CA7146">
            <w:pPr>
              <w:keepNext/>
              <w:keepLines/>
              <w:spacing w:line="240" w:lineRule="auto" w:after="0"/>
              <w:jc w:val="center"/>
            </w:pPr>
            <w:r>
              <w:rPr>
                <w:rFonts w:ascii="Arial" w:hAnsi="Arial"/>
                <w:color w:val="000000"/>
                <w:sz w:val="17"/>
              </w:rPr>
              <w:t>31</w:t>
            </w:r>
          </w:p>
        </w:tc>
        <w:tc>
          <w:tcPr>
            <w:tcW w:w="2589" w:type="dxa"/>
            <w:tcMar>
              <w:top w:w="70" w:type="dxa"/>
              <w:left w:w="55" w:type="dxa"/>
              <w:bottom w:w="70" w:type="dxa"/>
              <w:right w:w="55" w:type="dxa"/>
            </w:tcMar>
            <w:vAlign w:val="center"/>
          </w:tcPr>
          <w:p w14:paraId="71106901" w14:textId="77777777" w:rsidR="002D5071" w:rsidRDefault="00CA7146">
            <w:pPr>
              <w:keepNext/>
              <w:keepLines/>
              <w:spacing w:line="240" w:lineRule="auto" w:after="0"/>
              <w:jc w:val="center"/>
            </w:pPr>
            <w:r>
              <w:rPr>
                <w:rFonts w:ascii="Arial" w:hAnsi="Arial"/>
                <w:color w:val="000000"/>
                <w:sz w:val="17"/>
              </w:rPr>
              <w:t>50.51 (41.87–56.83;</w:t>
            </w:r>
            <w:r>
              <w:rPr>
                <w:rFonts w:ascii="Arial" w:hAnsi="Arial"/>
                <w:color w:val="000000"/>
                <w:sz w:val="17"/>
              </w:rPr>
              <w:br/>
              <w:t>31.53–68.83)</w:t>
            </w:r>
          </w:p>
        </w:tc>
        <w:tc>
          <w:tcPr>
            <w:tcW w:w="2589" w:type="dxa"/>
            <w:tcMar>
              <w:top w:w="70" w:type="dxa"/>
              <w:left w:w="55" w:type="dxa"/>
              <w:bottom w:w="70" w:type="dxa"/>
              <w:right w:w="55" w:type="dxa"/>
            </w:tcMar>
            <w:vAlign w:val="center"/>
          </w:tcPr>
          <w:p w14:paraId="1D9943CE" w14:textId="77777777" w:rsidR="002D5071" w:rsidRDefault="00CA7146">
            <w:pPr>
              <w:keepNext/>
              <w:keepLines/>
              <w:spacing w:line="240" w:lineRule="auto" w:after="0"/>
              <w:jc w:val="center"/>
            </w:pPr>
            <w:r>
              <w:rPr>
                <w:rFonts w:ascii="Arial" w:hAnsi="Arial"/>
                <w:color w:val="000000"/>
                <w:sz w:val="17"/>
              </w:rPr>
              <w:t>−43.82 (−51.60–−35.09;</w:t>
            </w:r>
            <w:r>
              <w:rPr>
                <w:rFonts w:ascii="Arial" w:hAnsi="Arial"/>
                <w:color w:val="000000"/>
                <w:sz w:val="17"/>
              </w:rPr>
              <w:br/>
              <w:t>−57.81–−27.76)</w:t>
            </w:r>
          </w:p>
        </w:tc>
        <w:tc>
          <w:tcPr>
            <w:tcW w:w="2589" w:type="dxa"/>
            <w:tcMar>
              <w:top w:w="70" w:type="dxa"/>
              <w:left w:w="55" w:type="dxa"/>
              <w:bottom w:w="70" w:type="dxa"/>
              <w:right w:w="55" w:type="dxa"/>
            </w:tcMar>
            <w:vAlign w:val="center"/>
          </w:tcPr>
          <w:p w14:paraId="1BCAECC3" w14:textId="77777777" w:rsidR="002D5071" w:rsidRDefault="00CA7146">
            <w:pPr>
              <w:keepNext/>
              <w:keepLines/>
              <w:spacing w:line="240" w:lineRule="auto" w:after="0"/>
              <w:jc w:val="center"/>
            </w:pPr>
            <w:r>
              <w:rPr>
                <w:rFonts w:ascii="Arial" w:hAnsi="Arial"/>
                <w:color w:val="000000"/>
                <w:sz w:val="17"/>
              </w:rPr>
              <w:t>28.34 (23.34–38.13;</w:t>
            </w:r>
            <w:r>
              <w:rPr>
                <w:rFonts w:ascii="Arial" w:hAnsi="Arial"/>
                <w:color w:val="000000"/>
                <w:sz w:val="17"/>
              </w:rPr>
              <w:br/>
              <w:t>1.24–58.65)</w:t>
            </w:r>
          </w:p>
        </w:tc>
      </w:tr>
      <w:tr w:rsidR="002D5071" w14:paraId="3466136F" w14:textId="77777777">
        <w:trPr>
          <w:cantSplit/>
          <w:jc w:val="center"/>
        </w:trPr>
        <w:tc>
          <w:tcPr>
            <w:tcW w:w="1361" w:type="dxa"/>
            <w:tcMar>
              <w:top w:w="70" w:type="dxa"/>
              <w:left w:w="55" w:type="dxa"/>
              <w:bottom w:w="70" w:type="dxa"/>
              <w:right w:w="55" w:type="dxa"/>
            </w:tcMar>
            <w:vAlign w:val="center"/>
          </w:tcPr>
          <w:p w14:paraId="69BCD3A8" w14:textId="77777777" w:rsidR="002D5071" w:rsidRDefault="00CA7146">
            <w:pPr>
              <w:keepNext/>
              <w:keepLines/>
              <w:spacing w:line="240" w:lineRule="auto" w:after="0"/>
              <w:jc w:val="left"/>
            </w:pPr>
            <w:r>
              <w:rPr>
                <w:rFonts w:ascii="Arial" w:hAnsi="Arial"/>
                <w:color w:val="000000"/>
                <w:sz w:val="17"/>
              </w:rPr>
              <w:t>Kimchi cabbage</w:t>
            </w:r>
          </w:p>
        </w:tc>
        <w:tc>
          <w:tcPr>
            <w:tcW w:w="510" w:type="dxa"/>
            <w:tcMar>
              <w:top w:w="70" w:type="dxa"/>
              <w:left w:w="55" w:type="dxa"/>
              <w:bottom w:w="70" w:type="dxa"/>
              <w:right w:w="55" w:type="dxa"/>
            </w:tcMar>
            <w:vAlign w:val="center"/>
          </w:tcPr>
          <w:p w14:paraId="0C10B37E" w14:textId="77777777" w:rsidR="002D5071" w:rsidRDefault="00CA7146">
            <w:pPr>
              <w:keepNext/>
              <w:keepLines/>
              <w:spacing w:line="240" w:lineRule="auto" w:after="0"/>
              <w:jc w:val="center"/>
            </w:pPr>
            <w:r>
              <w:rPr>
                <w:rFonts w:ascii="Arial" w:hAnsi="Arial"/>
                <w:color w:val="000000"/>
                <w:sz w:val="17"/>
              </w:rPr>
              <w:t>33</w:t>
            </w:r>
          </w:p>
        </w:tc>
        <w:tc>
          <w:tcPr>
            <w:tcW w:w="2589" w:type="dxa"/>
            <w:tcMar>
              <w:top w:w="70" w:type="dxa"/>
              <w:left w:w="55" w:type="dxa"/>
              <w:bottom w:w="70" w:type="dxa"/>
              <w:right w:w="55" w:type="dxa"/>
            </w:tcMar>
            <w:vAlign w:val="center"/>
          </w:tcPr>
          <w:p w14:paraId="77C2ABFB" w14:textId="77777777" w:rsidR="002D5071" w:rsidRDefault="00CA7146">
            <w:pPr>
              <w:keepNext/>
              <w:keepLines/>
              <w:spacing w:line="240" w:lineRule="auto" w:after="0"/>
              <w:jc w:val="center"/>
            </w:pPr>
            <w:r>
              <w:rPr>
                <w:rFonts w:ascii="Arial" w:hAnsi="Arial"/>
                <w:color w:val="000000"/>
                <w:sz w:val="17"/>
              </w:rPr>
              <w:t>55.61 (47.21–60.05;</w:t>
            </w:r>
            <w:r>
              <w:rPr>
                <w:rFonts w:ascii="Arial" w:hAnsi="Arial"/>
                <w:color w:val="000000"/>
                <w:sz w:val="17"/>
              </w:rPr>
              <w:br/>
              <w:t>31.53–81.47)</w:t>
            </w:r>
          </w:p>
        </w:tc>
        <w:tc>
          <w:tcPr>
            <w:tcW w:w="2589" w:type="dxa"/>
            <w:tcMar>
              <w:top w:w="70" w:type="dxa"/>
              <w:left w:w="55" w:type="dxa"/>
              <w:bottom w:w="70" w:type="dxa"/>
              <w:right w:w="55" w:type="dxa"/>
            </w:tcMar>
            <w:vAlign w:val="center"/>
          </w:tcPr>
          <w:p w14:paraId="024CB9C4" w14:textId="77777777" w:rsidR="002D5071" w:rsidRDefault="00CA7146">
            <w:pPr>
              <w:keepNext/>
              <w:keepLines/>
              <w:spacing w:line="240" w:lineRule="auto" w:after="0"/>
              <w:jc w:val="center"/>
            </w:pPr>
            <w:r>
              <w:rPr>
                <w:rFonts w:ascii="Arial" w:hAnsi="Arial"/>
                <w:color w:val="000000"/>
                <w:sz w:val="17"/>
              </w:rPr>
              <w:t>−44.37 (−50.63–−37.31;</w:t>
            </w:r>
            <w:r>
              <w:rPr>
                <w:rFonts w:ascii="Arial" w:hAnsi="Arial"/>
                <w:color w:val="000000"/>
                <w:sz w:val="17"/>
              </w:rPr>
              <w:br/>
              <w:t>−57.81–−25.97)</w:t>
            </w:r>
          </w:p>
        </w:tc>
        <w:tc>
          <w:tcPr>
            <w:tcW w:w="2589" w:type="dxa"/>
            <w:tcMar>
              <w:top w:w="70" w:type="dxa"/>
              <w:left w:w="55" w:type="dxa"/>
              <w:bottom w:w="70" w:type="dxa"/>
              <w:right w:w="55" w:type="dxa"/>
            </w:tcMar>
            <w:vAlign w:val="center"/>
          </w:tcPr>
          <w:p w14:paraId="547F582A" w14:textId="77777777" w:rsidR="002D5071" w:rsidRDefault="00CA7146">
            <w:pPr>
              <w:keepNext/>
              <w:keepLines/>
              <w:spacing w:line="240" w:lineRule="auto" w:after="0"/>
              <w:jc w:val="center"/>
            </w:pPr>
            <w:r>
              <w:rPr>
                <w:rFonts w:ascii="Arial" w:hAnsi="Arial"/>
                <w:color w:val="000000"/>
                <w:sz w:val="17"/>
              </w:rPr>
              <w:t>30.56 (21.01–44.17;</w:t>
            </w:r>
            <w:r>
              <w:rPr>
                <w:rFonts w:ascii="Arial" w:hAnsi="Arial"/>
                <w:color w:val="000000"/>
                <w:sz w:val="17"/>
              </w:rPr>
              <w:br/>
              <w:t>9.81–80.85)</w:t>
            </w:r>
          </w:p>
        </w:tc>
      </w:tr>
      <w:tr w:rsidR="002D5071" w14:paraId="1C0D1057" w14:textId="77777777">
        <w:trPr>
          <w:cantSplit/>
          <w:jc w:val="center"/>
        </w:trPr>
        <w:tc>
          <w:tcPr>
            <w:tcW w:w="1361" w:type="dxa"/>
            <w:tcMar>
              <w:top w:w="70" w:type="dxa"/>
              <w:left w:w="55" w:type="dxa"/>
              <w:bottom w:w="70" w:type="dxa"/>
              <w:right w:w="55" w:type="dxa"/>
            </w:tcMar>
            <w:vAlign w:val="center"/>
          </w:tcPr>
          <w:p w14:paraId="4B046171" w14:textId="77777777" w:rsidR="002D5071" w:rsidRDefault="00CA7146">
            <w:pPr>
              <w:keepNext/>
              <w:keepLines/>
              <w:spacing w:line="240" w:lineRule="auto" w:after="0"/>
              <w:jc w:val="left"/>
            </w:pPr>
            <w:r>
              <w:rPr>
                <w:rFonts w:ascii="Arial" w:hAnsi="Arial"/>
                <w:color w:val="000000"/>
                <w:sz w:val="17"/>
              </w:rPr>
              <w:t>Cucumber</w:t>
            </w:r>
          </w:p>
        </w:tc>
        <w:tc>
          <w:tcPr>
            <w:tcW w:w="510" w:type="dxa"/>
            <w:tcMar>
              <w:top w:w="70" w:type="dxa"/>
              <w:left w:w="55" w:type="dxa"/>
              <w:bottom w:w="70" w:type="dxa"/>
              <w:right w:w="55" w:type="dxa"/>
            </w:tcMar>
            <w:vAlign w:val="center"/>
          </w:tcPr>
          <w:p w14:paraId="021AF6E9" w14:textId="77777777" w:rsidR="002D5071" w:rsidRDefault="00CA7146">
            <w:pPr>
              <w:keepNext/>
              <w:keepLines/>
              <w:spacing w:line="240" w:lineRule="auto" w:after="0"/>
              <w:jc w:val="center"/>
            </w:pPr>
            <w:r>
              <w:rPr>
                <w:rFonts w:ascii="Arial" w:hAnsi="Arial"/>
                <w:color w:val="000000"/>
                <w:sz w:val="17"/>
              </w:rPr>
              <w:t>38</w:t>
            </w:r>
          </w:p>
        </w:tc>
        <w:tc>
          <w:tcPr>
            <w:tcW w:w="2589" w:type="dxa"/>
            <w:tcMar>
              <w:top w:w="70" w:type="dxa"/>
              <w:left w:w="55" w:type="dxa"/>
              <w:bottom w:w="70" w:type="dxa"/>
              <w:right w:w="55" w:type="dxa"/>
            </w:tcMar>
            <w:vAlign w:val="center"/>
          </w:tcPr>
          <w:p w14:paraId="5F7EE75D" w14:textId="77777777" w:rsidR="002D5071" w:rsidRDefault="00CA7146">
            <w:pPr>
              <w:keepNext/>
              <w:keepLines/>
              <w:spacing w:line="240" w:lineRule="auto" w:after="0"/>
              <w:jc w:val="center"/>
            </w:pPr>
            <w:r>
              <w:rPr>
                <w:rFonts w:ascii="Arial" w:hAnsi="Arial"/>
                <w:color w:val="000000"/>
                <w:sz w:val="17"/>
              </w:rPr>
              <w:t>49.94 (41.41–56.24;</w:t>
            </w:r>
            <w:r>
              <w:rPr>
                <w:rFonts w:ascii="Arial" w:hAnsi="Arial"/>
                <w:color w:val="000000"/>
                <w:sz w:val="17"/>
              </w:rPr>
              <w:br/>
              <w:t>31.24–69.03)</w:t>
            </w:r>
          </w:p>
        </w:tc>
        <w:tc>
          <w:tcPr>
            <w:tcW w:w="2589" w:type="dxa"/>
            <w:tcMar>
              <w:top w:w="70" w:type="dxa"/>
              <w:left w:w="55" w:type="dxa"/>
              <w:bottom w:w="70" w:type="dxa"/>
              <w:right w:w="55" w:type="dxa"/>
            </w:tcMar>
            <w:vAlign w:val="center"/>
          </w:tcPr>
          <w:p w14:paraId="227EC6C3" w14:textId="77777777" w:rsidR="002D5071" w:rsidRDefault="00CA7146">
            <w:pPr>
              <w:keepNext/>
              <w:keepLines/>
              <w:spacing w:line="240" w:lineRule="auto" w:after="0"/>
              <w:jc w:val="center"/>
            </w:pPr>
            <w:r>
              <w:rPr>
                <w:rFonts w:ascii="Arial" w:hAnsi="Arial"/>
                <w:color w:val="000000"/>
                <w:sz w:val="17"/>
              </w:rPr>
              <w:t>−43.26 (−50.49–−37.05;</w:t>
            </w:r>
            <w:r>
              <w:rPr>
                <w:rFonts w:ascii="Arial" w:hAnsi="Arial"/>
                <w:color w:val="000000"/>
                <w:sz w:val="17"/>
              </w:rPr>
              <w:br/>
              <w:t>−57.81–−27.76)</w:t>
            </w:r>
          </w:p>
        </w:tc>
        <w:tc>
          <w:tcPr>
            <w:tcW w:w="2589" w:type="dxa"/>
            <w:tcMar>
              <w:top w:w="70" w:type="dxa"/>
              <w:left w:w="55" w:type="dxa"/>
              <w:bottom w:w="70" w:type="dxa"/>
              <w:right w:w="55" w:type="dxa"/>
            </w:tcMar>
            <w:vAlign w:val="center"/>
          </w:tcPr>
          <w:p w14:paraId="749BE780" w14:textId="77777777" w:rsidR="002D5071" w:rsidRDefault="00CA7146">
            <w:pPr>
              <w:keepNext/>
              <w:keepLines/>
              <w:spacing w:line="240" w:lineRule="auto" w:after="0"/>
              <w:jc w:val="center"/>
            </w:pPr>
            <w:r>
              <w:rPr>
                <w:rFonts w:ascii="Arial" w:hAnsi="Arial"/>
                <w:color w:val="000000"/>
                <w:sz w:val="17"/>
              </w:rPr>
              <w:t>27.24 (19.38–34.43;</w:t>
            </w:r>
            <w:r>
              <w:rPr>
                <w:rFonts w:ascii="Arial" w:hAnsi="Arial"/>
                <w:color w:val="000000"/>
                <w:sz w:val="17"/>
              </w:rPr>
              <w:br/>
              <w:t>1.24–60.73)</w:t>
            </w:r>
          </w:p>
        </w:tc>
      </w:tr>
    </w:tbl>
    <w:p>
      <w:pPr>
        <w:spacing w:after="60"/>
      </w:pPr>
      <w:r>
        <w:t>Values are presented as median (Q1–Q3; min–max). The median, Q1, and Q3 are the 50th, 25th, and 75th percentiles, respectively; min and max denote the minimum and maximum values.</w:t>
      </w:r>
    </w:p>
    <w:p>
      <w:pPr>
        <w:spacing w:after="60"/>
      </w:pPr>
      <w:r>
        <w:t>n denotes the number of color blocks shown for each crop in Fig. 2, not the number of respondents. All color blocks were retained with equal weight, including blocks with identical RGB values; the summaries are not weighted by selection frequency.</w:t>
      </w:r>
    </w:p>
    <w:p>
      <w:pPr>
        <w:spacing w:after="60"/>
      </w:pPr>
      <w:r>
        <w:t>CIE L*a*b* coordinates were calculated from RGB values extracted from the image, assuming the sRGB color space and a D65 reference white. These coordinates describe the digital color examples rather than measurements of actual leaves.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