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sz w:val="28"/>
        </w:rPr>
        <w:t>Additional file 1</w:t>
      </w:r>
    </w:p>
    <w:p>
      <w:pPr>
        <w:spacing w:after="240"/>
        <w:jc w:val="center"/>
      </w:pPr>
      <w:r>
        <w:rPr>
          <w:sz w:val="22"/>
        </w:rPr>
        <w:t>Production information and calculation inputs for example seedlings</w:t>
      </w:r>
    </w:p>
    <w:p>
      <w:pPr>
        <w:keepNext/>
        <w:spacing w:before="160" w:after="100"/>
      </w:pPr>
      <w:r>
        <w:rPr>
          <w:b/>
          <w:sz w:val="20"/>
        </w:rPr>
        <w:t>Table 1. Production information for seedlings used to demonstrate the assessment system.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bottom w:val="single" w:sz="4" w:color="000000"/>
          <w:insideH w:val="single" w:sz="4" w:color="000000"/>
          <w:left w:val="nil"/>
          <w:right w:val="nil"/>
          <w:insideV w:val="nil"/>
        </w:tblBorders>
      </w:tblPr>
      <w:tblGrid>
        <w:gridCol w:w="1191"/>
        <w:gridCol w:w="1020"/>
        <w:gridCol w:w="2551"/>
        <w:gridCol w:w="1417"/>
        <w:gridCol w:w="1417"/>
        <w:gridCol w:w="964"/>
        <w:gridCol w:w="1304"/>
      </w:tblGrid>
      <w:tr>
        <w:trPr>
          <w:cantSplit/>
          <w:tblHeader/>
        </w:trPr>
        <w:tc>
          <w:tcPr>
            <w:tcW w:type="dxa" w:w="1191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Arial" w:hAnsi="Arial"/>
                <w:b/>
                <w:sz w:val="18"/>
              </w:rPr>
              <w:t>Crop</w:t>
            </w:r>
          </w:p>
        </w:tc>
        <w:tc>
          <w:tcPr>
            <w:tcW w:type="dxa" w:w="1020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/>
                <w:sz w:val="18"/>
              </w:rPr>
              <w:t>Sample</w:t>
            </w:r>
          </w:p>
        </w:tc>
        <w:tc>
          <w:tcPr>
            <w:tcW w:type="dxa" w:w="2551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/>
                <w:sz w:val="18"/>
              </w:rPr>
              <w:t>Cultivar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/>
                <w:sz w:val="18"/>
              </w:rPr>
              <w:t>Sowing date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/>
                <w:sz w:val="18"/>
              </w:rPr>
              <w:t>Measurement date</w:t>
            </w:r>
          </w:p>
        </w:tc>
        <w:tc>
          <w:tcPr>
            <w:tcW w:type="dxa" w:w="96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/>
                <w:sz w:val="18"/>
              </w:rPr>
              <w:t>Grafting status</w:t>
            </w:r>
          </w:p>
        </w:tc>
        <w:tc>
          <w:tcPr>
            <w:tcW w:type="dxa" w:w="130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/>
                <w:sz w:val="18"/>
              </w:rPr>
              <w:t>Plug tray size</w:t>
              <w:br/>
              <w:t>(cells)</w:t>
            </w:r>
          </w:p>
        </w:tc>
      </w:tr>
      <w:tr>
        <w:trPr>
          <w:cantSplit/>
        </w:trPr>
        <w:tc>
          <w:tcPr>
            <w:tcW w:type="dxa" w:w="1191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Arial" w:hAnsi="Arial"/>
                <w:b w:val="0"/>
                <w:sz w:val="18"/>
              </w:rPr>
              <w:t>Pepper</w:t>
            </w:r>
          </w:p>
        </w:tc>
        <w:tc>
          <w:tcPr>
            <w:tcW w:type="dxa" w:w="1020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A</w:t>
            </w:r>
          </w:p>
        </w:tc>
        <w:tc>
          <w:tcPr>
            <w:tcW w:type="dxa" w:w="2551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‘Shinhong’-‘tantan’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2023-05-23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2023-07-13</w:t>
            </w:r>
          </w:p>
        </w:tc>
        <w:tc>
          <w:tcPr>
            <w:tcW w:type="dxa" w:w="96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Yes</w:t>
            </w:r>
          </w:p>
        </w:tc>
        <w:tc>
          <w:tcPr>
            <w:tcW w:type="dxa" w:w="130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50</w:t>
            </w:r>
          </w:p>
        </w:tc>
      </w:tr>
      <w:tr>
        <w:trPr>
          <w:cantSplit/>
        </w:trPr>
        <w:tc>
          <w:tcPr>
            <w:tcW w:type="dxa" w:w="1191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Arial" w:hAnsi="Arial"/>
                <w:b w:val="0"/>
                <w:sz w:val="18"/>
              </w:rPr>
              <w:t>Pepper</w:t>
            </w:r>
          </w:p>
        </w:tc>
        <w:tc>
          <w:tcPr>
            <w:tcW w:type="dxa" w:w="1020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B</w:t>
            </w:r>
          </w:p>
        </w:tc>
        <w:tc>
          <w:tcPr>
            <w:tcW w:type="dxa" w:w="2551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‘Shinhong’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2023-05-23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2023-07-13</w:t>
            </w:r>
          </w:p>
        </w:tc>
        <w:tc>
          <w:tcPr>
            <w:tcW w:type="dxa" w:w="96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No</w:t>
            </w:r>
          </w:p>
        </w:tc>
        <w:tc>
          <w:tcPr>
            <w:tcW w:type="dxa" w:w="130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50</w:t>
            </w:r>
          </w:p>
        </w:tc>
      </w:tr>
      <w:tr>
        <w:trPr>
          <w:cantSplit/>
        </w:trPr>
        <w:tc>
          <w:tcPr>
            <w:tcW w:type="dxa" w:w="1191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Arial" w:hAnsi="Arial"/>
                <w:b w:val="0"/>
                <w:sz w:val="18"/>
              </w:rPr>
              <w:t>Tomato</w:t>
            </w:r>
          </w:p>
        </w:tc>
        <w:tc>
          <w:tcPr>
            <w:tcW w:type="dxa" w:w="1020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–</w:t>
            </w:r>
          </w:p>
        </w:tc>
        <w:tc>
          <w:tcPr>
            <w:tcW w:type="dxa" w:w="2551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‘Dotaerangdia’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2023-05-23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2023-07-05</w:t>
            </w:r>
          </w:p>
        </w:tc>
        <w:tc>
          <w:tcPr>
            <w:tcW w:type="dxa" w:w="96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No</w:t>
            </w:r>
          </w:p>
        </w:tc>
        <w:tc>
          <w:tcPr>
            <w:tcW w:type="dxa" w:w="130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40</w:t>
            </w:r>
          </w:p>
        </w:tc>
      </w:tr>
      <w:tr>
        <w:trPr>
          <w:cantSplit/>
        </w:trPr>
        <w:tc>
          <w:tcPr>
            <w:tcW w:type="dxa" w:w="1191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Arial" w:hAnsi="Arial"/>
                <w:b w:val="0"/>
                <w:sz w:val="18"/>
              </w:rPr>
              <w:t>Watermelon</w:t>
            </w:r>
          </w:p>
        </w:tc>
        <w:tc>
          <w:tcPr>
            <w:tcW w:type="dxa" w:w="1020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–</w:t>
            </w:r>
          </w:p>
        </w:tc>
        <w:tc>
          <w:tcPr>
            <w:tcW w:type="dxa" w:w="2551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‘Sambokggul’-</w:t>
              <w:br/>
              <w:t>‘Bullojangsaeng’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2023-05-23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2023-06-22</w:t>
            </w:r>
          </w:p>
        </w:tc>
        <w:tc>
          <w:tcPr>
            <w:tcW w:type="dxa" w:w="96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Yes</w:t>
            </w:r>
          </w:p>
        </w:tc>
        <w:tc>
          <w:tcPr>
            <w:tcW w:type="dxa" w:w="130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40</w:t>
            </w:r>
          </w:p>
        </w:tc>
      </w:tr>
      <w:tr>
        <w:trPr>
          <w:cantSplit/>
        </w:trPr>
        <w:tc>
          <w:tcPr>
            <w:tcW w:type="dxa" w:w="1191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Arial" w:hAnsi="Arial"/>
                <w:b w:val="0"/>
                <w:sz w:val="18"/>
              </w:rPr>
              <w:t>Kimchi cabbage</w:t>
            </w:r>
          </w:p>
        </w:tc>
        <w:tc>
          <w:tcPr>
            <w:tcW w:type="dxa" w:w="1020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–</w:t>
            </w:r>
          </w:p>
        </w:tc>
        <w:tc>
          <w:tcPr>
            <w:tcW w:type="dxa" w:w="2551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‘Cheongmyeonggaeul’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2023-07-18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2023-08-10</w:t>
            </w:r>
          </w:p>
        </w:tc>
        <w:tc>
          <w:tcPr>
            <w:tcW w:type="dxa" w:w="96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No</w:t>
            </w:r>
          </w:p>
        </w:tc>
        <w:tc>
          <w:tcPr>
            <w:tcW w:type="dxa" w:w="130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128</w:t>
            </w:r>
          </w:p>
        </w:tc>
      </w:tr>
      <w:tr>
        <w:trPr>
          <w:cantSplit/>
        </w:trPr>
        <w:tc>
          <w:tcPr>
            <w:tcW w:type="dxa" w:w="1191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Arial" w:hAnsi="Arial"/>
                <w:b w:val="0"/>
                <w:sz w:val="18"/>
              </w:rPr>
              <w:t>Cucumber</w:t>
            </w:r>
          </w:p>
        </w:tc>
        <w:tc>
          <w:tcPr>
            <w:tcW w:type="dxa" w:w="1020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–</w:t>
            </w:r>
          </w:p>
        </w:tc>
        <w:tc>
          <w:tcPr>
            <w:tcW w:type="dxa" w:w="2551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‘Baekdadagi’-‘Heukjong’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2023-05-23</w:t>
            </w:r>
          </w:p>
        </w:tc>
        <w:tc>
          <w:tcPr>
            <w:tcW w:type="dxa" w:w="1417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2023-06-16</w:t>
            </w:r>
          </w:p>
        </w:tc>
        <w:tc>
          <w:tcPr>
            <w:tcW w:type="dxa" w:w="96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Yes</w:t>
            </w:r>
          </w:p>
        </w:tc>
        <w:tc>
          <w:tcPr>
            <w:tcW w:type="dxa" w:w="1304"/>
            <w:vAlign w:val="center"/>
          </w:tcPr>
          <w:p>
            <w:pPr>
              <w:spacing w:line="240" w:lineRule="auto" w:before="60" w:after="60"/>
              <w:jc w:val="center"/>
            </w:pPr>
            <w:r>
              <w:rPr>
                <w:rFonts w:ascii="Arial" w:hAnsi="Arial"/>
                <w:b w:val="0"/>
                <w:sz w:val="18"/>
              </w:rPr>
              <w:t>40</w:t>
            </w:r>
          </w:p>
        </w:tc>
      </w:tr>
    </w:tbl>
    <w:p>
      <w:pPr>
        <w:keepNext/>
        <w:spacing w:before="160" w:after="100"/>
      </w:pPr>
      <w:r>
        <w:rPr>
          <w:b/>
          <w:sz w:val="20"/>
        </w:rPr>
        <w:t>Table 2. Measurements used to calculate growth-related indices for the two example pepper seedlings.</w:t>
      </w:r>
    </w:p>
    <w:tbl>
      <w:tblPr>
        <w:tblW w:type="dxa" w:w="9922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nil"/>
          <w:bottom w:val="single" w:sz="8" w:color="000000"/>
          <w:right w:val="nil"/>
          <w:insideH w:val="nil"/>
          <w:insideV w:val="nil"/>
        </w:tblBorders>
        <w:tblCellMar>
          <w:top w:w="65" w:type="dxa"/>
          <w:bottom w:w="65" w:type="dxa"/>
          <w:left w:w="85" w:type="dxa"/>
          <w:right w:w="85" w:type="dxa"/>
        </w:tblCellMar>
      </w:tblPr>
      <w:tblGrid>
        <w:gridCol w:w="1020"/>
        <w:gridCol w:w="1984"/>
        <w:gridCol w:w="2098"/>
        <w:gridCol w:w="2268"/>
        <w:gridCol w:w="2551"/>
      </w:tblGrid>
      <w:tr>
        <w:trPr>
          <w:cantSplit/>
          <w:tblHeader/>
        </w:trPr>
        <w:tc>
          <w:tcPr>
            <w:tcW w:type="dxa" w:w="1020"/>
            <w:vAlign w:val="center"/>
            <w:tcBorders>
              <w:bottom w:val="single" w:sz="6" w:color="000000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sz w:val="18"/>
              </w:rPr>
              <w:t>Seedling</w:t>
            </w:r>
          </w:p>
        </w:tc>
        <w:tc>
          <w:tcPr>
            <w:tcW w:type="dxa" w:w="1984"/>
            <w:vAlign w:val="center"/>
            <w:tcBorders>
              <w:bottom w:val="single" w:sz="6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Plant height</w:t>
              <w:br/>
              <w:t>(cm)</w:t>
            </w:r>
          </w:p>
        </w:tc>
        <w:tc>
          <w:tcPr>
            <w:tcW w:type="dxa" w:w="2098"/>
            <w:vAlign w:val="center"/>
            <w:tcBorders>
              <w:bottom w:val="single" w:sz="6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Stem diameter</w:t>
              <w:br/>
              <w:t>(mm)</w:t>
            </w:r>
          </w:p>
        </w:tc>
        <w:tc>
          <w:tcPr>
            <w:tcW w:type="dxa" w:w="2268"/>
            <w:vAlign w:val="center"/>
            <w:tcBorders>
              <w:bottom w:val="single" w:sz="6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Total fresh mass</w:t>
              <w:br/>
              <w:t>(g)</w:t>
            </w:r>
          </w:p>
        </w:tc>
        <w:tc>
          <w:tcPr>
            <w:tcW w:type="dxa" w:w="2551"/>
            <w:vAlign w:val="center"/>
            <w:tcBorders>
              <w:bottom w:val="single" w:sz="6" w:color="000000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Total dry mass</w:t>
              <w:br/>
              <w:t>(g)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A</w:t>
            </w:r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31.3</w:t>
            </w:r>
          </w:p>
        </w:tc>
        <w:tc>
          <w:tcPr>
            <w:tcW w:type="dxa" w:w="209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3.18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6.72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1.00</w:t>
            </w:r>
          </w:p>
        </w:tc>
      </w:tr>
      <w:tr>
        <w:trPr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8"/>
              </w:rPr>
              <w:t>B</w:t>
            </w:r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48.9</w:t>
            </w:r>
          </w:p>
        </w:tc>
        <w:tc>
          <w:tcPr>
            <w:tcW w:type="dxa" w:w="209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4.49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12.04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8"/>
              </w:rPr>
              <w:t>1.47</w:t>
            </w:r>
          </w:p>
        </w:tc>
      </w:tr>
    </w:tbl>
    <w:p>
      <w:pPr>
        <w:spacing w:before="60"/>
      </w:pPr>
      <w:r>
        <w:rPr>
          <w:sz w:val="18"/>
        </w:rPr>
        <w:t>Total fresh mass and total dry mass include the roots. Values are individual measurements for pepper seedlings A and B, not treatment means.</w:t>
      </w:r>
    </w:p>
    <w:p>
      <w:pPr>
        <w:spacing w:before="60"/>
      </w:pPr>
      <w:r>
        <w:rPr>
          <w:sz w:val="18"/>
        </w:rPr>
        <w:t>DM denotes whole-seedling dry matter content (%), calculated as total dry mass / total fresh mass × 100: A, 1.00/6.72 × 100 = 14.8810%; B, 1.47/12.04 × 100 = 12.2093%. Values in Table 16 are rounded to 14.9% and 12.2%, respectively.</w:t>
      </w:r>
    </w:p>
    <w:p>
      <w:pPr>
        <w:spacing w:before="60"/>
      </w:pPr>
      <w:r>
        <w:rPr>
          <w:sz w:val="18"/>
        </w:rPr>
        <w:t>Height-to-stem-diameter ratio = plant height (cm) / stem diameter (mm): A, 31.3/3.18 = 9.8428 cm mm⁻¹; B, 48.9/4.49 = 10.8909 cm mm⁻¹. Values in Table 16 are rounded to 9.84 and 10.89 cm mm⁻¹, respectively.</w:t>
      </w:r>
    </w:p>
    <w:p>
      <w:pPr>
        <w:spacing w:before="60"/>
      </w:pPr>
      <w:r>
        <w:rPr>
          <w:sz w:val="18"/>
        </w:rPr>
        <w:t>The two derived indices are descriptive comparisons, not additional terms in the composite-score calculation.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