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2B046" w14:textId="77777777" w:rsidR="00AA1E3B" w:rsidRPr="00FF23AC" w:rsidRDefault="0023541D">
      <w:pPr>
        <w:keepNext/>
        <w:keepLines/>
        <w:pageBreakBefore w:val="0"/>
        <w:adjustRightInd w:val="0"/>
        <w:spacing w:line="240" w:lineRule="auto" w:after="160" w:before="0"/>
        <w:jc w:val="both"/>
        <w:rPr>
          <w:sz w:val="20"/>
          <w:szCs w:val="18"/>
        </w:rPr>
      </w:pPr>
      <w:r>
        <w:rPr>
          <w:rFonts w:ascii="Times New Roman" w:hAnsi="Times New Roman"/>
          <w:b/>
          <w:sz w:val="22"/>
          <w:szCs w:val="20"/>
        </w:rPr>
        <w:lastRenderedPageBreak/>
        <w:t>Table 1</w:t>
      </w:r>
      <w:r w:rsidRPr="008A2F24">
        <w:rPr>
          <w:rFonts w:ascii="Times New Roman" w:hAnsi="Times New Roman"/>
          <w:b/>
          <w:bCs/>
          <w:sz w:val="22"/>
          <w:szCs w:val="20"/>
        </w:rPr>
        <w:t>. Comparison between the ‘not awake during anesthesia’ (NAA) and ‘awake during anesthesia’ (AA) groups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1728"/>
        <w:gridCol w:w="1728"/>
        <w:gridCol w:w="1584"/>
        <w:gridCol w:w="1008"/>
      </w:tblGrid>
      <w:tr w:rsidR="00AA1E3B" w14:paraId="134E05C7" w14:textId="77777777">
        <w:trPr>
          <w:cantSplit/>
          <w:tblHeader/>
        </w:trPr>
        <w:tc>
          <w:tcPr>
            <w:tcW w:w="4320" w:type="dxa"/>
            <w:vAlign w:val="center"/>
          </w:tcPr>
          <w:p w14:paraId="19414745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b/>
                <w:sz w:val="22"/>
                <w:szCs w:val="18"/>
              </w:rPr>
              <w:t>Measure and analysis stage</w:t>
            </w:r>
          </w:p>
        </w:tc>
        <w:tc>
          <w:tcPr>
            <w:tcW w:w="1728" w:type="dxa"/>
            <w:vAlign w:val="center"/>
          </w:tcPr>
          <w:p w14:paraId="7857F3BC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b/>
                <w:sz w:val="22"/>
                <w:szCs w:val="18"/>
              </w:rPr>
              <w:t>NAA (mean ± SD)</w:t>
            </w:r>
          </w:p>
        </w:tc>
        <w:tc>
          <w:tcPr>
            <w:tcW w:w="1728" w:type="dxa"/>
            <w:vAlign w:val="center"/>
          </w:tcPr>
          <w:p w14:paraId="612E730C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b/>
                <w:sz w:val="22"/>
                <w:szCs w:val="18"/>
              </w:rPr>
              <w:t>AA (mean ± SD)</w:t>
            </w:r>
          </w:p>
        </w:tc>
        <w:tc>
          <w:tcPr>
            <w:tcW w:w="1584" w:type="dxa"/>
            <w:vAlign w:val="center"/>
          </w:tcPr>
          <w:p w14:paraId="4E008806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b/>
                <w:i/>
                <w:iCs/>
                <w:sz w:val="22"/>
                <w:szCs w:val="18"/>
              </w:rPr>
              <w:t>p</w:t>
            </w:r>
            <w:r w:rsidRPr="008A2F24">
              <w:rPr>
                <w:rFonts w:ascii="Times New Roman" w:hAnsi="Times New Roman"/>
                <w:b/>
                <w:sz w:val="22"/>
                <w:szCs w:val="18"/>
              </w:rPr>
              <w:t xml:space="preserve"> (Mann–Whitney)</w:t>
            </w:r>
          </w:p>
        </w:tc>
        <w:tc>
          <w:tcPr>
            <w:tcW w:w="1008" w:type="dxa"/>
            <w:vAlign w:val="center"/>
          </w:tcPr>
          <w:p w14:paraId="056F20E8" w14:textId="4EF79AAB" w:rsidR="00AA1E3B" w:rsidRPr="002774FD" w:rsidRDefault="002774FD">
            <w:pPr>
              <w:spacing w:line="240" w:lineRule="auto" w:before="80" w:after="80"/>
              <w:jc w:val="center"/>
              <w:rPr>
                <w:b/>
                <w:bCs/>
                <w:sz w:val="18"/>
                <w:szCs w:val="18"/>
              </w:rPr>
            </w:pPr>
            <w:r w:rsidRPr="003D7773">
              <w:rPr>
                <w:rFonts w:ascii="Times New Roman" w:hAnsi="Times New Roman"/>
                <w:b/>
                <w:bCs/>
                <w:sz w:val="22"/>
                <w:szCs w:val="18"/>
              </w:rPr>
              <w:t>|</w:t>
            </w:r>
            <w:r w:rsidRPr="003D7773"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g</w:t>
            </w:r>
            <w:r w:rsidRPr="003D7773">
              <w:rPr>
                <w:rFonts w:ascii="Times New Roman" w:hAnsi="Times New Roman"/>
                <w:b/>
                <w:bCs/>
                <w:sz w:val="22"/>
                <w:szCs w:val="18"/>
              </w:rPr>
              <w:t>|</w:t>
            </w:r>
          </w:p>
        </w:tc>
      </w:tr>
      <w:tr w:rsidR="00AA1E3B" w14:paraId="476A286F" w14:textId="77777777">
        <w:trPr>
          <w:cantSplit/>
        </w:trPr>
        <w:tc>
          <w:tcPr>
            <w:tcW w:w="10368" w:type="dxa"/>
            <w:gridSpan w:val="5"/>
            <w:vAlign w:val="center"/>
          </w:tcPr>
          <w:p w14:paraId="33405E30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b/>
                <w:sz w:val="22"/>
                <w:szCs w:val="18"/>
              </w:rPr>
              <w:t>Measures with a statistically significant AA–NAA difference</w:t>
            </w:r>
          </w:p>
        </w:tc>
      </w:tr>
      <w:tr w:rsidR="00AA1E3B" w14:paraId="5F8DF5F4" w14:textId="77777777">
        <w:trPr>
          <w:cantSplit/>
        </w:trPr>
        <w:tc>
          <w:tcPr>
            <w:tcW w:w="4320" w:type="dxa"/>
            <w:vAlign w:val="center"/>
          </w:tcPr>
          <w:p w14:paraId="4E9E11BA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rCBF at 2.5% (deep maintenance)</w:t>
            </w:r>
          </w:p>
        </w:tc>
        <w:tc>
          <w:tcPr>
            <w:tcW w:w="1728" w:type="dxa"/>
            <w:vAlign w:val="center"/>
          </w:tcPr>
          <w:p w14:paraId="211AD986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132.4 ± 23.0</w:t>
            </w:r>
          </w:p>
        </w:tc>
        <w:tc>
          <w:tcPr>
            <w:tcW w:w="1728" w:type="dxa"/>
            <w:vAlign w:val="center"/>
          </w:tcPr>
          <w:p w14:paraId="1E17B210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168.3 ± 11.5</w:t>
            </w:r>
          </w:p>
        </w:tc>
        <w:tc>
          <w:tcPr>
            <w:tcW w:w="1584" w:type="dxa"/>
            <w:vAlign w:val="center"/>
          </w:tcPr>
          <w:p w14:paraId="0E16D520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0.029</w:t>
            </w:r>
          </w:p>
        </w:tc>
        <w:tc>
          <w:tcPr>
            <w:tcW w:w="1008" w:type="dxa"/>
            <w:vAlign w:val="center"/>
          </w:tcPr>
          <w:p w14:paraId="1CFAE0C7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1.72</w:t>
            </w:r>
          </w:p>
        </w:tc>
      </w:tr>
      <w:tr w:rsidR="00AA1E3B" w14:paraId="003C89B9" w14:textId="77777777">
        <w:trPr>
          <w:cantSplit/>
        </w:trPr>
        <w:tc>
          <w:tcPr>
            <w:tcW w:w="4320" w:type="dxa"/>
            <w:vAlign w:val="center"/>
          </w:tcPr>
          <w:p w14:paraId="64216C4D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rCBF at 1.0%†</w:t>
            </w:r>
          </w:p>
        </w:tc>
        <w:tc>
          <w:tcPr>
            <w:tcW w:w="1728" w:type="dxa"/>
            <w:vAlign w:val="center"/>
          </w:tcPr>
          <w:p w14:paraId="7144BDEE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123.4 ± 27.5</w:t>
            </w:r>
          </w:p>
        </w:tc>
        <w:tc>
          <w:tcPr>
            <w:tcW w:w="1728" w:type="dxa"/>
            <w:vAlign w:val="center"/>
          </w:tcPr>
          <w:p w14:paraId="75374C3E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297.3 ± 35.3</w:t>
            </w:r>
          </w:p>
        </w:tc>
        <w:tc>
          <w:tcPr>
            <w:tcW w:w="1584" w:type="dxa"/>
            <w:vAlign w:val="center"/>
          </w:tcPr>
          <w:p w14:paraId="6574DF3B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0.029</w:t>
            </w:r>
          </w:p>
        </w:tc>
        <w:tc>
          <w:tcPr>
            <w:tcW w:w="1008" w:type="dxa"/>
            <w:vAlign w:val="center"/>
          </w:tcPr>
          <w:p w14:paraId="4FA4CC40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4.78</w:t>
            </w:r>
          </w:p>
        </w:tc>
      </w:tr>
      <w:tr w:rsidR="00AA1E3B" w14:paraId="5BEE9F36" w14:textId="77777777">
        <w:trPr>
          <w:cantSplit/>
        </w:trPr>
        <w:tc>
          <w:tcPr>
            <w:tcW w:w="4320" w:type="dxa"/>
            <w:vAlign w:val="center"/>
          </w:tcPr>
          <w:p w14:paraId="2D7C22D9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rCMRO</w:t>
            </w:r>
            <w:r w:rsidRPr="008A2F24">
              <w:rPr>
                <w:rFonts w:ascii="Times New Roman" w:hAnsi="Times New Roman"/>
                <w:sz w:val="22"/>
                <w:szCs w:val="18"/>
                <w:vertAlign w:val="subscript"/>
              </w:rPr>
              <w:t>2</w:t>
            </w:r>
            <w:r w:rsidRPr="008A2F24">
              <w:rPr>
                <w:rFonts w:ascii="Times New Roman" w:hAnsi="Times New Roman"/>
                <w:sz w:val="22"/>
                <w:szCs w:val="18"/>
              </w:rPr>
              <w:t xml:space="preserve"> at 1.0%†</w:t>
            </w:r>
          </w:p>
        </w:tc>
        <w:tc>
          <w:tcPr>
            <w:tcW w:w="1728" w:type="dxa"/>
            <w:vAlign w:val="center"/>
          </w:tcPr>
          <w:p w14:paraId="0E51B1DB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62.4 ± 26.0</w:t>
            </w:r>
          </w:p>
        </w:tc>
        <w:tc>
          <w:tcPr>
            <w:tcW w:w="1728" w:type="dxa"/>
            <w:vAlign w:val="center"/>
          </w:tcPr>
          <w:p w14:paraId="6F20EA4F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117.4 ± 14.2</w:t>
            </w:r>
          </w:p>
        </w:tc>
        <w:tc>
          <w:tcPr>
            <w:tcW w:w="1584" w:type="dxa"/>
            <w:vAlign w:val="center"/>
          </w:tcPr>
          <w:p w14:paraId="5CC9CB0A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0.029</w:t>
            </w:r>
          </w:p>
        </w:tc>
        <w:tc>
          <w:tcPr>
            <w:tcW w:w="1008" w:type="dxa"/>
            <w:vAlign w:val="center"/>
          </w:tcPr>
          <w:p w14:paraId="447F1FAA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2.28</w:t>
            </w:r>
          </w:p>
        </w:tc>
      </w:tr>
      <w:tr w:rsidR="00AA1E3B" w14:paraId="744B5EF2" w14:textId="77777777">
        <w:trPr>
          <w:cantSplit/>
        </w:trPr>
        <w:tc>
          <w:tcPr>
            <w:tcW w:w="4320" w:type="dxa"/>
            <w:vAlign w:val="center"/>
          </w:tcPr>
          <w:p w14:paraId="6C5ECE61" w14:textId="7535DA35" w:rsidR="00AA1E3B" w:rsidRPr="003D7773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3D7773">
              <w:rPr>
                <w:rFonts w:ascii="Times New Roman" w:hAnsi="Times New Roman"/>
                <w:sz w:val="22"/>
                <w:szCs w:val="18"/>
              </w:rPr>
              <w:t>Induction rCBF peak (% of separate pre-induction awake rCBF)</w:t>
            </w:r>
          </w:p>
        </w:tc>
        <w:tc>
          <w:tcPr>
            <w:tcW w:w="1728" w:type="dxa"/>
            <w:vAlign w:val="center"/>
          </w:tcPr>
          <w:p w14:paraId="0C20516F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251.5 ± 33.1</w:t>
            </w:r>
          </w:p>
        </w:tc>
        <w:tc>
          <w:tcPr>
            <w:tcW w:w="1728" w:type="dxa"/>
            <w:vAlign w:val="center"/>
          </w:tcPr>
          <w:p w14:paraId="4EE0BBE8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346.0 ± 20.2</w:t>
            </w:r>
          </w:p>
        </w:tc>
        <w:tc>
          <w:tcPr>
            <w:tcW w:w="1584" w:type="dxa"/>
            <w:vAlign w:val="center"/>
          </w:tcPr>
          <w:p w14:paraId="1E95900B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0.029</w:t>
            </w:r>
          </w:p>
        </w:tc>
        <w:tc>
          <w:tcPr>
            <w:tcW w:w="1008" w:type="dxa"/>
            <w:vAlign w:val="center"/>
          </w:tcPr>
          <w:p w14:paraId="6AC3CAE3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3.00</w:t>
            </w:r>
          </w:p>
        </w:tc>
      </w:tr>
      <w:tr w:rsidR="00AA1E3B" w14:paraId="66B98667" w14:textId="77777777">
        <w:trPr>
          <w:cantSplit/>
        </w:trPr>
        <w:tc>
          <w:tcPr>
            <w:tcW w:w="4320" w:type="dxa"/>
            <w:vAlign w:val="center"/>
          </w:tcPr>
          <w:p w14:paraId="0A866D1E" w14:textId="2E01239C" w:rsidR="00AA1E3B" w:rsidRPr="003D7773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3D7773">
              <w:rPr>
                <w:rFonts w:ascii="Times New Roman" w:hAnsi="Times New Roman"/>
                <w:sz w:val="22"/>
                <w:szCs w:val="18"/>
              </w:rPr>
              <w:t>Induction rCBF maximum rate of increase (percentage points per second)</w:t>
            </w:r>
          </w:p>
        </w:tc>
        <w:tc>
          <w:tcPr>
            <w:tcW w:w="1728" w:type="dxa"/>
            <w:vAlign w:val="center"/>
          </w:tcPr>
          <w:p w14:paraId="6214CD78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6.1 ± 1.3</w:t>
            </w:r>
          </w:p>
        </w:tc>
        <w:tc>
          <w:tcPr>
            <w:tcW w:w="1728" w:type="dxa"/>
            <w:vAlign w:val="center"/>
          </w:tcPr>
          <w:p w14:paraId="531B6FED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11.9 ± 3.8</w:t>
            </w:r>
          </w:p>
        </w:tc>
        <w:tc>
          <w:tcPr>
            <w:tcW w:w="1584" w:type="dxa"/>
            <w:vAlign w:val="center"/>
          </w:tcPr>
          <w:p w14:paraId="5EA1B030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0.029</w:t>
            </w:r>
          </w:p>
        </w:tc>
        <w:tc>
          <w:tcPr>
            <w:tcW w:w="1008" w:type="dxa"/>
            <w:vAlign w:val="center"/>
          </w:tcPr>
          <w:p w14:paraId="7BF0FA26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1.75</w:t>
            </w:r>
          </w:p>
        </w:tc>
      </w:tr>
      <w:tr w:rsidR="00AA1E3B" w14:paraId="4DD374B2" w14:textId="77777777">
        <w:trPr>
          <w:cantSplit/>
        </w:trPr>
        <w:tc>
          <w:tcPr>
            <w:tcW w:w="4320" w:type="dxa"/>
            <w:vAlign w:val="center"/>
          </w:tcPr>
          <w:p w14:paraId="76660E55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ΔRHb during recovery (µM)</w:t>
            </w:r>
          </w:p>
        </w:tc>
        <w:tc>
          <w:tcPr>
            <w:tcW w:w="1728" w:type="dxa"/>
            <w:vAlign w:val="center"/>
          </w:tcPr>
          <w:p w14:paraId="4440C8D1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0.6 ± 0.3</w:t>
            </w:r>
          </w:p>
        </w:tc>
        <w:tc>
          <w:tcPr>
            <w:tcW w:w="1728" w:type="dxa"/>
            <w:vAlign w:val="center"/>
          </w:tcPr>
          <w:p w14:paraId="0464D02C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−0.5 ± 0.9</w:t>
            </w:r>
          </w:p>
        </w:tc>
        <w:tc>
          <w:tcPr>
            <w:tcW w:w="1584" w:type="dxa"/>
            <w:vAlign w:val="center"/>
          </w:tcPr>
          <w:p w14:paraId="2A92DE16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0.029</w:t>
            </w:r>
          </w:p>
        </w:tc>
        <w:tc>
          <w:tcPr>
            <w:tcW w:w="1008" w:type="dxa"/>
            <w:vAlign w:val="center"/>
          </w:tcPr>
          <w:p w14:paraId="5F5EAB03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1.32</w:t>
            </w:r>
          </w:p>
        </w:tc>
      </w:tr>
      <w:tr w:rsidR="00AA1E3B" w14:paraId="1A4365F4" w14:textId="77777777">
        <w:trPr>
          <w:cantSplit/>
        </w:trPr>
        <w:tc>
          <w:tcPr>
            <w:tcW w:w="10368" w:type="dxa"/>
            <w:gridSpan w:val="5"/>
            <w:vAlign w:val="center"/>
          </w:tcPr>
          <w:p w14:paraId="4430AC00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b/>
                <w:sz w:val="22"/>
                <w:szCs w:val="18"/>
              </w:rPr>
              <w:t>Measures without a statistically significant AA–NAA difference</w:t>
            </w:r>
          </w:p>
        </w:tc>
      </w:tr>
      <w:tr w:rsidR="00AA1E3B" w14:paraId="3D457B73" w14:textId="77777777">
        <w:trPr>
          <w:cantSplit/>
        </w:trPr>
        <w:tc>
          <w:tcPr>
            <w:tcW w:w="4320" w:type="dxa"/>
            <w:vAlign w:val="center"/>
          </w:tcPr>
          <w:p w14:paraId="26AAEEF9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rCMRO</w:t>
            </w:r>
            <w:r w:rsidRPr="008A2F24">
              <w:rPr>
                <w:rFonts w:ascii="Times New Roman" w:hAnsi="Times New Roman"/>
                <w:sz w:val="22"/>
                <w:szCs w:val="18"/>
                <w:vertAlign w:val="subscript"/>
              </w:rPr>
              <w:t>2</w:t>
            </w:r>
            <w:r w:rsidRPr="008A2F24">
              <w:rPr>
                <w:rFonts w:ascii="Times New Roman" w:hAnsi="Times New Roman"/>
                <w:sz w:val="22"/>
                <w:szCs w:val="18"/>
              </w:rPr>
              <w:t xml:space="preserve"> at 2.5% (deep maintenance)</w:t>
            </w:r>
          </w:p>
        </w:tc>
        <w:tc>
          <w:tcPr>
            <w:tcW w:w="1728" w:type="dxa"/>
            <w:vAlign w:val="center"/>
          </w:tcPr>
          <w:p w14:paraId="069E9C2E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53.0 ± 18.3</w:t>
            </w:r>
          </w:p>
        </w:tc>
        <w:tc>
          <w:tcPr>
            <w:tcW w:w="1728" w:type="dxa"/>
            <w:vAlign w:val="center"/>
          </w:tcPr>
          <w:p w14:paraId="0DDA3C66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66.3 ± 1.4</w:t>
            </w:r>
          </w:p>
        </w:tc>
        <w:tc>
          <w:tcPr>
            <w:tcW w:w="1584" w:type="dxa"/>
            <w:vAlign w:val="center"/>
          </w:tcPr>
          <w:p w14:paraId="084BC490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0.343</w:t>
            </w:r>
          </w:p>
        </w:tc>
        <w:tc>
          <w:tcPr>
            <w:tcW w:w="1008" w:type="dxa"/>
            <w:vAlign w:val="center"/>
          </w:tcPr>
          <w:p w14:paraId="5DC081EE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0.89</w:t>
            </w:r>
          </w:p>
        </w:tc>
      </w:tr>
      <w:tr w:rsidR="00AA1E3B" w14:paraId="3AF30EAC" w14:textId="77777777">
        <w:trPr>
          <w:cantSplit/>
        </w:trPr>
        <w:tc>
          <w:tcPr>
            <w:tcW w:w="4320" w:type="dxa"/>
            <w:vAlign w:val="center"/>
          </w:tcPr>
          <w:p w14:paraId="2D9DCB83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Change in StO</w:t>
            </w:r>
            <w:r w:rsidRPr="008A2F24">
              <w:rPr>
                <w:rFonts w:ascii="Times New Roman" w:hAnsi="Times New Roman"/>
                <w:sz w:val="22"/>
                <w:szCs w:val="18"/>
                <w:vertAlign w:val="subscript"/>
              </w:rPr>
              <w:t>2</w:t>
            </w:r>
            <w:r w:rsidRPr="008A2F24">
              <w:rPr>
                <w:rFonts w:ascii="Times New Roman" w:hAnsi="Times New Roman"/>
                <w:sz w:val="22"/>
                <w:szCs w:val="18"/>
              </w:rPr>
              <w:t xml:space="preserve"> from the awake baseline at 1.0%†</w:t>
            </w:r>
          </w:p>
        </w:tc>
        <w:tc>
          <w:tcPr>
            <w:tcW w:w="1728" w:type="dxa"/>
            <w:vAlign w:val="center"/>
          </w:tcPr>
          <w:p w14:paraId="1995272D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+21.0 ± 5.6</w:t>
            </w:r>
          </w:p>
        </w:tc>
        <w:tc>
          <w:tcPr>
            <w:tcW w:w="1728" w:type="dxa"/>
            <w:vAlign w:val="center"/>
          </w:tcPr>
          <w:p w14:paraId="0A0CA0E0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+22.5 ± 1.6</w:t>
            </w:r>
          </w:p>
        </w:tc>
        <w:tc>
          <w:tcPr>
            <w:tcW w:w="1584" w:type="dxa"/>
            <w:vAlign w:val="center"/>
          </w:tcPr>
          <w:p w14:paraId="21845558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0.486</w:t>
            </w:r>
          </w:p>
        </w:tc>
        <w:tc>
          <w:tcPr>
            <w:tcW w:w="1008" w:type="dxa"/>
            <w:vAlign w:val="center"/>
          </w:tcPr>
          <w:p w14:paraId="6CCACBA3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0.30</w:t>
            </w:r>
          </w:p>
        </w:tc>
      </w:tr>
      <w:tr w:rsidR="00AA1E3B" w14:paraId="0ADED731" w14:textId="77777777">
        <w:trPr>
          <w:cantSplit/>
        </w:trPr>
        <w:tc>
          <w:tcPr>
            <w:tcW w:w="4320" w:type="dxa"/>
            <w:vAlign w:val="center"/>
          </w:tcPr>
          <w:p w14:paraId="1986AA0A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ΔOHb at 1.0%† (µM)</w:t>
            </w:r>
          </w:p>
        </w:tc>
        <w:tc>
          <w:tcPr>
            <w:tcW w:w="1728" w:type="dxa"/>
            <w:vAlign w:val="center"/>
          </w:tcPr>
          <w:p w14:paraId="5E35F508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4.6 ± 2.7</w:t>
            </w:r>
          </w:p>
        </w:tc>
        <w:tc>
          <w:tcPr>
            <w:tcW w:w="1728" w:type="dxa"/>
            <w:vAlign w:val="center"/>
          </w:tcPr>
          <w:p w14:paraId="570624F9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5.0 ± 0.8</w:t>
            </w:r>
          </w:p>
        </w:tc>
        <w:tc>
          <w:tcPr>
            <w:tcW w:w="1584" w:type="dxa"/>
            <w:vAlign w:val="center"/>
          </w:tcPr>
          <w:p w14:paraId="21C541F8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0.486</w:t>
            </w:r>
          </w:p>
        </w:tc>
        <w:tc>
          <w:tcPr>
            <w:tcW w:w="1008" w:type="dxa"/>
            <w:vAlign w:val="center"/>
          </w:tcPr>
          <w:p w14:paraId="278094F2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0.20</w:t>
            </w:r>
          </w:p>
        </w:tc>
      </w:tr>
      <w:tr w:rsidR="00AA1E3B" w14:paraId="1DE0CE0F" w14:textId="77777777">
        <w:trPr>
          <w:cantSplit/>
        </w:trPr>
        <w:tc>
          <w:tcPr>
            <w:tcW w:w="4320" w:type="dxa"/>
            <w:vAlign w:val="center"/>
          </w:tcPr>
          <w:p w14:paraId="21F22D06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ΔRHb at 1.0%† (µM)</w:t>
            </w:r>
          </w:p>
        </w:tc>
        <w:tc>
          <w:tcPr>
            <w:tcW w:w="1728" w:type="dxa"/>
            <w:vAlign w:val="center"/>
          </w:tcPr>
          <w:p w14:paraId="62B5F7D3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−2.2 ± 0.8</w:t>
            </w:r>
          </w:p>
        </w:tc>
        <w:tc>
          <w:tcPr>
            <w:tcW w:w="1728" w:type="dxa"/>
            <w:vAlign w:val="center"/>
          </w:tcPr>
          <w:p w14:paraId="79F13FC7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−1.9 ± 0.8</w:t>
            </w:r>
          </w:p>
        </w:tc>
        <w:tc>
          <w:tcPr>
            <w:tcW w:w="1584" w:type="dxa"/>
            <w:vAlign w:val="center"/>
          </w:tcPr>
          <w:p w14:paraId="3728A53D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0.686</w:t>
            </w:r>
          </w:p>
        </w:tc>
        <w:tc>
          <w:tcPr>
            <w:tcW w:w="1008" w:type="dxa"/>
            <w:vAlign w:val="center"/>
          </w:tcPr>
          <w:p w14:paraId="2D57D706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0.25</w:t>
            </w:r>
          </w:p>
        </w:tc>
      </w:tr>
      <w:tr w:rsidR="00AA1E3B" w14:paraId="614FA103" w14:textId="77777777">
        <w:trPr>
          <w:cantSplit/>
        </w:trPr>
        <w:tc>
          <w:tcPr>
            <w:tcW w:w="4320" w:type="dxa"/>
            <w:vAlign w:val="center"/>
          </w:tcPr>
          <w:p w14:paraId="544DD6DC" w14:textId="77777777" w:rsidR="00AA1E3B" w:rsidRPr="008A2F24" w:rsidRDefault="0023541D">
            <w:pPr>
              <w:spacing w:line="240" w:lineRule="auto" w:before="80" w:after="80"/>
              <w:jc w:val="left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ΔTHb at 1.0%† (µM)</w:t>
            </w:r>
          </w:p>
        </w:tc>
        <w:tc>
          <w:tcPr>
            <w:tcW w:w="1728" w:type="dxa"/>
            <w:vAlign w:val="center"/>
          </w:tcPr>
          <w:p w14:paraId="4938A5B7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2.4 ± 2.3</w:t>
            </w:r>
          </w:p>
        </w:tc>
        <w:tc>
          <w:tcPr>
            <w:tcW w:w="1728" w:type="dxa"/>
            <w:vAlign w:val="center"/>
          </w:tcPr>
          <w:p w14:paraId="1D3A379F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3.1 ± 1.6</w:t>
            </w:r>
          </w:p>
        </w:tc>
        <w:tc>
          <w:tcPr>
            <w:tcW w:w="1584" w:type="dxa"/>
            <w:vAlign w:val="center"/>
          </w:tcPr>
          <w:p w14:paraId="5D7495F1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0.886</w:t>
            </w:r>
          </w:p>
        </w:tc>
        <w:tc>
          <w:tcPr>
            <w:tcW w:w="1008" w:type="dxa"/>
            <w:vAlign w:val="center"/>
          </w:tcPr>
          <w:p w14:paraId="5CA92DD1" w14:textId="77777777" w:rsidR="00AA1E3B" w:rsidRPr="008A2F24" w:rsidRDefault="0023541D">
            <w:pPr>
              <w:spacing w:line="240" w:lineRule="auto" w:before="80" w:after="80"/>
              <w:jc w:val="center"/>
              <w:rPr>
                <w:sz w:val="18"/>
                <w:szCs w:val="18"/>
              </w:rPr>
            </w:pPr>
            <w:r w:rsidRPr="008A2F24">
              <w:rPr>
                <w:rFonts w:ascii="Times New Roman" w:hAnsi="Times New Roman"/>
                <w:sz w:val="22"/>
                <w:szCs w:val="18"/>
              </w:rPr>
              <w:t>0.30</w:t>
            </w:r>
          </w:p>
        </w:tc>
      </w:tr>
    </w:tbl>
    <w:p w14:paraId="46E0D41E" w14:textId="56345328" w:rsidR="00AA1E3B" w:rsidRPr="00FF23AC" w:rsidRDefault="0023541D">
      <w:pPr>
        <w:keepLines/>
        <w:pageBreakBefore w:val="0"/>
        <w:spacing w:line="240" w:lineRule="auto" w:after="160" w:before="160"/>
        <w:jc w:val="both"/>
        <w:rPr>
          <w:sz w:val="20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Values are mean ± SD. Between-group </w:t>
      </w:r>
      <w:r>
        <w:rPr>
          <w:rFonts w:ascii="Times New Roman" w:hAnsi="Times New Roman"/>
          <w:i/>
          <w:iCs/>
          <w:sz w:val="20"/>
          <w:szCs w:val="20"/>
        </w:rPr>
        <w:t>p</w:t>
      </w:r>
      <w:r w:rsidR="000D0AF0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values are from two-sided exact Mann–Whitney U tests (</w:t>
      </w:r>
      <w:r>
        <w:rPr>
          <w:rFonts w:ascii="Times New Roman" w:hAnsi="Times New Roman"/>
          <w:i/>
          <w:iCs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 = 4 per group). Bias-corrected effect-size magnitudes are reported as absolute Hedges’ </w:t>
      </w:r>
      <w:r>
        <w:rPr>
          <w:rFonts w:ascii="Times New Roman" w:hAnsi="Times New Roman"/>
          <w:i/>
          <w:iCs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 xml:space="preserve"> (|</w:t>
      </w:r>
      <w:r>
        <w:rPr>
          <w:rFonts w:ascii="Times New Roman" w:hAnsi="Times New Roman"/>
          <w:i/>
          <w:iCs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 xml:space="preserve">|), and the group means show the direction of each difference. Measures are grouped by whether a statistically significant AA–NAA difference was observed. </w:t>
      </w:r>
      <w:r w:rsidRPr="003D7773">
        <w:rPr>
          <w:rFonts w:ascii="Times New Roman" w:hAnsi="Times New Roman"/>
          <w:sz w:val="20"/>
          <w:szCs w:val="20"/>
        </w:rPr>
        <w:t>Stage-wise rCBF and rCMRO</w:t>
      </w:r>
      <w:r w:rsidRPr="003D7773">
        <w:rPr>
          <w:rFonts w:ascii="Times New Roman" w:hAnsi="Times New Roman"/>
          <w:sz w:val="20"/>
          <w:szCs w:val="20"/>
          <w:vertAlign w:val="subscript"/>
        </w:rPr>
        <w:t>2</w:t>
      </w:r>
      <w:r w:rsidRPr="003D7773">
        <w:rPr>
          <w:rFonts w:ascii="Times New Roman" w:hAnsi="Times New Roman"/>
          <w:sz w:val="20"/>
          <w:szCs w:val="20"/>
        </w:rPr>
        <w:t xml:space="preserve"> are expressed relative to each animal’s awake-baseline value (awake = 100%); induction rCBF is expressed relative to the separate pre-induction awake value. </w:t>
      </w:r>
      <w:r>
        <w:rPr>
          <w:rFonts w:ascii="Times New Roman" w:hAnsi="Times New Roman"/>
          <w:sz w:val="20"/>
          <w:szCs w:val="20"/>
        </w:rPr>
        <w:t>The StO</w:t>
      </w:r>
      <w:r>
        <w:rPr>
          <w:rFonts w:ascii="Times New Roman" w:hAnsi="Times New Roman"/>
          <w:sz w:val="20"/>
          <w:szCs w:val="20"/>
          <w:vertAlign w:val="subscript"/>
        </w:rPr>
        <w:t>2</w:t>
      </w:r>
      <w:r>
        <w:rPr>
          <w:rFonts w:ascii="Times New Roman" w:hAnsi="Times New Roman"/>
          <w:sz w:val="20"/>
          <w:szCs w:val="20"/>
        </w:rPr>
        <w:t xml:space="preserve"> change is reported in percentage points. ΔOHb, ΔRHb, and ΔTHb are reported as concentration changes from the awake baseline in µM. †For every 1.0% row, the AA value was calculated over the 60-s interval centered on each animal’s StO</w:t>
      </w:r>
      <w:r>
        <w:rPr>
          <w:rFonts w:ascii="Times New Roman" w:hAnsi="Times New Roman"/>
          <w:sz w:val="20"/>
          <w:szCs w:val="20"/>
          <w:vertAlign w:val="subscript"/>
        </w:rPr>
        <w:t>2</w:t>
      </w:r>
      <w:r>
        <w:rPr>
          <w:rFonts w:ascii="Times New Roman" w:hAnsi="Times New Roman"/>
          <w:sz w:val="20"/>
          <w:szCs w:val="20"/>
        </w:rPr>
        <w:t xml:space="preserve"> peak, whereas the NAA value was calculated over the final 60 s of the 1.0% stage.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48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i/>
      <w:color w:val="000000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line number"/>
    <w:basedOn w:val="a2"/>
    <w:uiPriority w:val="99"/>
    <w:semiHidden/>
    <w:unhideWhenUsed/>
    <w:rsid w:val="005D763C"/>
  </w:style>
  <w:style w:type="character" w:styleId="aff2">
    <w:name w:val="annotation reference"/>
    <w:basedOn w:val="a2"/>
    <w:uiPriority w:val="99"/>
    <w:semiHidden/>
    <w:unhideWhenUsed/>
    <w:rsid w:val="005D763C"/>
    <w:rPr>
      <w:sz w:val="16"/>
      <w:szCs w:val="16"/>
    </w:rPr>
  </w:style>
  <w:style w:type="paragraph" w:styleId="aff3">
    <w:name w:val="annotation text"/>
    <w:basedOn w:val="a1"/>
    <w:link w:val="Char7"/>
    <w:uiPriority w:val="99"/>
    <w:unhideWhenUsed/>
    <w:rsid w:val="005D763C"/>
    <w:pPr>
      <w:spacing w:line="240" w:lineRule="auto"/>
    </w:pPr>
    <w:rPr>
      <w:sz w:val="20"/>
      <w:szCs w:val="20"/>
    </w:rPr>
  </w:style>
  <w:style w:type="character" w:customStyle="1" w:styleId="Char7">
    <w:name w:val="메모 텍스트 Char"/>
    <w:basedOn w:val="a2"/>
    <w:link w:val="aff3"/>
    <w:uiPriority w:val="99"/>
    <w:rsid w:val="005D763C"/>
    <w:rPr>
      <w:rFonts w:ascii="Times New Roman" w:hAnsi="Times New Roman"/>
      <w:sz w:val="20"/>
      <w:szCs w:val="20"/>
    </w:rPr>
  </w:style>
  <w:style w:type="paragraph" w:styleId="aff4">
    <w:name w:val="annotation subject"/>
    <w:basedOn w:val="aff3"/>
    <w:next w:val="aff3"/>
    <w:link w:val="Char8"/>
    <w:uiPriority w:val="99"/>
    <w:semiHidden/>
    <w:unhideWhenUsed/>
    <w:rsid w:val="005D763C"/>
    <w:rPr>
      <w:b/>
      <w:bCs/>
    </w:rPr>
  </w:style>
  <w:style w:type="character" w:customStyle="1" w:styleId="Char8">
    <w:name w:val="메모 주제 Char"/>
    <w:basedOn w:val="Char7"/>
    <w:link w:val="aff4"/>
    <w:uiPriority w:val="99"/>
    <w:semiHidden/>
    <w:rsid w:val="005D763C"/>
    <w:rPr>
      <w:rFonts w:ascii="Times New Roman" w:hAnsi="Times New Roman"/>
      <w:b/>
      <w:bCs/>
      <w:sz w:val="20"/>
      <w:szCs w:val="20"/>
    </w:rPr>
  </w:style>
  <w:style w:type="character" w:styleId="aff5">
    <w:name w:val="Hyperlink"/>
    <w:basedOn w:val="a2"/>
    <w:uiPriority w:val="99"/>
    <w:unhideWhenUsed/>
    <w:rsid w:val="001E5C2D"/>
    <w:rPr>
      <w:color w:val="0000FF" w:themeColor="hyperlink"/>
      <w:u w:val="single"/>
    </w:rPr>
  </w:style>
  <w:style w:type="character" w:styleId="aff6">
    <w:name w:val="Unresolved Mention"/>
    <w:basedOn w:val="a2"/>
    <w:uiPriority w:val="99"/>
    <w:semiHidden/>
    <w:unhideWhenUsed/>
    <w:rsid w:val="001E5C2D"/>
    <w:rPr>
      <w:color w:val="605E5C"/>
    </w:rPr>
  </w:style>
  <w:style w:type="paragraph" w:styleId="aff7">
    <w:name w:val="Revision"/>
    <w:hidden/>
    <w:uiPriority w:val="99"/>
    <w:semiHidden/>
    <w:rsid w:val="00EB5D68"/>
    <w:pPr>
      <w:spacing w:after="0" w:line="240" w:lineRule="auto"/>
    </w:pPr>
    <w:rPr>
      <w:rFonts w:ascii="Times New Roman" w:hAnsi="Times New Roman"/>
      <w:sz w:val="24"/>
    </w:rPr>
  </w:style>
  <w:style w:type="paragraph" w:styleId="aff8">
    <w:name w:val="Normal (Web)"/>
    <w:basedOn w:val="a1"/>
    <w:uiPriority w:val="99"/>
    <w:semiHidden/>
    <w:unhideWhenUsed/>
    <w:rsid w:val="00374CDA"/>
    <w:rPr>
      <w:rFonts w:cs="Times New Roman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