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D551" w14:textId="77777777" w:rsidR="00940E3F" w:rsidRDefault="00940E3F" w:rsidP="00940E3F">
      <w:pPr>
        <w:pStyle w:val="Heading1"/>
      </w:pPr>
      <w:r>
        <w:t>endix A. Computational implementation protocol</w:t>
      </w:r>
    </w:p>
    <w:p w14:paraId="3C317D10" w14:textId="77777777" w:rsidR="00940E3F" w:rsidRDefault="00940E3F" w:rsidP="00940E3F">
      <w:pPr>
        <w:ind w:left="360" w:hanging="288"/>
      </w:pPr>
      <w:r>
        <w:rPr>
          <w:b/>
        </w:rPr>
        <w:t xml:space="preserve">1. </w:t>
      </w:r>
      <w:r>
        <w:t>Initialize heterogeneous agents, balance sheets, strategy weights, liquid resources, and the multilayer network.</w:t>
      </w:r>
    </w:p>
    <w:p w14:paraId="5197935F" w14:textId="77777777" w:rsidR="00940E3F" w:rsidRDefault="00940E3F" w:rsidP="00940E3F">
      <w:pPr>
        <w:ind w:left="360" w:hanging="288"/>
      </w:pPr>
      <w:r>
        <w:rPr>
          <w:b/>
        </w:rPr>
        <w:t xml:space="preserve">2. </w:t>
      </w:r>
      <w:r>
        <w:t>Generate fundamental and nonfundamental information signals and compute agent expectations.</w:t>
      </w:r>
    </w:p>
    <w:p w14:paraId="3EFD8512" w14:textId="77777777" w:rsidR="00940E3F" w:rsidRDefault="00940E3F" w:rsidP="00940E3F">
      <w:pPr>
        <w:ind w:left="360" w:hanging="288"/>
      </w:pPr>
      <w:r>
        <w:rPr>
          <w:b/>
        </w:rPr>
        <w:t xml:space="preserve">3. </w:t>
      </w:r>
      <w:r>
        <w:t>Compute desired cash-market and hedge positions subject to leverage, liquidity, and risk limits.</w:t>
      </w:r>
    </w:p>
    <w:p w14:paraId="1EE6CA0D" w14:textId="77777777" w:rsidR="00940E3F" w:rsidRDefault="00940E3F" w:rsidP="00940E3F">
      <w:pPr>
        <w:ind w:left="360" w:hanging="288"/>
      </w:pPr>
      <w:r>
        <w:rPr>
          <w:b/>
        </w:rPr>
        <w:t xml:space="preserve">4. </w:t>
      </w:r>
      <w:r>
        <w:t>Clear or approximately clear markets; update prices, volatility, market depth, and collateral requirements.</w:t>
      </w:r>
    </w:p>
    <w:p w14:paraId="16E20547" w14:textId="77777777" w:rsidR="00940E3F" w:rsidRDefault="00940E3F" w:rsidP="00940E3F">
      <w:pPr>
        <w:ind w:left="360" w:hanging="288"/>
      </w:pPr>
      <w:r>
        <w:rPr>
          <w:b/>
        </w:rPr>
        <w:t xml:space="preserve">5. </w:t>
      </w:r>
      <w:r>
        <w:t>Settle derivative/insurance cash flows and margin calls; identify liquidity shortfalls and defaults.</w:t>
      </w:r>
    </w:p>
    <w:p w14:paraId="77F1433D" w14:textId="77777777" w:rsidR="00940E3F" w:rsidRDefault="00940E3F" w:rsidP="00940E3F">
      <w:pPr>
        <w:ind w:left="360" w:hanging="288"/>
      </w:pPr>
      <w:r>
        <w:rPr>
          <w:b/>
        </w:rPr>
        <w:t xml:space="preserve">6. </w:t>
      </w:r>
      <w:r>
        <w:t>Execute forced sales, funding withdrawals, close-out, or default waterfalls where constraints bind.</w:t>
      </w:r>
    </w:p>
    <w:p w14:paraId="7DAD822D" w14:textId="77777777" w:rsidR="00940E3F" w:rsidRDefault="00940E3F" w:rsidP="00940E3F">
      <w:pPr>
        <w:ind w:left="360" w:hanging="288"/>
      </w:pPr>
      <w:r>
        <w:rPr>
          <w:b/>
        </w:rPr>
        <w:t xml:space="preserve">7. </w:t>
      </w:r>
      <w:r>
        <w:t>Update profits, wealth, strategy fitness, and adaptation weights; permit counterparties and network links to change.</w:t>
      </w:r>
    </w:p>
    <w:p w14:paraId="046804D8" w14:textId="77777777" w:rsidR="00940E3F" w:rsidRDefault="00940E3F" w:rsidP="00940E3F">
      <w:pPr>
        <w:ind w:left="360" w:hanging="288"/>
      </w:pPr>
      <w:r>
        <w:rPr>
          <w:b/>
        </w:rPr>
        <w:t xml:space="preserve">8. </w:t>
      </w:r>
      <w:r>
        <w:t>Record market, institution, network, and functional-resilience metrics.</w:t>
      </w:r>
    </w:p>
    <w:p w14:paraId="258E75C3" w14:textId="77777777" w:rsidR="00940E3F" w:rsidRDefault="00940E3F" w:rsidP="00940E3F">
      <w:pPr>
        <w:ind w:left="360" w:hanging="288"/>
      </w:pPr>
      <w:r>
        <w:t>9. Repeat the experiment across alternative shocks, network structures, contract designs, and policy rules; use Monte Carlo replications to characterize outcome distributions rather than single paths.</w:t>
      </w:r>
    </w:p>
    <w:p w14:paraId="4563C69A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3F"/>
    <w:rsid w:val="00066677"/>
    <w:rsid w:val="00153A17"/>
    <w:rsid w:val="001A37F3"/>
    <w:rsid w:val="003A4E89"/>
    <w:rsid w:val="00556784"/>
    <w:rsid w:val="008B07A6"/>
    <w:rsid w:val="00940E3F"/>
    <w:rsid w:val="0097029A"/>
    <w:rsid w:val="00987B63"/>
    <w:rsid w:val="00990454"/>
    <w:rsid w:val="00A234E6"/>
    <w:rsid w:val="00BF13F9"/>
    <w:rsid w:val="00CE738E"/>
    <w:rsid w:val="00D31E7D"/>
    <w:rsid w:val="00E767F9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4188F"/>
  <w15:chartTrackingRefBased/>
  <w15:docId w15:val="{F0FF921A-F22C-4BC9-B7EB-B8E58A83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3F"/>
    <w:pPr>
      <w:spacing w:after="120" w:line="360" w:lineRule="auto"/>
      <w:jc w:val="both"/>
    </w:pPr>
    <w:rPr>
      <w:rFonts w:ascii="Times New Roman" w:eastAsiaTheme="minorEastAsia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E3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E3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E3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E3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E3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E3F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E3F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E3F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E3F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E3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0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E3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0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E3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0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E3F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0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E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2026-10-06T17:11:00Z</dcterms:created>
  <dcterms:modified xsi:type="dcterms:W3CDTF">2026-10-06T17:11:00Z</dcterms:modified>
</cp:coreProperties>
</file>