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AAF61">
      <w:pPr>
        <w:keepNext w:val="0"/>
        <w:keepLines w:val="0"/>
        <w:widowControl/>
        <w:suppressLineNumbers w:val="0"/>
        <w:jc w:val="left"/>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Preoperative diffusion-perivascular MRI burden and postoperative delirium after subthalamic nucleus deep brain stimulation in Parkinson disease</w:t>
      </w:r>
    </w:p>
    <w:p w14:paraId="11F3EB72">
      <w:pPr>
        <w:keepNext w:val="0"/>
        <w:keepLines w:val="0"/>
        <w:widowControl/>
        <w:suppressLineNumbers w:val="0"/>
        <w:jc w:val="left"/>
        <w:rPr>
          <w:rFonts w:hint="default" w:ascii="Times New Roman Regular" w:hAnsi="Times New Roman Regular" w:cs="Times New Roman Regular"/>
          <w:b/>
          <w:bCs/>
          <w:sz w:val="24"/>
          <w:szCs w:val="24"/>
        </w:rPr>
      </w:pPr>
    </w:p>
    <w:p w14:paraId="6CD38609">
      <w:pPr>
        <w:keepNext w:val="0"/>
        <w:keepLines w:val="0"/>
        <w:widowControl/>
        <w:suppressLineNumbers w:val="0"/>
        <w:jc w:val="left"/>
        <w:rPr>
          <w:rFonts w:hint="default" w:ascii="Times New Roman Regular" w:hAnsi="Times New Roman Regular" w:eastAsia="ArialMT" w:cs="Times New Roman Regular"/>
          <w:color w:val="000000"/>
          <w:kern w:val="0"/>
          <w:sz w:val="21"/>
          <w:szCs w:val="21"/>
          <w:lang w:val="en-US" w:eastAsia="zh-CN" w:bidi="ar"/>
        </w:rPr>
      </w:pPr>
      <w:r>
        <w:rPr>
          <w:rFonts w:hint="default" w:ascii="Times New Roman Regular" w:hAnsi="Times New Roman Regular" w:eastAsia="ArialMT" w:cs="Times New Roman Regular"/>
          <w:color w:val="000000"/>
          <w:kern w:val="0"/>
          <w:sz w:val="21"/>
          <w:szCs w:val="21"/>
          <w:lang w:val="en-US" w:eastAsia="zh-CN" w:bidi="ar"/>
        </w:rPr>
        <w:t>Peng Chen</w:t>
      </w:r>
      <w:r>
        <w:rPr>
          <w:rFonts w:hint="default" w:ascii="Times New Roman Regular" w:hAnsi="Times New Roman Regular" w:eastAsia="ArialMT" w:cs="Times New Roman Regular"/>
          <w:color w:val="000000"/>
          <w:kern w:val="0"/>
          <w:sz w:val="21"/>
          <w:szCs w:val="21"/>
          <w:vertAlign w:val="superscript"/>
          <w:lang w:val="en-US" w:eastAsia="zh-CN" w:bidi="ar"/>
        </w:rPr>
        <w:t>1,2</w:t>
      </w:r>
      <w:r>
        <w:rPr>
          <w:rFonts w:hint="default" w:ascii="Times New Roman Regular" w:hAnsi="Times New Roman Regular" w:eastAsia="ArialMT" w:cs="Times New Roman Regular"/>
          <w:color w:val="000000"/>
          <w:kern w:val="0"/>
          <w:sz w:val="21"/>
          <w:szCs w:val="21"/>
          <w:lang w:val="en-US" w:eastAsia="zh-CN" w:bidi="ar"/>
        </w:rPr>
        <w:t>, Chi Xiong</w:t>
      </w:r>
      <w:r>
        <w:rPr>
          <w:rFonts w:hint="default" w:ascii="Times New Roman Regular" w:hAnsi="Times New Roman Regular" w:eastAsia="ArialMT" w:cs="Times New Roman Regular"/>
          <w:color w:val="000000"/>
          <w:kern w:val="0"/>
          <w:sz w:val="21"/>
          <w:szCs w:val="21"/>
          <w:vertAlign w:val="superscript"/>
          <w:lang w:val="en-US" w:eastAsia="zh-CN" w:bidi="ar"/>
        </w:rPr>
        <w:t>1,2</w:t>
      </w:r>
      <w:r>
        <w:rPr>
          <w:rFonts w:hint="default" w:ascii="Times New Roman Regular" w:hAnsi="Times New Roman Regular" w:eastAsia="ArialMT" w:cs="Times New Roman Regular"/>
          <w:color w:val="000000"/>
          <w:kern w:val="0"/>
          <w:sz w:val="21"/>
          <w:szCs w:val="21"/>
          <w:lang w:val="en-US" w:eastAsia="zh-CN" w:bidi="ar"/>
        </w:rPr>
        <w:t>, Manli Jiang</w:t>
      </w:r>
      <w:r>
        <w:rPr>
          <w:rFonts w:hint="default" w:ascii="Times New Roman Regular" w:hAnsi="Times New Roman Regular" w:eastAsia="ArialMT" w:cs="Times New Roman Regular"/>
          <w:color w:val="000000"/>
          <w:kern w:val="0"/>
          <w:sz w:val="21"/>
          <w:szCs w:val="21"/>
          <w:vertAlign w:val="superscript"/>
          <w:lang w:val="en-US" w:eastAsia="zh-CN" w:bidi="ar"/>
        </w:rPr>
        <w:t xml:space="preserve">3 </w:t>
      </w:r>
      <w:r>
        <w:rPr>
          <w:rFonts w:hint="default" w:ascii="Times New Roman Regular" w:hAnsi="Times New Roman Regular" w:eastAsia="ArialMT" w:cs="Times New Roman Regular"/>
          <w:color w:val="000000"/>
          <w:kern w:val="0"/>
          <w:sz w:val="21"/>
          <w:szCs w:val="21"/>
          <w:lang w:val="en-US" w:eastAsia="zh-CN" w:bidi="ar"/>
        </w:rPr>
        <w:t>, Ce Zhang</w:t>
      </w:r>
      <w:r>
        <w:rPr>
          <w:rFonts w:hint="default" w:ascii="Times New Roman Regular" w:hAnsi="Times New Roman Regular" w:eastAsia="ArialMT" w:cs="Times New Roman Regular"/>
          <w:color w:val="000000"/>
          <w:kern w:val="0"/>
          <w:sz w:val="21"/>
          <w:szCs w:val="21"/>
          <w:vertAlign w:val="superscript"/>
          <w:lang w:val="en-US" w:eastAsia="zh-CN" w:bidi="ar"/>
        </w:rPr>
        <w:t>1,2</w:t>
      </w:r>
      <w:r>
        <w:rPr>
          <w:rFonts w:hint="default" w:ascii="Times New Roman Regular" w:hAnsi="Times New Roman Regular" w:eastAsia="ArialMT" w:cs="Times New Roman Regular"/>
          <w:color w:val="000000"/>
          <w:kern w:val="0"/>
          <w:sz w:val="21"/>
          <w:szCs w:val="21"/>
          <w:lang w:val="en-US" w:eastAsia="zh-CN" w:bidi="ar"/>
        </w:rPr>
        <w:t>, Shanshan Wang</w:t>
      </w:r>
      <w:r>
        <w:rPr>
          <w:rFonts w:hint="default" w:ascii="Times New Roman Regular" w:hAnsi="Times New Roman Regular" w:eastAsia="ArialMT" w:cs="Times New Roman Regular"/>
          <w:color w:val="000000"/>
          <w:kern w:val="0"/>
          <w:sz w:val="21"/>
          <w:szCs w:val="21"/>
          <w:vertAlign w:val="superscript"/>
          <w:lang w:val="en-US" w:eastAsia="zh-CN" w:bidi="ar"/>
        </w:rPr>
        <w:t>1,2</w:t>
      </w:r>
      <w:r>
        <w:rPr>
          <w:rFonts w:hint="default" w:ascii="Times New Roman Regular" w:hAnsi="Times New Roman Regular" w:eastAsia="ArialMT" w:cs="Times New Roman Regular"/>
          <w:color w:val="000000"/>
          <w:kern w:val="0"/>
          <w:sz w:val="21"/>
          <w:szCs w:val="21"/>
          <w:lang w:val="en-US" w:eastAsia="zh-CN" w:bidi="ar"/>
        </w:rPr>
        <w:t>, Hu He</w:t>
      </w:r>
      <w:r>
        <w:rPr>
          <w:rFonts w:hint="default" w:ascii="Times New Roman Regular" w:hAnsi="Times New Roman Regular" w:eastAsia="ArialMT" w:cs="Times New Roman Regular"/>
          <w:color w:val="000000"/>
          <w:kern w:val="0"/>
          <w:sz w:val="21"/>
          <w:szCs w:val="21"/>
          <w:vertAlign w:val="superscript"/>
          <w:lang w:val="en-US" w:eastAsia="zh-CN" w:bidi="ar"/>
        </w:rPr>
        <w:t>1,2</w:t>
      </w:r>
      <w:r>
        <w:rPr>
          <w:rFonts w:hint="default" w:ascii="Times New Roman Regular" w:hAnsi="Times New Roman Regular" w:eastAsia="ArialMT" w:cs="Times New Roman Regular"/>
          <w:color w:val="000000"/>
          <w:kern w:val="0"/>
          <w:sz w:val="21"/>
          <w:szCs w:val="21"/>
          <w:lang w:val="en-US" w:eastAsia="zh-CN" w:bidi="ar"/>
        </w:rPr>
        <w:t>, Jianmin Si</w:t>
      </w:r>
      <w:r>
        <w:rPr>
          <w:rFonts w:hint="default" w:ascii="Times New Roman Regular" w:hAnsi="Times New Roman Regular" w:eastAsia="ArialMT" w:cs="Times New Roman Regular"/>
          <w:color w:val="000000"/>
          <w:kern w:val="0"/>
          <w:sz w:val="21"/>
          <w:szCs w:val="21"/>
          <w:vertAlign w:val="superscript"/>
          <w:lang w:val="en-US" w:eastAsia="zh-CN" w:bidi="ar"/>
        </w:rPr>
        <w:t>2,4,5,*</w:t>
      </w:r>
      <w:r>
        <w:rPr>
          <w:rFonts w:hint="default" w:ascii="Times New Roman Regular" w:hAnsi="Times New Roman Regular" w:eastAsia="ArialMT" w:cs="Times New Roman Regular"/>
          <w:color w:val="000000"/>
          <w:kern w:val="0"/>
          <w:sz w:val="21"/>
          <w:szCs w:val="21"/>
          <w:lang w:val="en-US" w:eastAsia="zh-CN" w:bidi="ar"/>
        </w:rPr>
        <w:t xml:space="preserve"> , Chaoshi Niu</w:t>
      </w:r>
      <w:r>
        <w:rPr>
          <w:rFonts w:hint="default" w:ascii="Times New Roman Regular" w:hAnsi="Times New Roman Regular" w:eastAsia="ArialMT" w:cs="Times New Roman Regular"/>
          <w:color w:val="000000"/>
          <w:kern w:val="0"/>
          <w:sz w:val="21"/>
          <w:szCs w:val="21"/>
          <w:vertAlign w:val="superscript"/>
          <w:lang w:val="en-US" w:eastAsia="zh-CN" w:bidi="ar"/>
        </w:rPr>
        <w:t>1,2,4,*</w:t>
      </w:r>
      <w:r>
        <w:rPr>
          <w:rFonts w:hint="default" w:ascii="Times New Roman Regular" w:hAnsi="Times New Roman Regular" w:eastAsia="ArialMT" w:cs="Times New Roman Regular"/>
          <w:color w:val="000000"/>
          <w:kern w:val="0"/>
          <w:sz w:val="21"/>
          <w:szCs w:val="21"/>
          <w:lang w:val="en-US" w:eastAsia="zh-CN" w:bidi="ar"/>
        </w:rPr>
        <w:t xml:space="preserve"> </w:t>
      </w:r>
    </w:p>
    <w:p w14:paraId="4C6029DE">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4EA95BB5">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4B0AB55A">
      <w:pPr>
        <w:pStyle w:val="4"/>
        <w:rPr>
          <w:sz w:val="21"/>
          <w:szCs w:val="21"/>
        </w:rPr>
      </w:pPr>
      <w:r>
        <w:rPr>
          <w:sz w:val="21"/>
          <w:szCs w:val="21"/>
        </w:rPr>
        <w:t>Supplementary Methods</w:t>
      </w:r>
      <w:r>
        <w:rPr>
          <w:rFonts w:hint="default"/>
          <w:sz w:val="21"/>
          <w:szCs w:val="21"/>
          <w:lang w:val="en-US"/>
        </w:rPr>
        <w:t xml:space="preserve">: </w:t>
      </w:r>
      <w:r>
        <w:rPr>
          <w:sz w:val="21"/>
          <w:szCs w:val="21"/>
        </w:rPr>
        <w:t>Postoperative delirium assessment using Nu DESC</w:t>
      </w:r>
    </w:p>
    <w:p w14:paraId="4ED4B66D">
      <w:pPr>
        <w:pStyle w:val="2"/>
        <w:rPr>
          <w:sz w:val="21"/>
          <w:szCs w:val="21"/>
        </w:rPr>
      </w:pPr>
      <w:r>
        <w:rPr>
          <w:sz w:val="21"/>
          <w:szCs w:val="21"/>
        </w:rPr>
        <w:t>Monitoring period and assessment schedule</w:t>
      </w:r>
    </w:p>
    <w:p w14:paraId="32FD6DDE">
      <w:pPr>
        <w:keepLines/>
        <w:rPr>
          <w:sz w:val="21"/>
          <w:szCs w:val="21"/>
        </w:rPr>
      </w:pPr>
      <w:r>
        <w:rPr>
          <w:sz w:val="21"/>
          <w:szCs w:val="21"/>
        </w:rPr>
        <w:t xml:space="preserve">Postoperative delirium (POD) was assessed prospectively in patients with Parkinson disease undergoing bilateral subthalamic nucleus deep brain stimulation. Monitoring began on postoperative day 1 and continued through postoperative day 5 or until earlier discharge. The Nursing Delirium Screening Scale (Nu-DESC) was administered once per nursing shift </w:t>
      </w:r>
      <w:r>
        <w:rPr>
          <w:rFonts w:hint="default"/>
          <w:sz w:val="21"/>
          <w:szCs w:val="21"/>
          <w:lang w:val="en-US"/>
        </w:rPr>
        <w:t xml:space="preserve">(every 4 hours) </w:t>
      </w:r>
      <w:r>
        <w:rPr>
          <w:sz w:val="21"/>
          <w:szCs w:val="21"/>
        </w:rPr>
        <w:t>throughout this period. Additional assessments were performed whenever an acute change in attention, arousal, behaviour or mental status was suspected. These additional assessments supplemented the scheduled observations to capture changes occurring between routine assessments.</w:t>
      </w:r>
    </w:p>
    <w:p w14:paraId="23C9115A">
      <w:pPr>
        <w:pStyle w:val="2"/>
        <w:rPr>
          <w:sz w:val="21"/>
          <w:szCs w:val="21"/>
        </w:rPr>
      </w:pPr>
      <w:r>
        <w:rPr>
          <w:sz w:val="21"/>
          <w:szCs w:val="21"/>
        </w:rPr>
        <w:t>Assessment domains and scoring</w:t>
      </w:r>
    </w:p>
    <w:p w14:paraId="7354498E">
      <w:pPr>
        <w:keepLines/>
        <w:rPr>
          <w:sz w:val="21"/>
          <w:szCs w:val="21"/>
        </w:rPr>
      </w:pPr>
      <w:r>
        <w:rPr>
          <w:sz w:val="21"/>
          <w:szCs w:val="21"/>
        </w:rPr>
        <w:t>Nu-DESC is an observational screening instrument comprising five symptom domains: disorientation, inappropriate behaviour, inappropriate communication, illusions or hallucinations, and psychomotor retardation. Each item is rated from 0 to 2 according to the presence and intensity of the observed symptom, with 0 indicating absence, 1 a mild disturbance and 2 a marked disturbance. The five item scores are summed without weighting, yielding a total score from 0 to 10. The domains are summarised below; the descriptions explain the constructs and do not replace the scoring instructions of the administered scale.</w:t>
      </w:r>
    </w:p>
    <w:tbl>
      <w:tblPr>
        <w:tblStyle w:val="5"/>
        <w:tblW w:w="0" w:type="auto"/>
        <w:tblInd w:w="0" w:type="dxa"/>
        <w:tblLayout w:type="fixed"/>
        <w:tblCellMar>
          <w:top w:w="0" w:type="dxa"/>
          <w:left w:w="108" w:type="dxa"/>
          <w:bottom w:w="0" w:type="dxa"/>
          <w:right w:w="108" w:type="dxa"/>
        </w:tblCellMar>
      </w:tblPr>
      <w:tblGrid>
        <w:gridCol w:w="3096"/>
        <w:gridCol w:w="6552"/>
      </w:tblGrid>
      <w:tr w14:paraId="22FA9D2E">
        <w:trPr>
          <w:cantSplit/>
          <w:tblHeader/>
        </w:trPr>
        <w:tc>
          <w:tcPr>
            <w:tcW w:w="3096"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45B3AF04">
            <w:pPr>
              <w:spacing w:before="80" w:after="80" w:line="240" w:lineRule="auto"/>
              <w:rPr>
                <w:sz w:val="21"/>
                <w:szCs w:val="21"/>
              </w:rPr>
            </w:pPr>
            <w:r>
              <w:rPr>
                <w:b/>
                <w:sz w:val="21"/>
                <w:szCs w:val="21"/>
              </w:rPr>
              <w:t>Domain</w:t>
            </w:r>
          </w:p>
        </w:tc>
        <w:tc>
          <w:tcPr>
            <w:tcW w:w="6552"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53D81B3E">
            <w:pPr>
              <w:spacing w:before="80" w:after="80" w:line="240" w:lineRule="auto"/>
              <w:rPr>
                <w:sz w:val="21"/>
                <w:szCs w:val="21"/>
              </w:rPr>
            </w:pPr>
            <w:r>
              <w:rPr>
                <w:b/>
                <w:sz w:val="21"/>
                <w:szCs w:val="21"/>
              </w:rPr>
              <w:t>Observation covered by the item</w:t>
            </w:r>
          </w:p>
        </w:tc>
      </w:tr>
      <w:tr w14:paraId="17FD1379">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77D58AE5">
            <w:pPr>
              <w:spacing w:before="80" w:after="80" w:line="240" w:lineRule="auto"/>
              <w:rPr>
                <w:sz w:val="21"/>
                <w:szCs w:val="21"/>
              </w:rPr>
            </w:pPr>
            <w:r>
              <w:rPr>
                <w:b w:val="0"/>
                <w:sz w:val="21"/>
                <w:szCs w:val="21"/>
              </w:rPr>
              <w:t>Disorientation</w:t>
            </w:r>
          </w:p>
        </w:tc>
        <w:tc>
          <w:tcPr>
            <w:tcW w:w="6552"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2202C379">
            <w:pPr>
              <w:spacing w:before="80" w:after="80" w:line="240" w:lineRule="auto"/>
              <w:rPr>
                <w:sz w:val="21"/>
                <w:szCs w:val="21"/>
              </w:rPr>
            </w:pPr>
            <w:r>
              <w:rPr>
                <w:b w:val="0"/>
                <w:sz w:val="21"/>
                <w:szCs w:val="21"/>
              </w:rPr>
              <w:t>Confusion about time, place or person.</w:t>
            </w:r>
          </w:p>
        </w:tc>
      </w:tr>
      <w:tr w14:paraId="43947AAE">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6BF9F84C">
            <w:pPr>
              <w:spacing w:before="80" w:after="80" w:line="240" w:lineRule="auto"/>
              <w:rPr>
                <w:sz w:val="21"/>
                <w:szCs w:val="21"/>
              </w:rPr>
            </w:pPr>
            <w:r>
              <w:rPr>
                <w:b w:val="0"/>
                <w:sz w:val="21"/>
                <w:szCs w:val="21"/>
              </w:rPr>
              <w:t>Inappropriate behaviour</w:t>
            </w:r>
          </w:p>
        </w:tc>
        <w:tc>
          <w:tcPr>
            <w:tcW w:w="6552"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704C4EC8">
            <w:pPr>
              <w:spacing w:before="80" w:after="80" w:line="240" w:lineRule="auto"/>
              <w:rPr>
                <w:sz w:val="21"/>
                <w:szCs w:val="21"/>
              </w:rPr>
            </w:pPr>
            <w:r>
              <w:rPr>
                <w:b w:val="0"/>
                <w:sz w:val="21"/>
                <w:szCs w:val="21"/>
              </w:rPr>
              <w:t>Actions that are unsuitable for the situation or interfere with appropriate care.</w:t>
            </w:r>
          </w:p>
        </w:tc>
      </w:tr>
      <w:tr w14:paraId="36385574">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37295C8C">
            <w:pPr>
              <w:spacing w:before="80" w:after="80" w:line="240" w:lineRule="auto"/>
              <w:rPr>
                <w:sz w:val="21"/>
                <w:szCs w:val="21"/>
              </w:rPr>
            </w:pPr>
            <w:r>
              <w:rPr>
                <w:b w:val="0"/>
                <w:sz w:val="21"/>
                <w:szCs w:val="21"/>
              </w:rPr>
              <w:t>Inappropriate communication</w:t>
            </w:r>
          </w:p>
        </w:tc>
        <w:tc>
          <w:tcPr>
            <w:tcW w:w="6552"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613C766">
            <w:pPr>
              <w:spacing w:before="80" w:after="80" w:line="240" w:lineRule="auto"/>
              <w:rPr>
                <w:sz w:val="21"/>
                <w:szCs w:val="21"/>
              </w:rPr>
            </w:pPr>
            <w:r>
              <w:rPr>
                <w:b w:val="0"/>
                <w:sz w:val="21"/>
                <w:szCs w:val="21"/>
              </w:rPr>
              <w:t>Speech or interaction that is incoherent or does not fit the situation.</w:t>
            </w:r>
          </w:p>
        </w:tc>
      </w:tr>
      <w:tr w14:paraId="26A91E89">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6B28681">
            <w:pPr>
              <w:spacing w:before="80" w:after="80" w:line="240" w:lineRule="auto"/>
              <w:rPr>
                <w:sz w:val="21"/>
                <w:szCs w:val="21"/>
              </w:rPr>
            </w:pPr>
            <w:r>
              <w:rPr>
                <w:b w:val="0"/>
                <w:sz w:val="21"/>
                <w:szCs w:val="21"/>
              </w:rPr>
              <w:t>Illusions or hallucinations</w:t>
            </w:r>
          </w:p>
        </w:tc>
        <w:tc>
          <w:tcPr>
            <w:tcW w:w="6552"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7DDB0423">
            <w:pPr>
              <w:spacing w:before="80" w:after="80" w:line="240" w:lineRule="auto"/>
              <w:rPr>
                <w:sz w:val="21"/>
                <w:szCs w:val="21"/>
              </w:rPr>
            </w:pPr>
            <w:r>
              <w:rPr>
                <w:b w:val="0"/>
                <w:sz w:val="21"/>
                <w:szCs w:val="21"/>
              </w:rPr>
              <w:t>Misinterpretation of a real stimulus or perception without a corresponding external stimulus.</w:t>
            </w:r>
          </w:p>
        </w:tc>
      </w:tr>
      <w:tr w14:paraId="616F4A72">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D7EA5E8">
            <w:pPr>
              <w:spacing w:before="80" w:after="80" w:line="240" w:lineRule="auto"/>
              <w:rPr>
                <w:sz w:val="21"/>
                <w:szCs w:val="21"/>
              </w:rPr>
            </w:pPr>
            <w:r>
              <w:rPr>
                <w:b w:val="0"/>
                <w:sz w:val="21"/>
                <w:szCs w:val="21"/>
              </w:rPr>
              <w:t>Psychomotor retardation</w:t>
            </w:r>
          </w:p>
        </w:tc>
        <w:tc>
          <w:tcPr>
            <w:tcW w:w="6552"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66E4DADC">
            <w:pPr>
              <w:spacing w:before="80" w:after="80" w:line="240" w:lineRule="auto"/>
              <w:rPr>
                <w:sz w:val="21"/>
                <w:szCs w:val="21"/>
              </w:rPr>
            </w:pPr>
            <w:r>
              <w:rPr>
                <w:b w:val="0"/>
                <w:sz w:val="21"/>
                <w:szCs w:val="21"/>
              </w:rPr>
              <w:t>Reduced responsiveness or slowing of mental and behavioural activity.</w:t>
            </w:r>
          </w:p>
        </w:tc>
      </w:tr>
    </w:tbl>
    <w:p w14:paraId="4BEBC016">
      <w:pPr>
        <w:pStyle w:val="2"/>
        <w:rPr>
          <w:sz w:val="21"/>
          <w:szCs w:val="21"/>
        </w:rPr>
      </w:pPr>
      <w:r>
        <w:rPr>
          <w:sz w:val="21"/>
          <w:szCs w:val="21"/>
        </w:rPr>
        <w:t>Positive screening and clinical adjudication</w:t>
      </w:r>
    </w:p>
    <w:p w14:paraId="6CEED3A1">
      <w:pPr>
        <w:keepLines/>
        <w:rPr>
          <w:rFonts w:ascii="Times New Roman" w:hAnsi="Times New Roman"/>
          <w:i w:val="0"/>
          <w:color w:val="000000"/>
          <w:sz w:val="21"/>
          <w:szCs w:val="21"/>
          <w:lang w:val="en-US" w:eastAsia="en-US" w:bidi="ar-SA"/>
        </w:rPr>
      </w:pPr>
      <w:r>
        <w:rPr>
          <w:sz w:val="21"/>
          <w:szCs w:val="21"/>
        </w:rPr>
        <w:t xml:space="preserve">A total Nu-DESC score of 2 or higher was considered a positive screen. Positive screens underwent clinical adjudication using bedside assessment </w:t>
      </w:r>
      <w:r>
        <w:rPr>
          <w:rFonts w:hint="default"/>
          <w:sz w:val="21"/>
          <w:szCs w:val="21"/>
          <w:lang w:val="en-US"/>
        </w:rPr>
        <w:t>(</w:t>
      </w:r>
      <w:r>
        <w:rPr>
          <w:sz w:val="21"/>
          <w:szCs w:val="21"/>
        </w:rPr>
        <w:t>CAM assessment</w:t>
      </w:r>
      <w:r>
        <w:rPr>
          <w:rFonts w:hint="default"/>
          <w:sz w:val="21"/>
          <w:szCs w:val="21"/>
          <w:lang w:val="en-US"/>
        </w:rPr>
        <w:t xml:space="preserve">) </w:t>
      </w:r>
      <w:r>
        <w:rPr>
          <w:sz w:val="21"/>
          <w:szCs w:val="21"/>
        </w:rPr>
        <w:t>together with review of medical and nursing records. A positive screening result therefore identified a suspected episode for clinical review; classification as POD d</w:t>
      </w:r>
      <w:bookmarkStart w:id="0" w:name="_GoBack"/>
      <w:bookmarkEnd w:id="0"/>
      <w:r>
        <w:rPr>
          <w:sz w:val="21"/>
          <w:szCs w:val="21"/>
        </w:rPr>
        <w:t>epended on the clinical adjudication. Repeated screening continued within the specified observation window, allowing subsequent episodes or changes in symptom expression to contribute to the longitudinal assessment.</w:t>
      </w:r>
    </w:p>
    <w:p w14:paraId="26BC4F0A">
      <w:pPr>
        <w:pStyle w:val="2"/>
        <w:rPr>
          <w:sz w:val="21"/>
          <w:szCs w:val="21"/>
        </w:rPr>
      </w:pPr>
      <w:r>
        <w:rPr>
          <w:sz w:val="21"/>
          <w:szCs w:val="21"/>
        </w:rPr>
        <w:t>Definition of delirium occurrence</w:t>
      </w:r>
    </w:p>
    <w:p w14:paraId="20B413E7">
      <w:pPr>
        <w:keepLines/>
        <w:rPr>
          <w:sz w:val="21"/>
          <w:szCs w:val="21"/>
        </w:rPr>
      </w:pPr>
      <w:r>
        <w:rPr>
          <w:sz w:val="21"/>
          <w:szCs w:val="21"/>
        </w:rPr>
        <w:t>POD occurrence was defined as at least one clinically adjudicated episode during the monitoring period. A patient with one or more adjudicated episodes was classified in the POD group regardless of the number of subsequent positive assessments. The non-POD group comprised patients without an adjudicated episode during their observed monitoring period. This outcome reflected occurrence within the study observation window, including its endpoint at earlier discharge.</w:t>
      </w:r>
    </w:p>
    <w:p w14:paraId="5F9C12CD">
      <w:pPr>
        <w:pStyle w:val="2"/>
        <w:rPr>
          <w:sz w:val="21"/>
          <w:szCs w:val="21"/>
        </w:rPr>
      </w:pPr>
      <w:r>
        <w:rPr>
          <w:sz w:val="21"/>
          <w:szCs w:val="21"/>
        </w:rPr>
        <w:t>Derivation of delirium duration and peak score</w:t>
      </w:r>
    </w:p>
    <w:p w14:paraId="36D37220">
      <w:pPr>
        <w:keepLines/>
        <w:rPr>
          <w:sz w:val="21"/>
          <w:szCs w:val="21"/>
        </w:rPr>
      </w:pPr>
      <w:r>
        <w:rPr>
          <w:sz w:val="21"/>
          <w:szCs w:val="21"/>
        </w:rPr>
        <w:t>POD duration was defined as the cumulative number of postoperative days containing at least one adjudicated episode. Each day contributed at most one day to the total, irrespective of how many scheduled or additional assessments were positive. A day with a positive screen contributed to duration only when an episode was clinically adjudicated. Non-consecutive days with adjudicated POD were summed. Consequently, duration represented the number of affected days within the monitoring window and was not calculated as the interval between the first and last positive assessment. It did not measure the number of hours spent delirious.</w:t>
      </w:r>
    </w:p>
    <w:p w14:paraId="353683AF">
      <w:pPr>
        <w:keepLines/>
        <w:rPr>
          <w:sz w:val="21"/>
          <w:szCs w:val="21"/>
        </w:rPr>
      </w:pPr>
      <w:r>
        <w:rPr>
          <w:sz w:val="21"/>
          <w:szCs w:val="21"/>
        </w:rPr>
        <w:t>The prespecified measure of POD severity was the peak Nu-DESC total score during the monitoring period. For each patient, the highest recorded score across the repeated assessments was retained, rather than averaging scores across shifts or summing them across days. The peak score was interpreted as an operational measure of the maximum observed symptom burden captured by Nu-DESC. Analyses relating imaging measures to delirium duration and peak Nu-DESC score were restricted to patients with POD.</w:t>
      </w:r>
    </w:p>
    <w:p w14:paraId="081DC94C">
      <w:pPr>
        <w:pStyle w:val="2"/>
        <w:rPr>
          <w:sz w:val="21"/>
          <w:szCs w:val="21"/>
        </w:rPr>
      </w:pPr>
      <w:r>
        <w:rPr>
          <w:sz w:val="21"/>
          <w:szCs w:val="21"/>
        </w:rPr>
        <w:t>Blinding and completeness of ascertainment</w:t>
      </w:r>
    </w:p>
    <w:p w14:paraId="74D1DE13">
      <w:pPr>
        <w:keepLines/>
        <w:rPr>
          <w:sz w:val="21"/>
          <w:szCs w:val="21"/>
        </w:rPr>
      </w:pPr>
      <w:r>
        <w:rPr>
          <w:sz w:val="21"/>
          <w:szCs w:val="21"/>
        </w:rPr>
        <w:t>Delirium assessors were blinded to preoperative imaging results. Patients with missing prospective POD assessments were excluded from the analytic cohort. Follow-up ended at discharge when discharge occurred before postoperative day 5; the outcome definitions therefore apply to the observed inpatient monitoring period. Duration and peak scores describe the recorded course within that period and cannot establish persistence or resolution after observation ended.</w:t>
      </w:r>
    </w:p>
    <w:p w14:paraId="7770314D">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5280FB1B">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p>
    <w:p w14:paraId="511C30D1">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Supplementary Methods: Diffusion MRI Processing and Analysis</w:t>
      </w:r>
    </w:p>
    <w:p w14:paraId="5A7961D6">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p>
    <w:p w14:paraId="6A23DCDB">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DTI preprocessing</w:t>
      </w:r>
    </w:p>
    <w:p w14:paraId="66F162F7">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Raw diffusion MRI data were first checked for completeness, including diffusion-weighted images, b-value files, b-vector files, and acquisition parameter files. For each participant, the non-diffusion-weighted image (b0) was extracted and used for brain extraction and visual quality control. Diffusion data were corrected for eddy-current distortion and head motion using FSL</w:t>
      </w:r>
      <w:r>
        <w:rPr>
          <w:rFonts w:hint="default" w:ascii="Times New Roman Regular" w:hAnsi="Times New Roman Regular" w:cs="Times New Roman Regular"/>
          <w:b w:val="0"/>
          <w:color w:val="auto"/>
          <w:kern w:val="2"/>
          <w:sz w:val="21"/>
          <w:szCs w:val="24"/>
          <w:lang w:val="en-US" w:eastAsia="zh-CN" w:bidi="ar-SA"/>
        </w:rPr>
        <w:t xml:space="preserve"> (https://fsl.fmrib.ox.ac.uk/fsl/docs/)</w:t>
      </w:r>
      <w:r>
        <w:rPr>
          <w:rFonts w:hint="default" w:ascii="Times New Roman Regular" w:hAnsi="Times New Roman Regular" w:eastAsia="宋体" w:cs="Times New Roman Regular"/>
          <w:b w:val="0"/>
          <w:color w:val="auto"/>
          <w:kern w:val="2"/>
          <w:sz w:val="21"/>
          <w:szCs w:val="24"/>
          <w:lang w:val="en-US" w:eastAsia="zh-CN" w:bidi="ar-SA"/>
        </w:rPr>
        <w:t>. Gradient directions were rotated or preserved consistently with the motion-corrected diffusion data before tensor fitting.</w:t>
      </w:r>
    </w:p>
    <w:p w14:paraId="152CE7A8">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Brain masks were generated from the corrected b0 images. All brain masks and corrected diffusion images were visually inspected to identify failed brain extraction, severe motion artifacts, signal dropout, abnormal image orientation, or registration failure. Images failing quality control were excluded or further evaluated in sensitivity analyses.</w:t>
      </w:r>
    </w:p>
    <w:p w14:paraId="21B341CF">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7CD9BA18">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Tensor fitting and DTI metric generation</w:t>
      </w:r>
    </w:p>
    <w:p w14:paraId="42D882EF">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Diffusion tensors were fitted in native diffusion space using FSL dtifit. The following maps were generated for each participant: fractional anisotropy (FA), mean diffusivity (MD), the first eigenvalue (L1), the second eigenvalue (L2), the third eigenvalue (L3), axial diffusivity (AD), and radial diffusivity (RD). AD was defined as L1, and RD was defined as the average of L2 and L3.</w:t>
      </w:r>
    </w:p>
    <w:p w14:paraId="477D8D24">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78627A04">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FA was used as a measure of diffusion directionality, whereas MD, AD, and RD were used to characterize complementary aspects of water diffusivity. These diffusion metrics were interpreted as non-specific markers of white-matter microstructure rather than direct measures of myelin, axonal density, inflammation, or tissue integrity.</w:t>
      </w:r>
    </w:p>
    <w:p w14:paraId="275CAAC9">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17335088">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TBSS whole-skeleton analysis</w:t>
      </w:r>
    </w:p>
    <w:p w14:paraId="75497B76">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Voxel-wise white-matter analysis was performed using tract-based spatial statistics (TBSS). Individual FA maps were first preprocessed to remove residual non-brain tissue and edge artifacts. All FA images were then nonlinearly registered to standard space and used to generate a mean FA image. A mean FA skeleton was created to represent the centers of major white-matter tracts. A standard FA threshold was applied to restrict analyses to the white-matter skeleton and minimize partial-volume contamination from gray matter or cerebrospinal fluid.</w:t>
      </w:r>
    </w:p>
    <w:p w14:paraId="212FB926">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5F473C6D">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Each participant's FA image was projected onto the mean FA skeleton to generate skeletonised FA data. The same transformations and skeleton projection procedures were then applied to MD, AD, and RD maps, generating skeletonised MD, AD, and RD images in the same TBSS skeleton space. This ensured that all DTI metrics were analyzed within a common white-matter skeleton.</w:t>
      </w:r>
    </w:p>
    <w:p w14:paraId="5944DBFB">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7644F3C5">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Voxel-wise statistical analysis</w:t>
      </w:r>
    </w:p>
    <w:p w14:paraId="74682750">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Voxel-wise group comparisons were conducted separately for FA, MD, AD, and RD within the TBSS skeleton. Participants were categorized into three groups: healthy controls, non-delirium patients, and delirium patients. The primary covariate-adjusted general linear model was specified as DTI metric ~ group + age + sex + motion. Group was the main variable of interest, while age, sex, and head-motion estimates were included as covariates.</w:t>
      </w:r>
    </w:p>
    <w:p w14:paraId="494119FA">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3AC403D2">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Pairwise contrasts included Healthy &gt; Non-delirium, Non-delirium &gt; Healthy, Healthy &gt; Delirium, Delirium &gt; Healthy, Non-delirium &gt; Delirium, and Delirium &gt; Non-delirium. Ordered trend analyses were also performed to test whether DTI metrics showed monotonic changes across the clinical sequence of Healthy, Non-delirium, and Delirium groups. Voxel-wise inference was performed using permutation testing with threshold-free cluster enhancement (TFCE). Statistical significance was defined as family-wise error corrected p &lt; 0.05.</w:t>
      </w:r>
    </w:p>
    <w:p w14:paraId="2CCDD9EE">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13585AD9">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Covariate sensitivity analysis</w:t>
      </w:r>
    </w:p>
    <w:p w14:paraId="21196D7E">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Because DTI metrics are sensitive to age, sex, and head motion, sensitivity analyses were performed by comparing unadjusted and covariate-adjusted models. The unadjusted model included group only, whereas the adjusted model included age, sex, and motion covariates. Significant skeleton volume and effect direction were compared between models to assess the influence of covariate adjustment.</w:t>
      </w:r>
    </w:p>
    <w:p w14:paraId="00C17492">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031998F3">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These analyses were used to determine whether the observed DTI effects were robust to potential confounding factors. For findings whose direction differed from prior reports, the results were interpreted as covariate-adjusted abnormal diffusion phenotypes rather than direct evidence of improved or impaired white-matter integrity.</w:t>
      </w:r>
    </w:p>
    <w:p w14:paraId="08B89FA8">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7CD67D13">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JHU white-matter tract ROI analysis</w:t>
      </w:r>
    </w:p>
    <w:p w14:paraId="3AD6D1AB">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To anatomically localize TBSS findings, an a priori ROI analysis was performed using the JHU white-matter atlas. Tract families relevant to delirium, attention, executive control, thalamo-cortical connectivity, and memory networks were selected a priori, including the anterior thalamic radiation (ATR), corticospinal tract (CST), cingulum cingulate gyrus, cingulum hippocampus, forceps minor, forceps major, inferior fronto-occipital fasciculus (IFOF), inferior longitudinal fasciculus (ILF), superior longitudinal fasciculus (SLF), temporal part of the SLF, and uncinate fasciculus.</w:t>
      </w:r>
    </w:p>
    <w:p w14:paraId="20D785C5">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29AB2F1E">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JHU atlas masks were resampled to TBSS skeleton space and intersected with the mean FA skeleton mask. This generated tract masks restricted to the white-matter skeleton. For bilateral tracts, left and right masks were first generated separately and then combined into family-level tract masks. The number of skeleton voxels within each mask was recorded to describe ROI coverage. For each participant, mean skeletonised FA, MD, AD, and RD values were extracted within each JHU tract family. This produced a subject-level ROI dataset for tract-level statistical analysis.</w:t>
      </w:r>
    </w:p>
    <w:p w14:paraId="7A7C789E">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1EE625CD">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JHU ROI-level statistical analysis</w:t>
      </w:r>
    </w:p>
    <w:p w14:paraId="543E0CA0">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For each tract family and DTI metric, ROI-level statistical models were fitted using the same covariate-adjusted GLM: ROI metric ~ group + age + sex + motion. Pairwise group contrasts and ordered trend analyses were performed in parallel with the voxel-wise TBSS analysis. For each tract family, beta estimates, t statistics, p values, and false discovery rate (FDR)-corrected q values were reported.</w:t>
      </w:r>
    </w:p>
    <w:p w14:paraId="7B787357">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09430836">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Multiple comparisons were controlled using FDR correction within each metric and model family. Direction-supported FDR-significant findings were used for anatomical interpretation and visualization. The JHU ROI analysis was intended to anatomically localize whole-skeleton TBSS effects, rather than to serve as a separate data-driven discovery analysis.</w:t>
      </w:r>
    </w:p>
    <w:p w14:paraId="5454B1E0">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4D6D80D6">
      <w:pPr>
        <w:pStyle w:val="8"/>
        <w:keepNext w:val="0"/>
        <w:keepLines w:val="0"/>
        <w:widowControl/>
        <w:suppressLineNumbers w:val="0"/>
        <w:rPr>
          <w:rFonts w:hint="default" w:ascii="Times New Roman Bold" w:hAnsi="Times New Roman Bold" w:eastAsia="宋体" w:cs="Times New Roman Bold"/>
          <w:b/>
          <w:bCs w:val="0"/>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Visualization</w:t>
      </w:r>
    </w:p>
    <w:p w14:paraId="50352C70">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Whole-skeleton TBSS results were summarized by significant skeleton volume and group-contrast matrices. JHU tract-level findings were visualized using tract-family matrices, where color indicated the group with higher values and dot size represented the strength of FDR-corrected significance.</w:t>
      </w:r>
    </w:p>
    <w:p w14:paraId="2C465137">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4335E6AC">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For spatial illustration, FDR-significant or strongest JHU tract masks were rendered in standard space on a transparent JHU/MNI template brain. Multi-view three-dimensional renderings were generated, including left oblique, right oblique, and superior views. These visualizations were used to show that group-related DTI effects were localized to distributed white-matter systems involving thalamo-cortical, cingulum-hippocampal, frontoparietal attention, long-range association, and callosal pathways.</w:t>
      </w:r>
    </w:p>
    <w:p w14:paraId="4BB844FB">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739E37B1">
      <w:pPr>
        <w:pStyle w:val="8"/>
        <w:keepNext w:val="0"/>
        <w:keepLines w:val="0"/>
        <w:widowControl/>
        <w:suppressLineNumbers w:val="0"/>
        <w:rPr>
          <w:rFonts w:hint="default" w:ascii="Times New Roman Regular" w:hAnsi="Times New Roman Regular" w:eastAsia="宋体" w:cs="Times New Roman Regular"/>
          <w:b w:val="0"/>
          <w:bCs/>
          <w:color w:val="auto"/>
          <w:kern w:val="2"/>
          <w:sz w:val="21"/>
          <w:szCs w:val="24"/>
          <w:lang w:val="en-US" w:eastAsia="zh-CN" w:bidi="ar-SA"/>
        </w:rPr>
      </w:pPr>
      <w:r>
        <w:rPr>
          <w:rFonts w:hint="default" w:ascii="Times New Roman Bold" w:hAnsi="Times New Roman Bold" w:eastAsia="宋体" w:cs="Times New Roman Bold"/>
          <w:b/>
          <w:bCs w:val="0"/>
          <w:color w:val="auto"/>
          <w:kern w:val="2"/>
          <w:sz w:val="21"/>
          <w:szCs w:val="24"/>
          <w:lang w:val="en-US" w:eastAsia="zh-CN" w:bidi="ar-SA"/>
        </w:rPr>
        <w:t>Quality control and robustness checks</w:t>
      </w:r>
    </w:p>
    <w:p w14:paraId="52784E6E">
      <w:pPr>
        <w:pStyle w:val="8"/>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r>
        <w:rPr>
          <w:rFonts w:hint="default" w:ascii="Times New Roman Regular" w:hAnsi="Times New Roman Regular" w:eastAsia="宋体" w:cs="Times New Roman Regular"/>
          <w:b w:val="0"/>
          <w:color w:val="auto"/>
          <w:kern w:val="2"/>
          <w:sz w:val="21"/>
          <w:szCs w:val="24"/>
          <w:lang w:val="en-US" w:eastAsia="zh-CN" w:bidi="ar-SA"/>
        </w:rPr>
        <w:t>The following quality control and robustness procedures were performed or recommended: completeness check of DTI images, b-value files, and b-vector files; visual inspection after motion and eddy-current correction; inspection of brain extraction masks; inspection of FA registration to standard space; inspection of TBSS skeleton projection; comparison of head-motion estimates across groups; comparison of unadjusted and covariate-adjusted models; anatomical localization using JHU tract-level ROI analysis; and cautious interpretation of DTI directionality, avoiding terms such as improved white-matter integrity when FA was higher or MD was lower.</w:t>
      </w:r>
    </w:p>
    <w:p w14:paraId="77AA8F68">
      <w:pPr>
        <w:pStyle w:val="9"/>
        <w:keepNext w:val="0"/>
        <w:keepLines w:val="0"/>
        <w:widowControl/>
        <w:suppressLineNumbers w:val="0"/>
        <w:rPr>
          <w:rFonts w:hint="default" w:ascii="Times New Roman Regular" w:hAnsi="Times New Roman Regular" w:eastAsia="宋体" w:cs="Times New Roman Regular"/>
          <w:b w:val="0"/>
          <w:color w:val="auto"/>
          <w:kern w:val="2"/>
          <w:sz w:val="21"/>
          <w:szCs w:val="24"/>
          <w:lang w:val="en-US" w:eastAsia="zh-CN" w:bidi="ar-SA"/>
        </w:rPr>
      </w:pPr>
    </w:p>
    <w:p w14:paraId="24D04DDE">
      <w:pPr>
        <w:rPr>
          <w:rFonts w:hint="default" w:ascii="Times New Roman Regular" w:hAnsi="Times New Roman Regular" w:cs="Times New Roman Regular"/>
          <w:b w:val="0"/>
        </w:rPr>
      </w:pPr>
    </w:p>
    <w:p w14:paraId="0CADFC22">
      <w:pPr>
        <w:rPr>
          <w:rFonts w:hint="default" w:ascii="Times New Roman Regular" w:hAnsi="Times New Roman Regular" w:cs="Times New Roman Regular"/>
          <w:b w:val="0"/>
        </w:rPr>
      </w:pPr>
    </w:p>
    <w:p w14:paraId="68AAB471">
      <w:pPr>
        <w:pStyle w:val="3"/>
        <w:rPr>
          <w:rFonts w:hint="default" w:ascii="Times New Roman Regular" w:hAnsi="Times New Roman Regular" w:cs="Times New Roman Regular"/>
          <w:b/>
          <w:bCs/>
        </w:rPr>
      </w:pPr>
      <w:r>
        <w:rPr>
          <w:rFonts w:hint="default" w:ascii="Times New Roman Regular" w:hAnsi="Times New Roman Regular" w:cs="Times New Roman Regular"/>
          <w:b/>
          <w:bCs/>
        </w:rPr>
        <w:t>Supplementary Methods: DSI Studio Processing for DTI-ALPS Analysis</w:t>
      </w:r>
    </w:p>
    <w:p w14:paraId="422C1793">
      <w:pPr>
        <w:pStyle w:val="3"/>
        <w:rPr>
          <w:rFonts w:hint="default" w:ascii="Times New Roman Regular" w:hAnsi="Times New Roman Regular" w:cs="Times New Roman Regular"/>
        </w:rPr>
      </w:pPr>
    </w:p>
    <w:p w14:paraId="4560B43D">
      <w:pPr>
        <w:pStyle w:val="3"/>
        <w:rPr>
          <w:rFonts w:hint="default" w:ascii="Times New Roman Regular" w:hAnsi="Times New Roman Regular" w:cs="Times New Roman Regular"/>
        </w:rPr>
      </w:pPr>
      <w:r>
        <w:rPr>
          <w:rFonts w:hint="default" w:ascii="Times New Roman Regular" w:hAnsi="Times New Roman Regular" w:cs="Times New Roman Regular"/>
          <w:b/>
          <w:bCs/>
        </w:rPr>
        <w:t>Overview</w:t>
      </w:r>
    </w:p>
    <w:p w14:paraId="48CE5227">
      <w:pPr>
        <w:pStyle w:val="3"/>
        <w:rPr>
          <w:rFonts w:hint="default" w:ascii="Times New Roman Regular" w:hAnsi="Times New Roman Regular" w:cs="Times New Roman Regular"/>
        </w:rPr>
      </w:pPr>
      <w:r>
        <w:rPr>
          <w:rFonts w:hint="default" w:ascii="Times New Roman Regular" w:hAnsi="Times New Roman Regular" w:cs="Times New Roman Regular"/>
        </w:rPr>
        <w:t>Diffusion tensor image analysis along the perivascular space (DTI-ALPS) was performed to estimate diffusivity along the direction of perivascular spaces at the level of the lateral ventricular body. The method is based on the observation that medullary veins and their surrounding perivascular spaces run predominantly in the left-right direction at this level, whereas projection fibers and association fibers run mainly in directions perpendicular to the perivascular space. DTI-ALPS therefore uses directional diffusivity values from projection-fiber and association-fiber regions to calculate an index reflecting water diffusivity along the perivascular space. DTI preprocessing, tensor reconstruction, directional diffusivity map generation, and ROI-based diffusivity extraction were performed using DSI Studio.</w:t>
      </w:r>
    </w:p>
    <w:p w14:paraId="4CE3F603">
      <w:pPr>
        <w:pStyle w:val="3"/>
        <w:rPr>
          <w:rFonts w:hint="default" w:ascii="Times New Roman Regular" w:hAnsi="Times New Roman Regular" w:cs="Times New Roman Regular"/>
        </w:rPr>
      </w:pPr>
    </w:p>
    <w:p w14:paraId="05C81968">
      <w:pPr>
        <w:pStyle w:val="3"/>
        <w:rPr>
          <w:rFonts w:hint="default" w:ascii="Times New Roman Regular" w:hAnsi="Times New Roman Regular" w:cs="Times New Roman Regular"/>
          <w:b/>
          <w:bCs/>
        </w:rPr>
      </w:pPr>
      <w:r>
        <w:rPr>
          <w:rFonts w:hint="default" w:ascii="Times New Roman Regular" w:hAnsi="Times New Roman Regular" w:cs="Times New Roman Regular"/>
          <w:b/>
          <w:bCs/>
        </w:rPr>
        <w:t>Input data preparation</w:t>
      </w:r>
    </w:p>
    <w:p w14:paraId="1C51ADF0">
      <w:pPr>
        <w:pStyle w:val="3"/>
        <w:rPr>
          <w:rFonts w:hint="default" w:ascii="Times New Roman Regular" w:hAnsi="Times New Roman Regular" w:cs="Times New Roman Regular"/>
        </w:rPr>
      </w:pPr>
      <w:r>
        <w:rPr>
          <w:rFonts w:hint="default" w:ascii="Times New Roman Regular" w:hAnsi="Times New Roman Regular" w:cs="Times New Roman Regular"/>
        </w:rPr>
        <w:t>For each participant, diffusion-weighted images were first checked for completeness, including raw diffusion images, b-value information, b-vector information, and acquisition metadata. When raw data were available in DICOM format, the DICOM files were converted to NIfTI format with corresponding b-value and b-vector files. The converted NIfTI diffusion data were then imported into DSI Studio and converted to DSI Studio SRC format. In command-line workflows, this step can be performed using DSI Studio's source-generation function, for example: dsi_studio --action=src --source=subject_dwi.nii.gz --bval=subject.bval --bvec=subject.bvec. When data were organized in BIDS format, the BIDS diffusion folder was parsed directly to generate SRC files.</w:t>
      </w:r>
    </w:p>
    <w:p w14:paraId="56E0EF09">
      <w:pPr>
        <w:pStyle w:val="3"/>
        <w:rPr>
          <w:rFonts w:hint="default" w:ascii="Times New Roman Regular" w:hAnsi="Times New Roman Regular" w:cs="Times New Roman Regular"/>
        </w:rPr>
      </w:pPr>
    </w:p>
    <w:p w14:paraId="3EC7FBBB">
      <w:pPr>
        <w:pStyle w:val="3"/>
        <w:rPr>
          <w:rFonts w:hint="default" w:ascii="Times New Roman Regular" w:hAnsi="Times New Roman Regular" w:cs="Times New Roman Regular"/>
        </w:rPr>
      </w:pPr>
      <w:r>
        <w:rPr>
          <w:rFonts w:hint="default" w:ascii="Times New Roman Regular" w:hAnsi="Times New Roman Regular" w:cs="Times New Roman Regular"/>
          <w:b/>
          <w:bCs/>
        </w:rPr>
        <w:t>Initial quality control</w:t>
      </w:r>
    </w:p>
    <w:p w14:paraId="5EC0E2F2">
      <w:pPr>
        <w:pStyle w:val="3"/>
        <w:rPr>
          <w:rFonts w:hint="default" w:ascii="Times New Roman Regular" w:hAnsi="Times New Roman Regular" w:cs="Times New Roman Regular"/>
        </w:rPr>
      </w:pPr>
      <w:r>
        <w:rPr>
          <w:rFonts w:hint="default" w:ascii="Times New Roman Regular" w:hAnsi="Times New Roman Regular" w:cs="Times New Roman Regular"/>
        </w:rPr>
        <w:t>Before reconstruction, all SRC files were visually inspected in DSI Studio. The raw diffusion volumes were reviewed for severe motion, signal dropout, slice artifacts, susceptibility distortion, incomplete brain coverage, and abnormal image orientation. The b-table was inspected for consistency, because incorrect b-vector orientation can lead to incorrect fiber direction estimation and erroneous DTI-ALPS values. DSI Studio quality-control outputs, including neighboring DWI correlation, diffusion contrast, b-table consistency, and low-quality outlier warnings, were reviewed when available. Subjects with uncorrectable severe artifacts or failed image orientation were excluded from subsequent analysis or flagged for sensitivity analysis.</w:t>
      </w:r>
    </w:p>
    <w:p w14:paraId="0EF4553D">
      <w:pPr>
        <w:pStyle w:val="3"/>
        <w:rPr>
          <w:rFonts w:hint="default" w:ascii="Times New Roman Regular" w:hAnsi="Times New Roman Regular" w:cs="Times New Roman Regular"/>
        </w:rPr>
      </w:pPr>
    </w:p>
    <w:p w14:paraId="78A95C71">
      <w:pPr>
        <w:pStyle w:val="3"/>
        <w:rPr>
          <w:rFonts w:hint="default" w:ascii="Times New Roman Regular" w:hAnsi="Times New Roman Regular" w:cs="Times New Roman Regular"/>
        </w:rPr>
      </w:pPr>
      <w:r>
        <w:rPr>
          <w:rFonts w:hint="default" w:ascii="Times New Roman Regular" w:hAnsi="Times New Roman Regular" w:cs="Times New Roman Regular"/>
          <w:b/>
          <w:bCs/>
        </w:rPr>
        <w:t>Motion, eddy-current, and distortion correction</w:t>
      </w:r>
    </w:p>
    <w:p w14:paraId="755F97C5">
      <w:pPr>
        <w:pStyle w:val="3"/>
        <w:rPr>
          <w:rFonts w:hint="default" w:ascii="Times New Roman Regular" w:hAnsi="Times New Roman Regular" w:cs="Times New Roman Regular"/>
        </w:rPr>
      </w:pPr>
      <w:r>
        <w:rPr>
          <w:rFonts w:hint="default" w:ascii="Times New Roman Regular" w:hAnsi="Times New Roman Regular" w:cs="Times New Roman Regular"/>
        </w:rPr>
        <w:t>Diffusion data were corrected for eddy-current distortion and subject head motion before tensor reconstruction. When reverse phase-encoding b0 images were available, TOPUP followed by EDDY correction was applied in DSI Studio. When reverse phase-encoding data were unavailable, EDDY or motion correction was applied as appropriate for the acquisition. Motion correction aligned diffusion volumes to the reference b0 image and rotated the diffusion gradient table accordingly. The same correction strategy was applied consistently across participants to avoid introducing group-specific preprocessing differences. After correction, the corrected diffusion volumes were again inspected to confirm adequate alignment and absence of gross residual artifacts.</w:t>
      </w:r>
    </w:p>
    <w:p w14:paraId="5A14931F">
      <w:pPr>
        <w:pStyle w:val="3"/>
        <w:rPr>
          <w:rFonts w:hint="default" w:ascii="Times New Roman Regular" w:hAnsi="Times New Roman Regular" w:cs="Times New Roman Regular"/>
        </w:rPr>
      </w:pPr>
    </w:p>
    <w:p w14:paraId="07FC288A">
      <w:pPr>
        <w:pStyle w:val="3"/>
        <w:rPr>
          <w:rFonts w:hint="default" w:ascii="Times New Roman Regular" w:hAnsi="Times New Roman Regular" w:cs="Times New Roman Regular"/>
        </w:rPr>
      </w:pPr>
      <w:r>
        <w:rPr>
          <w:rFonts w:hint="default" w:ascii="Times New Roman Regular" w:hAnsi="Times New Roman Regular" w:cs="Times New Roman Regular"/>
          <w:b/>
          <w:bCs/>
        </w:rPr>
        <w:t>Brain mask generation</w:t>
      </w:r>
    </w:p>
    <w:p w14:paraId="0259F77F">
      <w:pPr>
        <w:pStyle w:val="3"/>
        <w:rPr>
          <w:rFonts w:hint="default" w:ascii="Times New Roman Regular" w:hAnsi="Times New Roman Regular" w:cs="Times New Roman Regular"/>
        </w:rPr>
      </w:pPr>
      <w:r>
        <w:rPr>
          <w:rFonts w:hint="default" w:ascii="Times New Roman Regular" w:hAnsi="Times New Roman Regular" w:cs="Times New Roman Regular"/>
        </w:rPr>
        <w:t>A brain mask was generated for each corrected diffusion dataset in DSI Studio. Mask generation was based on the b0 or diffusion-sum image and refined using thresholding, smoothing, defragmentation, dilation, or erosion when necessary. The mask was visually inspected slice by slice to ensure that brain tissue was included while non-brain tissue, skull, and background signal were excluded. When automatic masks were inaccurate, manual correction was performed. The final mask was applied during reconstruction to restrict tensor estimation to brain tissue and to improve the reliability of diffusivity measurements.</w:t>
      </w:r>
    </w:p>
    <w:p w14:paraId="1DB46CDF">
      <w:pPr>
        <w:pStyle w:val="3"/>
        <w:rPr>
          <w:rFonts w:hint="default" w:ascii="Times New Roman Regular" w:hAnsi="Times New Roman Regular" w:cs="Times New Roman Regular"/>
        </w:rPr>
      </w:pPr>
    </w:p>
    <w:p w14:paraId="63FEA310">
      <w:pPr>
        <w:pStyle w:val="3"/>
        <w:rPr>
          <w:rFonts w:hint="default" w:ascii="Times New Roman Regular" w:hAnsi="Times New Roman Regular" w:cs="Times New Roman Regular"/>
          <w:b/>
          <w:bCs/>
        </w:rPr>
      </w:pPr>
      <w:r>
        <w:rPr>
          <w:rFonts w:hint="default" w:ascii="Times New Roman Regular" w:hAnsi="Times New Roman Regular" w:cs="Times New Roman Regular"/>
          <w:b/>
          <w:bCs/>
        </w:rPr>
        <w:t>DTI reconstruction in DSI Studio</w:t>
      </w:r>
    </w:p>
    <w:p w14:paraId="7FC30208">
      <w:pPr>
        <w:pStyle w:val="3"/>
        <w:rPr>
          <w:rFonts w:hint="default" w:ascii="Times New Roman Regular" w:hAnsi="Times New Roman Regular" w:cs="Times New Roman Regular"/>
        </w:rPr>
      </w:pPr>
      <w:r>
        <w:rPr>
          <w:rFonts w:hint="default" w:ascii="Times New Roman Regular" w:hAnsi="Times New Roman Regular" w:cs="Times New Roman Regular"/>
        </w:rPr>
        <w:t>Corrected and masked diffusion data were reconstructed using the diffusion tensor imaging method in DSI Studio. The DTI reconstruction generated tensor-derived maps, including fractional anisotropy, color-coded FA, and directional diffusivity maps along the x-, y-, and z-axes. The x-axis corresponded to the left-right direction, the y-axis to the anterior-posterior direction, and the z-axis to the superior-inferior direction in the image coordinate system used for DTI-ALPS analysis. The directional diffusivity maps were denoted as Dxx, Dyy, and Dzz. These maps were used for ROI-based calculation of the DTI-ALPS index.</w:t>
      </w:r>
    </w:p>
    <w:p w14:paraId="209B5FD9">
      <w:pPr>
        <w:pStyle w:val="3"/>
        <w:rPr>
          <w:rFonts w:hint="default" w:ascii="Times New Roman Regular" w:hAnsi="Times New Roman Regular" w:cs="Times New Roman Regular"/>
        </w:rPr>
      </w:pPr>
    </w:p>
    <w:p w14:paraId="66B6CA90">
      <w:pPr>
        <w:pStyle w:val="3"/>
        <w:rPr>
          <w:rFonts w:hint="default" w:ascii="Times New Roman Regular" w:hAnsi="Times New Roman Regular" w:cs="Times New Roman Regular"/>
          <w:b/>
          <w:bCs/>
        </w:rPr>
      </w:pPr>
      <w:r>
        <w:rPr>
          <w:rFonts w:hint="default" w:ascii="Times New Roman Regular" w:hAnsi="Times New Roman Regular" w:cs="Times New Roman Regular"/>
          <w:b/>
          <w:bCs/>
        </w:rPr>
        <w:t>Anatomical level for ROI placement</w:t>
      </w:r>
    </w:p>
    <w:p w14:paraId="074B5D61">
      <w:pPr>
        <w:pStyle w:val="3"/>
        <w:rPr>
          <w:rFonts w:hint="default" w:ascii="Times New Roman Regular" w:hAnsi="Times New Roman Regular" w:cs="Times New Roman Regular"/>
        </w:rPr>
      </w:pPr>
      <w:r>
        <w:rPr>
          <w:rFonts w:hint="default" w:ascii="Times New Roman Regular" w:hAnsi="Times New Roman Regular" w:cs="Times New Roman Regular"/>
        </w:rPr>
        <w:t>ROI placement was performed on the axial slice at the level of the body of the lateral ventricles, where projection fibers, association fibers, and subcortical fibers can be visually distinguished on the color-coded FA map. At this level, projection fibers are primarily oriented in the superior-inferior direction and appear blue on the color-coded FA map, whereas association fibers are primarily oriented in the anterior-posterior direction and appear green. The perivascular space along deep medullary veins is assumed to run predominantly in the left-right direction, corresponding to the x-axis.</w:t>
      </w:r>
    </w:p>
    <w:p w14:paraId="223BE2FB">
      <w:pPr>
        <w:pStyle w:val="3"/>
        <w:rPr>
          <w:rFonts w:hint="default" w:ascii="Times New Roman Regular" w:hAnsi="Times New Roman Regular" w:cs="Times New Roman Regular"/>
        </w:rPr>
      </w:pPr>
    </w:p>
    <w:p w14:paraId="7C8E8908">
      <w:pPr>
        <w:pStyle w:val="3"/>
        <w:rPr>
          <w:rFonts w:hint="default" w:ascii="Times New Roman Regular" w:hAnsi="Times New Roman Regular" w:cs="Times New Roman Regular"/>
        </w:rPr>
      </w:pPr>
      <w:r>
        <w:rPr>
          <w:rFonts w:hint="default" w:ascii="Times New Roman Regular" w:hAnsi="Times New Roman Regular" w:cs="Times New Roman Regular"/>
          <w:b/>
          <w:bCs/>
        </w:rPr>
        <w:t>ROI definition</w:t>
      </w:r>
    </w:p>
    <w:p w14:paraId="22EF5D6C">
      <w:pPr>
        <w:pStyle w:val="3"/>
        <w:rPr>
          <w:rFonts w:hint="default" w:ascii="Times New Roman Regular" w:hAnsi="Times New Roman Regular" w:cs="Times New Roman Regular"/>
        </w:rPr>
      </w:pPr>
      <w:r>
        <w:rPr>
          <w:rFonts w:hint="default" w:ascii="Times New Roman Regular" w:hAnsi="Times New Roman Regular" w:cs="Times New Roman Regular"/>
        </w:rPr>
        <w:t>For each hemisphere, two ROIs were placed: one in the projection-fiber region and one in the association-fiber region. The projection-fiber ROI was placed in the superior corona radiata region, where projection fibers are dominant. The association-fiber ROI was placed in the superior longitudinal fasciculus region, where association fibers are dominant. ROIs were placed using the color-coded FA map as an anatomical guide and were checked against the Dxx, Dyy, and Dzz maps. The ROIs were kept within white matter and were placed away from the lateral ventricles, cerebrospinal fluid, cortical gray matter, visible lesions, and regions with severe partial-volume contamination.</w:t>
      </w:r>
    </w:p>
    <w:p w14:paraId="32A728CE">
      <w:pPr>
        <w:pStyle w:val="3"/>
        <w:rPr>
          <w:rFonts w:hint="default" w:ascii="Times New Roman Regular" w:hAnsi="Times New Roman Regular" w:cs="Times New Roman Regular"/>
        </w:rPr>
      </w:pPr>
    </w:p>
    <w:p w14:paraId="652B4988">
      <w:pPr>
        <w:pStyle w:val="3"/>
        <w:rPr>
          <w:rFonts w:hint="default" w:ascii="Times New Roman Regular" w:hAnsi="Times New Roman Regular" w:cs="Times New Roman Regular"/>
        </w:rPr>
      </w:pPr>
      <w:r>
        <w:rPr>
          <w:rFonts w:hint="default" w:ascii="Times New Roman Regular" w:hAnsi="Times New Roman Regular" w:cs="Times New Roman Regular"/>
        </w:rPr>
        <w:t>Depending on image resolution, either small spherical ROIs with a radius of approximately 3 mm or rectangular 3 x 3 voxel ROIs were used. The same ROI size and placement rule were applied consistently across participants. For bilateral analysis, left projection, left association, right projection, and right association ROIs were defined separately. ROI placement was performed by an investigator blinded to clinical group whenever possible. A second rater or repeated measurement was used to assess reproducibility when available.</w:t>
      </w:r>
    </w:p>
    <w:p w14:paraId="4C33C173">
      <w:pPr>
        <w:pStyle w:val="3"/>
        <w:rPr>
          <w:rFonts w:hint="default" w:ascii="Times New Roman Regular" w:hAnsi="Times New Roman Regular" w:cs="Times New Roman Regular"/>
        </w:rPr>
      </w:pPr>
    </w:p>
    <w:p w14:paraId="6C296848">
      <w:pPr>
        <w:pStyle w:val="3"/>
        <w:rPr>
          <w:rFonts w:hint="default" w:ascii="Times New Roman Regular" w:hAnsi="Times New Roman Regular" w:cs="Times New Roman Regular"/>
        </w:rPr>
      </w:pPr>
      <w:r>
        <w:rPr>
          <w:rFonts w:hint="default" w:ascii="Times New Roman Regular" w:hAnsi="Times New Roman Regular" w:cs="Times New Roman Regular"/>
          <w:b/>
          <w:bCs/>
        </w:rPr>
        <w:t>Directional diffusivity extraction</w:t>
      </w:r>
    </w:p>
    <w:p w14:paraId="5701287B">
      <w:pPr>
        <w:pStyle w:val="3"/>
        <w:rPr>
          <w:rFonts w:hint="default" w:ascii="Times New Roman Regular" w:hAnsi="Times New Roman Regular" w:cs="Times New Roman Regular"/>
        </w:rPr>
      </w:pPr>
      <w:r>
        <w:rPr>
          <w:rFonts w:hint="default" w:ascii="Times New Roman Regular" w:hAnsi="Times New Roman Regular" w:cs="Times New Roman Regular"/>
        </w:rPr>
        <w:t>For each projection-fiber ROI, diffusivity values along the x-, y-, and z-axes were extracted from the Dxx, Dyy, and Dzz maps. These values were denoted as Dxxproj, Dyyproj, and Dzzproj. For each association-fiber ROI, the corresponding directional diffusivity values were extracted and denoted as Dxxassoc, Dyyassoc, and Dzzassoc. The DTI-ALPS calculation used the x-axis diffusivity in the projection-fiber ROI, the x-axis diffusivity in the association-fiber ROI, the y-axis diffusivity in the projection-fiber ROI, and the z-axis diffusivity in the association-fiber ROI.</w:t>
      </w:r>
    </w:p>
    <w:p w14:paraId="74CD1810">
      <w:pPr>
        <w:pStyle w:val="3"/>
        <w:rPr>
          <w:rFonts w:hint="default" w:ascii="Times New Roman Regular" w:hAnsi="Times New Roman Regular" w:cs="Times New Roman Regular"/>
        </w:rPr>
      </w:pPr>
    </w:p>
    <w:p w14:paraId="38B6A6EC">
      <w:pPr>
        <w:pStyle w:val="3"/>
        <w:rPr>
          <w:rFonts w:hint="default" w:ascii="Times New Roman Regular" w:hAnsi="Times New Roman Regular" w:cs="Times New Roman Regular"/>
        </w:rPr>
      </w:pPr>
      <w:r>
        <w:rPr>
          <w:rFonts w:hint="default" w:ascii="Times New Roman Regular" w:hAnsi="Times New Roman Regular" w:cs="Times New Roman Regular"/>
          <w:b/>
          <w:bCs/>
        </w:rPr>
        <w:t>DTI-ALPS index calculation</w:t>
      </w:r>
    </w:p>
    <w:p w14:paraId="1A315AA1">
      <w:pPr>
        <w:pStyle w:val="3"/>
        <w:rPr>
          <w:rFonts w:hint="default" w:ascii="Times New Roman Regular" w:hAnsi="Times New Roman Regular" w:cs="Times New Roman Regular"/>
        </w:rPr>
      </w:pPr>
      <w:r>
        <w:rPr>
          <w:rFonts w:hint="default" w:ascii="Times New Roman Regular" w:hAnsi="Times New Roman Regular" w:cs="Times New Roman Regular"/>
        </w:rPr>
        <w:t>The DTI-ALPS index was calculated according to the standard formula:</w:t>
      </w:r>
    </w:p>
    <w:p w14:paraId="6B6FD4A8">
      <w:pPr>
        <w:pStyle w:val="3"/>
        <w:rPr>
          <w:rFonts w:hint="default" w:ascii="Times New Roman Regular" w:hAnsi="Times New Roman Regular" w:cs="Times New Roman Regular"/>
        </w:rPr>
      </w:pPr>
    </w:p>
    <w:p w14:paraId="08C3829E">
      <w:pPr>
        <w:pStyle w:val="3"/>
        <w:rPr>
          <w:rFonts w:hint="default" w:ascii="Times New Roman Regular" w:hAnsi="Times New Roman Regular" w:cs="Times New Roman Regular"/>
        </w:rPr>
      </w:pPr>
      <w:r>
        <w:rPr>
          <w:rFonts w:hint="default" w:ascii="Times New Roman Regular" w:hAnsi="Times New Roman Regular" w:cs="Times New Roman Regular"/>
        </w:rPr>
        <w:t>ALPS index = mean(Dxxproj, Dxxassoc) / mean(Dyyproj, Dzzassoc)</w:t>
      </w:r>
    </w:p>
    <w:p w14:paraId="4D7DDC68">
      <w:pPr>
        <w:pStyle w:val="3"/>
        <w:rPr>
          <w:rFonts w:hint="default" w:ascii="Times New Roman Regular" w:hAnsi="Times New Roman Regular" w:cs="Times New Roman Regular"/>
        </w:rPr>
      </w:pPr>
    </w:p>
    <w:p w14:paraId="2DE5D219">
      <w:pPr>
        <w:pStyle w:val="3"/>
        <w:rPr>
          <w:rFonts w:hint="default" w:ascii="Times New Roman Regular" w:hAnsi="Times New Roman Regular" w:cs="Times New Roman Regular"/>
        </w:rPr>
      </w:pPr>
      <w:r>
        <w:rPr>
          <w:rFonts w:hint="default" w:ascii="Times New Roman Regular" w:hAnsi="Times New Roman Regular" w:cs="Times New Roman Regular"/>
        </w:rPr>
        <w:t>where Dxxproj represents diffusivity along the x-axis in the projection-fiber region, Dxxassoc represents diffusivity along the x-axis in the association-fiber region, Dyyproj represents diffusivity along the y-axis in the projection-fiber region, and Dzzassoc represents diffusivity along the z-axis in the association-fiber region. Separate left and right ALPS indices were calculated when bilateral ROIs were available. A bilateral ALPS index was then obtained by averaging the left and right ALPS indices. Lower ALPS values were interpreted as reduced diffusivity along the perivascular-space direction relative to diffusivity perpendicular to the dominant white-matter fibers.</w:t>
      </w:r>
    </w:p>
    <w:p w14:paraId="4D60E906">
      <w:pPr>
        <w:pStyle w:val="3"/>
        <w:rPr>
          <w:rFonts w:hint="default" w:ascii="Times New Roman Regular" w:hAnsi="Times New Roman Regular" w:cs="Times New Roman Regular"/>
        </w:rPr>
      </w:pPr>
    </w:p>
    <w:p w14:paraId="16FFEA5B">
      <w:pPr>
        <w:pStyle w:val="3"/>
        <w:rPr>
          <w:rFonts w:hint="default" w:ascii="Times New Roman Regular" w:hAnsi="Times New Roman Regular" w:cs="Times New Roman Regular"/>
          <w:b/>
          <w:bCs/>
        </w:rPr>
      </w:pPr>
      <w:r>
        <w:rPr>
          <w:rFonts w:hint="default" w:ascii="Times New Roman Regular" w:hAnsi="Times New Roman Regular" w:cs="Times New Roman Regular"/>
          <w:b/>
          <w:bCs/>
        </w:rPr>
        <w:t>ROI quality control</w:t>
      </w:r>
    </w:p>
    <w:p w14:paraId="452A05C5">
      <w:pPr>
        <w:pStyle w:val="3"/>
        <w:rPr>
          <w:rFonts w:hint="default" w:ascii="Times New Roman Regular" w:hAnsi="Times New Roman Regular" w:cs="Times New Roman Regular"/>
        </w:rPr>
      </w:pPr>
      <w:r>
        <w:rPr>
          <w:rFonts w:hint="default" w:ascii="Times New Roman Regular" w:hAnsi="Times New Roman Regular" w:cs="Times New Roman Regular"/>
        </w:rPr>
        <w:t>All ROIs were visually reviewed after placement. ROIs were excluded or repositioned if they overlapped cerebrospinal fluid, gray matter, infarcted tissue, hemorrhage, marked white-matter lesions, or regions with severe artifacts. The anatomical slice level was kept consistent across participants by identifying the lateral ventricular body and confirming the expected color-coded fiber orientations. For reproducibility, ROI coordinates, ROI size, extracted diffusivity values, and left, right, and mean ALPS indices were recorded for each participant.</w:t>
      </w:r>
    </w:p>
    <w:p w14:paraId="690017FD">
      <w:pPr>
        <w:pStyle w:val="3"/>
        <w:rPr>
          <w:rFonts w:hint="default" w:ascii="Times New Roman Regular" w:hAnsi="Times New Roman Regular" w:cs="Times New Roman Regular"/>
        </w:rPr>
      </w:pPr>
    </w:p>
    <w:p w14:paraId="44127D9E">
      <w:pPr>
        <w:pStyle w:val="3"/>
        <w:rPr>
          <w:rFonts w:hint="default" w:ascii="Times New Roman Regular" w:hAnsi="Times New Roman Regular" w:cs="Times New Roman Regular"/>
        </w:rPr>
      </w:pPr>
      <w:r>
        <w:rPr>
          <w:rFonts w:hint="default" w:ascii="Times New Roman Regular" w:hAnsi="Times New Roman Regular" w:cs="Times New Roman Regular"/>
          <w:b/>
          <w:bCs/>
        </w:rPr>
        <w:t>Statistical analysis of DTI-ALPS index</w:t>
      </w:r>
    </w:p>
    <w:p w14:paraId="6CD577D8">
      <w:pPr>
        <w:pStyle w:val="3"/>
        <w:rPr>
          <w:rFonts w:hint="default" w:ascii="Times New Roman Regular" w:hAnsi="Times New Roman Regular" w:cs="Times New Roman Regular"/>
        </w:rPr>
      </w:pPr>
      <w:r>
        <w:rPr>
          <w:rFonts w:hint="default" w:ascii="Times New Roman Regular" w:hAnsi="Times New Roman Regular" w:cs="Times New Roman Regular"/>
        </w:rPr>
        <w:t>The left, right, and mean DTI-ALPS indices were used for group-level statistical analysis. Group comparisons were performed between healthy controls, non-delirium patients, and delirium patients. The primary statistical model included group as the main variable of interest and adjusted for relevant covariates, including age, sex, and head-motion estimates. Additional clinical covariates, such as vascular risk factors, disease severity, inflammatory markers, or perioperative variables, were included in sensitivity analyses when available. Results were reported as group means, standard deviations or standard errors, effect estimates, confidence intervals, and p values. When multiple ALPS measures or multiple group contrasts were tested, false discovery rate correction was applied.</w:t>
      </w:r>
    </w:p>
    <w:p w14:paraId="69163A88">
      <w:pPr>
        <w:pStyle w:val="3"/>
        <w:rPr>
          <w:rFonts w:hint="default" w:ascii="Times New Roman Regular" w:hAnsi="Times New Roman Regular" w:cs="Times New Roman Regular"/>
        </w:rPr>
      </w:pPr>
    </w:p>
    <w:p w14:paraId="7BFE9258">
      <w:pPr>
        <w:pStyle w:val="3"/>
        <w:rPr>
          <w:rFonts w:hint="default" w:ascii="Times New Roman Regular" w:hAnsi="Times New Roman Regular" w:cs="Times New Roman Regular"/>
        </w:rPr>
      </w:pPr>
    </w:p>
    <w:p w14:paraId="6F846AAE">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Supplementary Methods: Basal Ganglia Perivascular Space Processing</w:t>
      </w:r>
    </w:p>
    <w:p w14:paraId="40D019AA">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7EDA6300">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This supplementary methods document describes the image processing workflow used to derive basal ganglia perivascular space burden from three dimensional T1 weighted MRI. The workflow uses the T1 PVS v4 mono modal model to generate native space PVS probability maps and binary masks, then restricts the automated PVS output to a bilateral basal ganglia region of interest for BG PVS quantification. The document also records the local model version, runtime environment, preprocessing code, quality control steps, and validation limitations relevant to this dataset.</w:t>
      </w:r>
    </w:p>
    <w:p w14:paraId="2A8EA569">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0389AC44">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Input MRI Data</w:t>
      </w:r>
    </w:p>
    <w:p w14:paraId="406E77FD">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The input for the automated PVS pipeline consisted of three dimensional brain extracted T1 weighted images in NIfTI format. Brain extraction had been completed before the T1 PVS v4 workflow. Images were processed in their subject specific native T1 space after conversion to the model input geometry for inference. </w:t>
      </w:r>
    </w:p>
    <w:p w14:paraId="32C506FF">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T1 PVS v4 Model</w:t>
      </w:r>
    </w:p>
    <w:p w14:paraId="0C81A3EC">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PVS segmentation was performed using the T1 PVS v4 mono modal model, a five fold ResUnet3D ensemble distributed in TensorFlow SavedModel format (https://github.com/pboutinaud/SHIVA_PVS). </w:t>
      </w:r>
    </w:p>
    <w:p w14:paraId="16F30B62">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385152D4">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 xml:space="preserve">Runtime Environment </w:t>
      </w:r>
    </w:p>
    <w:p w14:paraId="1C95B40F">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All image processing and inference were performed locally in Python. The runtime environment was Python 3.9.6 on macOS 26.5.1 with TensorFlow 2.17.1, Keras 3.10.0, NumPy 1.26.4, SciPy 1.13.1, NiBabel 5.3.3, scikit image 0.24.0, and pandas 2.3.3. </w:t>
      </w:r>
    </w:p>
    <w:p w14:paraId="758269AD">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41233921">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Image Preprocessing for Model Inference</w:t>
      </w:r>
    </w:p>
    <w:p w14:paraId="4CFE54EC">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Each brain extracted T1 weighted image was loaded with NiBabel and its native voxel dimensions and affine matrix were recorded.</w:t>
      </w:r>
    </w:p>
    <w:p w14:paraId="49DC5FC7">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Images were resampled when necessary to 1.0 mm isotropic resolution to match the model training resolution.</w:t>
      </w:r>
    </w:p>
    <w:p w14:paraId="564902A3">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Brain voxels were identified from the nonzero brain extracted image. The brain center was estimated from the nonzero voxel distribution.</w:t>
      </w:r>
    </w:p>
    <w:p w14:paraId="3B9FE789">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The image was crop padded around the brain center to the required T1 PVS v4 input size of 160 x 214 x 176 voxels.</w:t>
      </w:r>
    </w:p>
    <w:p w14:paraId="049A7321">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Intensity normalization was performed using brain voxels only. The lower bound was the brain voxel minimum and the upper bound was the 99th percentile of brain voxel intensity values. Values were min max scaled and clipped to the range 0 to 1.</w:t>
      </w:r>
    </w:p>
    <w:p w14:paraId="69759EE4">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A singleton channel dimension was added to create the mono modal model input with shape 160 x 214 x 176 x 1.</w:t>
      </w:r>
    </w:p>
    <w:p w14:paraId="584778D8">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7A206141">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Model Inference and Native Space Reconstruction</w:t>
      </w:r>
    </w:p>
    <w:p w14:paraId="50A76E03">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Each preprocessed T1 image was passed independently through the five fold T1 PVS v4 SavedModels. The five fold specific voxelwise probability outputs were averaged to produce a single probabilistic PVS map with values between 0 and 1. The averaged probability map was thresholded at 0.5 to generate a binary PVS mask. Both the probability map and the binary mask were restored from model space to the original native T1 image space using the crop padding metadata recorded during preprocessing. Native space outputs were saved as NIfTI files, including probability_originalspace.nii.gz and mask_originalspace.nii.gz files for each scan.</w:t>
      </w:r>
    </w:p>
    <w:p w14:paraId="1B491B1F">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1FB53F20">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Basal Ganglia Region of Interest Definition</w:t>
      </w:r>
    </w:p>
    <w:p w14:paraId="34B31C55">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BG PVS was defined as the subset of model derived PVS voxels located within a bilateral basal ganglia region of interest. The basal ganglia ROI should be generated in the same native T1 space as the restored PVS mask, either by propagating an atlas based basal ganglia label map to native T1 space or by using subject specific anatomical segmentation. The ROI should include the bilateral caudate nucleus, putamen, and globus pallidus. If the study protocol includes the nucleus accumbens as part of the basal ganglia definition, this label should be reported explicitly. Thalamic, cortical, cerebellar, and ventricular labels should be excluded unless a different anatomical definition is prespecified.</w:t>
      </w:r>
    </w:p>
    <w:p w14:paraId="3660DA36">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For atlas based ROI generation, the atlas to T1 transformation should be visually checked in every subject or in a prespecified QC subset. For subject specific segmentation, the segmentation labels should be inspected for gross failures, particularly in scans with motion, postoperative anatomical change, or incomplete brain extraction. The final BG ROI should be binarized and resampled to the native T1 grid using nearest neighbor interpolation before intersection with the PVS mask.</w:t>
      </w:r>
    </w:p>
    <w:p w14:paraId="20DEBC9C">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1C66F625">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BG PVS Mask Construction</w:t>
      </w:r>
    </w:p>
    <w:p w14:paraId="0F423FC4">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The native space binary PVS mask was multiplied by the native space bilateral BG ROI to create the BG restricted PVS mask.</w:t>
      </w:r>
    </w:p>
    <w:p w14:paraId="1EF2CD0B">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Components outside the BG ROI were excluded from BG PVS quantification.</w:t>
      </w:r>
    </w:p>
    <w:p w14:paraId="4ADB6BD5">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When a connected component crossed the BG boundary, the BG restricted voxel subset was retained for BG volume estimation. For component counting, the analysis should use one consistent prespecified rule: either count components after ROI restriction or count native space components whose centroid lies inside the BG ROI. The current implementation used connected component quantification after binary mask generation; if centroid based counting is selected, this should be stated explicitly in the statistical analysis plan.</w:t>
      </w:r>
    </w:p>
    <w:p w14:paraId="529627D1">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The same BG ROI definition, threshold, and counting rule were applied to all groups and time points.</w:t>
      </w:r>
    </w:p>
    <w:p w14:paraId="3880C2E0">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00D4F977">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BG PVS Quantification</w:t>
      </w:r>
    </w:p>
    <w:p w14:paraId="3875E6AB">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 xml:space="preserve">BG PVS burden was summarized using two complementary measures. First, BG PVS volume was calculated as the number of positive voxels in the BG restricted binary PVS mask multiplied by the native voxel volume. Second, BG PVS count was calculated as the number of three dimensional connected components in the BG restricted binary PVS mask, using 3D connectivity. Subject level tables retained the scan identifier, time point, voxel volume, probability summary statistics, BG PVS voxel count, BG PVS volume, and BG PVS connected component count. </w:t>
      </w:r>
    </w:p>
    <w:p w14:paraId="7DAFEEC5">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65121A69">
      <w:pPr>
        <w:pStyle w:val="8"/>
        <w:keepNext w:val="0"/>
        <w:keepLines w:val="0"/>
        <w:widowControl/>
        <w:suppressLineNumbers w:val="0"/>
        <w:spacing w:line="240" w:lineRule="auto"/>
        <w:rPr>
          <w:rFonts w:hint="default" w:ascii="Times New Roman Regular" w:hAnsi="Times New Roman Regular" w:eastAsia="宋体" w:cs="Times New Roman Regular"/>
          <w:b/>
          <w:bCs/>
          <w:color w:val="auto"/>
          <w:kern w:val="2"/>
          <w:sz w:val="21"/>
          <w:szCs w:val="24"/>
          <w:lang w:val="en-US" w:eastAsia="zh-CN" w:bidi="ar-SA"/>
        </w:rPr>
      </w:pPr>
      <w:r>
        <w:rPr>
          <w:rFonts w:hint="default" w:ascii="Times New Roman Regular" w:hAnsi="Times New Roman Regular" w:eastAsia="宋体" w:cs="Times New Roman Regular"/>
          <w:b/>
          <w:bCs/>
          <w:color w:val="auto"/>
          <w:kern w:val="2"/>
          <w:sz w:val="21"/>
          <w:szCs w:val="24"/>
          <w:lang w:val="en-US" w:eastAsia="zh-CN" w:bidi="ar-SA"/>
        </w:rPr>
        <w:t>Quality Control</w:t>
      </w:r>
    </w:p>
    <w:p w14:paraId="14CD694B">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r>
        <w:rPr>
          <w:rFonts w:hint="default" w:ascii="Times New Roman Regular" w:hAnsi="Times New Roman Regular" w:eastAsia="宋体" w:cs="Times New Roman Regular"/>
          <w:color w:val="auto"/>
          <w:kern w:val="2"/>
          <w:sz w:val="21"/>
          <w:szCs w:val="24"/>
          <w:lang w:val="en-US" w:eastAsia="zh-CN" w:bidi="ar-SA"/>
        </w:rPr>
        <w:t>Quality control was performed at four levels. First, preprocessing metadata were reviewed to confirm successful resampling, brain centering, crop padding, and intensity normalization. Second, native space reconstruction was checked by confirming that output probability and binary mask images had the expected original T1 image shape and affine geometry. Third, automated overlay images were inspected to verify plausible PVS localization and to identify gross artifacts, failed brain extraction, or spatial mismatch. Fourth, for BG PVS quantification, the basal ganglia ROI alignment should be checked against the native T1 image and against the native PVS mask before extracting regional metrics. Cases with severe motion, failed registration, failed segmentation, or obvious ROI misalignment should be flagged for exclusion or sensitivity analysis according to a prespecified QC rule.</w:t>
      </w:r>
    </w:p>
    <w:p w14:paraId="17B6B990">
      <w:pPr>
        <w:pStyle w:val="8"/>
        <w:keepNext w:val="0"/>
        <w:keepLines w:val="0"/>
        <w:widowControl/>
        <w:suppressLineNumbers w:val="0"/>
        <w:spacing w:line="240" w:lineRule="auto"/>
        <w:rPr>
          <w:rFonts w:hint="default" w:ascii="Times New Roman Regular" w:hAnsi="Times New Roman Regular" w:eastAsia="宋体" w:cs="Times New Roman Regular"/>
          <w:color w:val="auto"/>
          <w:kern w:val="2"/>
          <w:sz w:val="21"/>
          <w:szCs w:val="24"/>
          <w:lang w:val="en-US" w:eastAsia="zh-CN" w:bidi="ar-SA"/>
        </w:rPr>
      </w:pPr>
    </w:p>
    <w:p w14:paraId="3CBA6BC4">
      <w:pPr>
        <w:pStyle w:val="4"/>
        <w:rPr>
          <w:sz w:val="21"/>
          <w:szCs w:val="21"/>
        </w:rPr>
      </w:pPr>
      <w:r>
        <w:rPr>
          <w:sz w:val="21"/>
          <w:szCs w:val="21"/>
        </w:rPr>
        <w:t>Supplementary Methods</w:t>
      </w:r>
      <w:r>
        <w:rPr>
          <w:rFonts w:hint="default"/>
          <w:sz w:val="21"/>
          <w:szCs w:val="21"/>
          <w:lang w:val="en-US"/>
        </w:rPr>
        <w:t xml:space="preserve">: </w:t>
      </w:r>
      <w:r>
        <w:rPr>
          <w:sz w:val="21"/>
          <w:szCs w:val="21"/>
        </w:rPr>
        <w:t>Healthy control referenced imaging burden</w:t>
      </w:r>
    </w:p>
    <w:p w14:paraId="4CAB647D">
      <w:pPr>
        <w:pStyle w:val="2"/>
        <w:rPr>
          <w:sz w:val="21"/>
          <w:szCs w:val="21"/>
        </w:rPr>
      </w:pPr>
      <w:r>
        <w:rPr>
          <w:sz w:val="21"/>
          <w:szCs w:val="21"/>
        </w:rPr>
        <w:t>Reference sample and component measures</w:t>
      </w:r>
    </w:p>
    <w:p w14:paraId="6E6D6C26">
      <w:pPr>
        <w:keepLines/>
        <w:rPr>
          <w:sz w:val="21"/>
          <w:szCs w:val="21"/>
        </w:rPr>
      </w:pPr>
      <w:r>
        <w:rPr>
          <w:sz w:val="21"/>
          <w:szCs w:val="21"/>
        </w:rPr>
        <w:t>Healthy-control-referenced burden scores were constructed to express preoperative diffusion and perivascular imaging measures on a common scale and to summarise their directionally aligned deviations from an internal healthy reference. The reference sample comprised 32 healthy controls (HC). Scores were calculated for these controls and for 100 patients with Parkinson disease undergoing bilateral subthalamic nucleus deep brain stimulation, including 70 patients without postoperative delirium (POD) and 30 with POD. HC contributed to reference estimation and descriptive group comparisons, but were not surgical comparators or observations in POD prediction models.</w:t>
      </w:r>
    </w:p>
    <w:p w14:paraId="0C4AD8F9">
      <w:pPr>
        <w:keepLines/>
        <w:rPr>
          <w:sz w:val="21"/>
          <w:szCs w:val="21"/>
        </w:rPr>
      </w:pPr>
      <w:r>
        <w:rPr>
          <w:sz w:val="21"/>
          <w:szCs w:val="21"/>
        </w:rPr>
        <w:t>The diffusion feature set comprised fractional anisotropy (FA), mean diffusivity (MD) and radial diffusivity (RD) from six Johns Hopkins University tract families: anterior thalamic radiation, corticospinal tract, forceps minor, inferior fronto-occipital fasciculus, inferior longitudinal fasciculus and superior longitudinal fasciculus. Left and right values were averaged for bilateral tract families; midline forceps minor was represented by its single tract value. The perivascular feature set comprised the bilateral mean DTI analysis along the perivascular space (DTI-ALPS) index and basal ganglia enlarged perivascular space (BG-EPVS) count. Thus, the specified feature set contained 18 diffusion measures and two perivascular measures.</w:t>
      </w:r>
    </w:p>
    <w:p w14:paraId="27803FF7">
      <w:pPr>
        <w:pStyle w:val="2"/>
        <w:rPr>
          <w:sz w:val="21"/>
          <w:szCs w:val="21"/>
        </w:rPr>
      </w:pPr>
      <w:r>
        <w:rPr>
          <w:sz w:val="21"/>
          <w:szCs w:val="21"/>
        </w:rPr>
        <w:t>Marker specific reference regression</w:t>
      </w:r>
    </w:p>
    <w:p w14:paraId="541E6A2D">
      <w:pPr>
        <w:keepLines/>
      </w:pPr>
      <w:r>
        <w:t>A separate linear reference model was fitted in HC for each imaging marker, with age and sex as covariates. For diffusion measures, a marker was defined by one metric and one tract family. The same covariate specification was used for DTI-ALPS and BG-EPVS. For control participant h and marker j, the reference model was:</w:t>
      </w:r>
    </w:p>
    <w:p w14:paraId="0FEB02CA">
      <w:pPr>
        <w:keepLines/>
        <w:spacing w:before="80" w:after="160"/>
        <w:jc w:val="center"/>
      </w:pPr>
      <m:oMathPara>
        <m:oMath>
          <m:sSub>
            <m:sSubPr/>
            <m:e>
              <m:r>
                <m:rPr/>
                <m:t>x</m:t>
              </m:r>
            </m:e>
            <m:sub>
              <m:r>
                <m:rPr/>
                <m:t>hj</m:t>
              </m:r>
            </m:sub>
          </m:sSub>
          <m:r>
            <m:rPr/>
            <m:t xml:space="preserve"> = </m:t>
          </m:r>
          <m:sSub>
            <m:sSubPr/>
            <m:e>
              <m:r>
                <m:rPr/>
                <m:t>β</m:t>
              </m:r>
            </m:e>
            <m:sub>
              <m:r>
                <m:rPr/>
                <m:t>0j</m:t>
              </m:r>
            </m:sub>
          </m:sSub>
          <m:r>
            <m:rPr/>
            <m:t xml:space="preserve"> + </m:t>
          </m:r>
          <m:sSub>
            <m:sSubPr/>
            <m:e>
              <m:r>
                <m:rPr/>
                <m:t>β</m:t>
              </m:r>
            </m:e>
            <m:sub>
              <m:r>
                <m:rPr/>
                <m:t>age,j</m:t>
              </m:r>
            </m:sub>
          </m:sSub>
          <m:r>
            <m:rPr/>
            <m:t xml:space="preserve"> </m:t>
          </m:r>
          <m:sSub>
            <m:sSubPr/>
            <m:e>
              <m:r>
                <m:rPr/>
                <m:t>Age</m:t>
              </m:r>
            </m:e>
            <m:sub>
              <m:r>
                <m:rPr/>
                <m:t>h</m:t>
              </m:r>
            </m:sub>
          </m:sSub>
          <m:r>
            <m:rPr/>
            <m:t xml:space="preserve"> + </m:t>
          </m:r>
          <m:sSub>
            <m:sSubPr/>
            <m:e>
              <m:r>
                <m:rPr/>
                <m:t>β</m:t>
              </m:r>
            </m:e>
            <m:sub>
              <m:r>
                <m:rPr/>
                <m:t>sex,j</m:t>
              </m:r>
            </m:sub>
          </m:sSub>
          <m:r>
            <m:rPr/>
            <m:t xml:space="preserve"> </m:t>
          </m:r>
          <m:sSub>
            <m:sSubPr/>
            <m:e>
              <m:r>
                <m:rPr/>
                <m:t>Sex</m:t>
              </m:r>
            </m:e>
            <m:sub>
              <m:r>
                <m:rPr/>
                <m:t>h</m:t>
              </m:r>
            </m:sub>
          </m:sSub>
          <m:r>
            <m:rPr/>
            <m:t xml:space="preserve"> + </m:t>
          </m:r>
          <m:sSub>
            <m:sSubPr/>
            <m:e>
              <m:r>
                <m:rPr/>
                <m:t>ε</m:t>
              </m:r>
            </m:e>
            <m:sub>
              <m:r>
                <m:rPr/>
                <m:t>hj</m:t>
              </m:r>
            </m:sub>
          </m:sSub>
          <m:r>
            <m:rPr/>
            <m:t>,   h ∈ HC</m:t>
          </m:r>
        </m:oMath>
      </m:oMathPara>
    </w:p>
    <w:p w14:paraId="7F3E85A0">
      <w:pPr>
        <w:keepLines/>
      </w:pPr>
      <w:r>
        <w:t>Age was entered as a continuous variable and sex using the same binary coding throughout the analysis. The fitted intercept and age and sex coefficients were then used to calculate the expected value for every participant at that participant’s age and sex. TIV was not included in these diffusion and perivascular reference models. POD status, duration and severity were not predictors in the reference regressions.</w:t>
      </w:r>
    </w:p>
    <w:p w14:paraId="3A0A80E6">
      <w:pPr>
        <w:pStyle w:val="2"/>
        <w:rPr>
          <w:sz w:val="21"/>
          <w:szCs w:val="21"/>
        </w:rPr>
      </w:pPr>
      <w:r>
        <w:rPr>
          <w:sz w:val="21"/>
          <w:szCs w:val="21"/>
        </w:rPr>
        <w:t>Residual standardisation and direction harmonisation</w:t>
      </w:r>
    </w:p>
    <w:p w14:paraId="45A382B2">
      <w:pPr>
        <w:keepLines/>
      </w:pPr>
      <w:r>
        <w:rPr>
          <w:sz w:val="21"/>
          <w:szCs w:val="21"/>
        </w:rPr>
        <w:t>For participant i and marker j, the HC-model-predicted value wa</w:t>
      </w:r>
      <w:r>
        <w:t>s subtracted from the observed value. The residual was divided by the residual standard deviation estimated in HC for that marker:</w:t>
      </w:r>
    </w:p>
    <w:p w14:paraId="37EA65CE">
      <w:pPr>
        <w:keepLines/>
        <w:spacing w:before="80" w:after="160"/>
        <w:jc w:val="center"/>
      </w:pPr>
      <m:oMathPara>
        <m:oMath>
          <m:sSub>
            <m:sSubPr/>
            <m:e>
              <m:r>
                <m:rPr/>
                <m:t>z</m:t>
              </m:r>
            </m:e>
            <m:sub>
              <m:r>
                <m:rPr/>
                <m:t>ij</m:t>
              </m:r>
            </m:sub>
          </m:sSub>
          <m:r>
            <m:rPr/>
            <m:t xml:space="preserve"> = </m:t>
          </m:r>
          <m:f>
            <m:fPr/>
            <m:num>
              <m:sSub>
                <m:sSubPr/>
                <m:e>
                  <m:r>
                    <m:rPr/>
                    <m:t>x</m:t>
                  </m:r>
                </m:e>
                <m:sub>
                  <m:r>
                    <m:rPr/>
                    <m:t>ij</m:t>
                  </m:r>
                </m:sub>
              </m:sSub>
              <m:r>
                <m:rPr/>
                <m:t xml:space="preserve"> − </m:t>
              </m:r>
              <m:sSub>
                <m:sSubPr/>
                <m:e>
                  <m:acc>
                    <m:accPr/>
                    <m:e>
                      <m:r>
                        <m:rPr/>
                        <m:t>x</m:t>
                      </m:r>
                    </m:e>
                  </m:acc>
                </m:e>
                <m:sub>
                  <m:r>
                    <m:rPr/>
                    <m:t>ij</m:t>
                  </m:r>
                </m:sub>
              </m:sSub>
            </m:num>
            <m:den>
              <m:sSub>
                <m:sSubPr/>
                <m:e>
                  <m:r>
                    <m:rPr/>
                    <m:t>s</m:t>
                  </m:r>
                </m:e>
                <m:sub>
                  <m:r>
                    <m:rPr/>
                    <m:t>j</m:t>
                  </m:r>
                </m:sub>
              </m:sSub>
            </m:den>
          </m:f>
        </m:oMath>
      </m:oMathPara>
    </w:p>
    <w:p w14:paraId="3588955B">
      <w:pPr>
        <w:keepLines/>
      </w:pPr>
      <w:r>
        <w:t>Here, x̂ij denotes the prediction from the HC reference model and sj denotes its HC-derived residual standard deviation. The marker-specific coefficients and residual scales were applied unchanged to all participants, without refitting in either patient group or in the pooled sample. This procedure adjusts the reference expectation for age and sex while retaining patient deviations from that expectation.</w:t>
      </w:r>
    </w:p>
    <w:p w14:paraId="62D30BD8">
      <w:pPr>
        <w:keepLines/>
      </w:pPr>
      <w:r>
        <w:t>Marker directions were harmonised so that higher values consistently denoted greater abnormality in the designated adverse direction:</w:t>
      </w:r>
    </w:p>
    <w:p w14:paraId="299B7927">
      <w:pPr>
        <w:keepLines/>
        <w:spacing w:before="80" w:after="160"/>
        <w:jc w:val="center"/>
      </w:pPr>
      <m:oMathPara>
        <m:oMath>
          <m:sSubSup>
            <m:sSubSupPr/>
            <m:e>
              <m:r>
                <m:rPr/>
                <m:t>z</m:t>
              </m:r>
            </m:e>
            <m:sub>
              <m:r>
                <m:rPr/>
                <m:t>ij</m:t>
              </m:r>
            </m:sub>
            <m:sup>
              <m:r>
                <m:rPr/>
                <m:t>∗</m:t>
              </m:r>
            </m:sup>
          </m:sSubSup>
          <m:r>
            <m:rPr/>
            <m:t xml:space="preserve"> = </m:t>
          </m:r>
          <m:sSub>
            <m:sSubPr/>
            <m:e>
              <m:r>
                <m:rPr/>
                <m:t>d</m:t>
              </m:r>
            </m:e>
            <m:sub>
              <m:r>
                <m:rPr/>
                <m:t>j</m:t>
              </m:r>
            </m:sub>
          </m:sSub>
          <m:r>
            <m:rPr/>
            <m:t xml:space="preserve"> </m:t>
          </m:r>
          <m:sSub>
            <m:sSubPr/>
            <m:e>
              <m:r>
                <m:rPr/>
                <m:t>z</m:t>
              </m:r>
            </m:e>
            <m:sub>
              <m:r>
                <m:rPr/>
                <m:t>ij</m:t>
              </m:r>
            </m:sub>
          </m:sSub>
        </m:oMath>
      </m:oMathPara>
    </w:p>
    <w:p w14:paraId="1DED2110">
      <w:pPr>
        <w:keepLines/>
      </w:pPr>
      <w:r>
        <w:t>The direction multiplier dj was −1 for FA and DTI-ALPS, and +1 for MD, RD and BG-EPVS. Consequently, lower-than-expected FA or DTI-ALPS and higher-than-expected MD, RD or BG-EPVS produced positive oriented scores. Negative scores represented deviations in the opposite direction. These signed scores were averaged directly in the definitions below; they were not converted to absolute deviations or counts of abnormal markers.</w:t>
      </w:r>
    </w:p>
    <w:p w14:paraId="31146BB3">
      <w:pPr>
        <w:pStyle w:val="2"/>
        <w:rPr>
          <w:sz w:val="21"/>
          <w:szCs w:val="21"/>
        </w:rPr>
      </w:pPr>
      <w:r>
        <w:rPr>
          <w:sz w:val="21"/>
          <w:szCs w:val="21"/>
        </w:rPr>
        <w:t>Diffusion burden</w:t>
      </w:r>
    </w:p>
    <w:p w14:paraId="50642C34">
      <w:pPr>
        <w:keepLines/>
      </w:pPr>
      <w:r>
        <w:rPr>
          <w:sz w:val="21"/>
          <w:szCs w:val="21"/>
        </w:rPr>
        <w:t>Directionally aligned score</w:t>
      </w:r>
      <w:r>
        <w:t>s were first averaged with equal weights across the six tract families separately for each diffusion metric. For participant i, metric m and tract family k, the metric-level score was:</w:t>
      </w:r>
    </w:p>
    <w:p w14:paraId="77F7954A">
      <w:pPr>
        <w:keepLines/>
        <w:spacing w:before="80" w:after="160"/>
        <w:jc w:val="center"/>
      </w:pPr>
      <m:oMathPara>
        <m:oMath>
          <m:sSub>
            <m:sSubPr/>
            <m:e>
              <m:r>
                <m:rPr/>
                <m:t>B</m:t>
              </m:r>
            </m:e>
            <m:sub>
              <m:r>
                <m:rPr/>
                <m:t>im</m:t>
              </m:r>
            </m:sub>
          </m:sSub>
          <m:r>
            <m:rPr/>
            <m:t xml:space="preserve"> = </m:t>
          </m:r>
          <m:f>
            <m:fPr/>
            <m:num>
              <m:r>
                <m:rPr/>
                <m:t>1</m:t>
              </m:r>
            </m:num>
            <m:den>
              <m:r>
                <m:rPr/>
                <m:t>6</m:t>
              </m:r>
            </m:den>
          </m:f>
          <m:r>
            <m:rPr/>
            <m:t xml:space="preserve"> </m:t>
          </m:r>
          <m:nary>
            <m:naryPr>
              <m:chr m:val="∑"/>
              <m:limLoc m:val="undOvr"/>
            </m:naryPr>
            <m:sub>
              <m:r>
                <m:rPr/>
                <m:t>k = 1</m:t>
              </m:r>
            </m:sub>
            <m:sup>
              <m:r>
                <m:rPr/>
                <m:t>6</m:t>
              </m:r>
            </m:sup>
            <m:e>
              <m:sSubSup>
                <m:sSubSupPr/>
                <m:e>
                  <m:r>
                    <m:rPr/>
                    <m:t>z</m:t>
                  </m:r>
                </m:e>
                <m:sub>
                  <m:r>
                    <m:rPr/>
                    <m:t>imk</m:t>
                  </m:r>
                </m:sub>
                <m:sup>
                  <m:r>
                    <m:rPr/>
                    <m:t>∗</m:t>
                  </m:r>
                </m:sup>
              </m:sSubSup>
            </m:e>
          </m:nary>
          <m:r>
            <m:rPr/>
            <m:t>,   m ∈ {FA, MD, RD}</m:t>
          </m:r>
        </m:oMath>
      </m:oMathPara>
    </w:p>
    <w:p w14:paraId="3A7828C2">
      <w:pPr>
        <w:keepLines/>
      </w:pPr>
      <w:r>
        <w:t>DTI burden was then calculated as the arithmetic mean of the three metric-level scores:</w:t>
      </w:r>
    </w:p>
    <w:p w14:paraId="1F49A5CB">
      <w:pPr>
        <w:keepLines/>
        <w:spacing w:before="80" w:after="160"/>
        <w:jc w:val="center"/>
      </w:pPr>
      <m:oMathPara>
        <m:oMath>
          <m:sSub>
            <m:sSubPr/>
            <m:e>
              <m:r>
                <m:rPr/>
                <m:t>D</m:t>
              </m:r>
            </m:e>
            <m:sub>
              <m:r>
                <m:rPr/>
                <m:t>i</m:t>
              </m:r>
            </m:sub>
          </m:sSub>
          <m:r>
            <m:rPr/>
            <m:t xml:space="preserve"> = </m:t>
          </m:r>
          <m:f>
            <m:fPr/>
            <m:num>
              <m:sSub>
                <m:sSubPr/>
                <m:e>
                  <m:r>
                    <m:rPr/>
                    <m:t>B</m:t>
                  </m:r>
                </m:e>
                <m:sub>
                  <m:r>
                    <m:rPr/>
                    <m:t>i,FA</m:t>
                  </m:r>
                </m:sub>
              </m:sSub>
              <m:r>
                <m:rPr/>
                <m:t xml:space="preserve"> + </m:t>
              </m:r>
              <m:sSub>
                <m:sSubPr/>
                <m:e>
                  <m:r>
                    <m:rPr/>
                    <m:t>B</m:t>
                  </m:r>
                </m:e>
                <m:sub>
                  <m:r>
                    <m:rPr/>
                    <m:t>i,MD</m:t>
                  </m:r>
                </m:sub>
              </m:sSub>
              <m:r>
                <m:rPr/>
                <m:t xml:space="preserve"> + </m:t>
              </m:r>
              <m:sSub>
                <m:sSubPr/>
                <m:e>
                  <m:r>
                    <m:rPr/>
                    <m:t>B</m:t>
                  </m:r>
                </m:e>
                <m:sub>
                  <m:r>
                    <m:rPr/>
                    <m:t>i,RD</m:t>
                  </m:r>
                </m:sub>
              </m:sSub>
            </m:num>
            <m:den>
              <m:r>
                <m:rPr/>
                <m:t>3</m:t>
              </m:r>
            </m:den>
          </m:f>
        </m:oMath>
      </m:oMathPara>
    </w:p>
    <w:p w14:paraId="48F881CD">
      <w:pPr>
        <w:keepLines/>
      </w:pPr>
      <w:r>
        <w:t>This hierarchy assigned equal weight to each metric and equal weight to each tract family within a metric. With six tract families for each metric, it is equivalent to averaging all 18 oriented tract–metric scores. Each tract–metric measure therefore contributed 1/18 of DTI burden. The voxel-count-weighted global FA, MD and RD summaries reported elsewhere were separate descriptive measures and were not substituted for these equal-weight tract averages.</w:t>
      </w:r>
    </w:p>
    <w:p w14:paraId="50ED7CD7">
      <w:pPr>
        <w:pStyle w:val="2"/>
        <w:rPr>
          <w:sz w:val="21"/>
          <w:szCs w:val="21"/>
        </w:rPr>
      </w:pPr>
      <w:r>
        <w:rPr>
          <w:sz w:val="21"/>
          <w:szCs w:val="21"/>
        </w:rPr>
        <w:t>Perivascular burden and combined burden</w:t>
      </w:r>
    </w:p>
    <w:p w14:paraId="0E23D6F3">
      <w:pPr>
        <w:keepLines/>
      </w:pPr>
      <w:r>
        <w:t>Perivascular burden was the arithmetic mean of the two directionally aligned perivascular scores:</w:t>
      </w:r>
    </w:p>
    <w:p w14:paraId="055DC4C9">
      <w:pPr>
        <w:keepLines/>
        <w:spacing w:before="80" w:after="160"/>
        <w:jc w:val="center"/>
      </w:pPr>
      <m:oMathPara>
        <m:oMath>
          <m:sSub>
            <m:sSubPr/>
            <m:e>
              <m:r>
                <m:rPr/>
                <m:t>P</m:t>
              </m:r>
            </m:e>
            <m:sub>
              <m:r>
                <m:rPr/>
                <m:t>i</m:t>
              </m:r>
            </m:sub>
          </m:sSub>
          <m:r>
            <m:rPr/>
            <m:t xml:space="preserve"> = </m:t>
          </m:r>
          <m:f>
            <m:fPr/>
            <m:num>
              <m:sSubSup>
                <m:sSubSupPr/>
                <m:e>
                  <m:r>
                    <m:rPr/>
                    <m:t>z</m:t>
                  </m:r>
                </m:e>
                <m:sub>
                  <m:r>
                    <m:rPr/>
                    <m:t>i,ALPS</m:t>
                  </m:r>
                </m:sub>
                <m:sup>
                  <m:r>
                    <m:rPr/>
                    <m:t>∗</m:t>
                  </m:r>
                </m:sup>
              </m:sSubSup>
              <m:r>
                <m:rPr/>
                <m:t xml:space="preserve"> + </m:t>
              </m:r>
              <m:sSubSup>
                <m:sSubSupPr/>
                <m:e>
                  <m:r>
                    <m:rPr/>
                    <m:t>z</m:t>
                  </m:r>
                </m:e>
                <m:sub>
                  <m:r>
                    <m:rPr/>
                    <m:t>i,EPVS</m:t>
                  </m:r>
                </m:sub>
                <m:sup>
                  <m:r>
                    <m:rPr/>
                    <m:t>∗</m:t>
                  </m:r>
                </m:sup>
              </m:sSubSup>
            </m:num>
            <m:den>
              <m:r>
                <m:rPr/>
                <m:t>2</m:t>
              </m:r>
            </m:den>
          </m:f>
        </m:oMath>
      </m:oMathPara>
    </w:p>
    <w:p w14:paraId="188AE137">
      <w:pPr>
        <w:keepLines/>
      </w:pPr>
      <w:r>
        <w:t>The primary combined diffusion-perivascular burden was the arithmetic mean of DTI burden and perivascular burden:</w:t>
      </w:r>
    </w:p>
    <w:p w14:paraId="16EF99BA">
      <w:pPr>
        <w:keepLines/>
        <w:spacing w:before="80" w:after="160"/>
        <w:jc w:val="center"/>
      </w:pPr>
      <m:oMathPara>
        <m:oMath>
          <m:sSub>
            <m:sSubPr/>
            <m:e>
              <m:r>
                <m:rPr/>
                <m:t>C</m:t>
              </m:r>
            </m:e>
            <m:sub>
              <m:r>
                <m:rPr/>
                <m:t>i</m:t>
              </m:r>
            </m:sub>
          </m:sSub>
          <m:r>
            <m:rPr/>
            <m:t xml:space="preserve"> = </m:t>
          </m:r>
          <m:f>
            <m:fPr/>
            <m:num>
              <m:sSub>
                <m:sSubPr/>
                <m:e>
                  <m:r>
                    <m:rPr/>
                    <m:t>D</m:t>
                  </m:r>
                </m:e>
                <m:sub>
                  <m:r>
                    <m:rPr/>
                    <m:t>i</m:t>
                  </m:r>
                </m:sub>
              </m:sSub>
              <m:r>
                <m:rPr/>
                <m:t xml:space="preserve"> + </m:t>
              </m:r>
              <m:sSub>
                <m:sSubPr/>
                <m:e>
                  <m:r>
                    <m:rPr/>
                    <m:t>P</m:t>
                  </m:r>
                </m:e>
                <m:sub>
                  <m:r>
                    <m:rPr/>
                    <m:t>i</m:t>
                  </m:r>
                </m:sub>
              </m:sSub>
            </m:num>
            <m:den>
              <m:r>
                <m:rPr/>
                <m:t>2</m:t>
              </m:r>
            </m:den>
          </m:f>
        </m:oMath>
      </m:oMathPara>
    </w:p>
    <w:p w14:paraId="20218D6D">
      <w:pPr>
        <w:keepLines/>
      </w:pPr>
      <w:r>
        <w:t>The two imaging domains therefore each contributed one-half of the combined score. Each individual diffusion tract–metric score contributed 1/36, whereas DTI-ALPS and BG-EPVS each contributed 1/4. These fixed arithmetic weights prevented the diffusion domain from receiving additional total weight solely because it contained more measurements. The weights were not estimated from associations with POD or selected to maximise predictive performance. Equal domain weighting does not imply that the domains are statistically independent or contribute equally to the observed variance of the score.</w:t>
      </w:r>
    </w:p>
    <w:tbl>
      <w:tblPr>
        <w:tblStyle w:val="5"/>
        <w:tblW w:w="0" w:type="auto"/>
        <w:tblInd w:w="0" w:type="dxa"/>
        <w:tblLayout w:type="fixed"/>
        <w:tblCellMar>
          <w:top w:w="0" w:type="dxa"/>
          <w:left w:w="108" w:type="dxa"/>
          <w:bottom w:w="0" w:type="dxa"/>
          <w:right w:w="108" w:type="dxa"/>
        </w:tblCellMar>
      </w:tblPr>
      <w:tblGrid>
        <w:gridCol w:w="3096"/>
        <w:gridCol w:w="936"/>
        <w:gridCol w:w="2448"/>
        <w:gridCol w:w="3168"/>
      </w:tblGrid>
      <w:tr w14:paraId="51F86685">
        <w:trPr>
          <w:cantSplit/>
          <w:tblHeader/>
        </w:trPr>
        <w:tc>
          <w:tcPr>
            <w:tcW w:w="3096"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7672C338">
            <w:pPr>
              <w:spacing w:before="80" w:after="80" w:line="240" w:lineRule="auto"/>
            </w:pPr>
            <w:r>
              <w:rPr>
                <w:b/>
                <w:sz w:val="20"/>
              </w:rPr>
              <w:t>Component</w:t>
            </w:r>
          </w:p>
        </w:tc>
        <w:tc>
          <w:tcPr>
            <w:tcW w:w="936"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13AFA30C">
            <w:pPr>
              <w:spacing w:before="80" w:after="80" w:line="240" w:lineRule="auto"/>
              <w:jc w:val="center"/>
            </w:pPr>
            <w:r>
              <w:rPr>
                <w:b/>
                <w:sz w:val="20"/>
              </w:rPr>
              <w:t>Number</w:t>
            </w:r>
          </w:p>
        </w:tc>
        <w:tc>
          <w:tcPr>
            <w:tcW w:w="2448"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4697B773">
            <w:pPr>
              <w:spacing w:before="80" w:after="80" w:line="240" w:lineRule="auto"/>
            </w:pPr>
            <w:r>
              <w:rPr>
                <w:b/>
                <w:sz w:val="20"/>
              </w:rPr>
              <w:t>Adverse direction</w:t>
            </w:r>
          </w:p>
        </w:tc>
        <w:tc>
          <w:tcPr>
            <w:tcW w:w="3168" w:type="dxa"/>
            <w:tcBorders>
              <w:top w:val="single" w:color="D9D9D9" w:sz="4" w:space="0"/>
              <w:left w:val="single" w:color="D9D9D9" w:sz="4" w:space="0"/>
              <w:bottom w:val="single" w:color="D9D9D9" w:sz="4" w:space="0"/>
              <w:right w:val="single" w:color="D9D9D9" w:sz="4" w:space="0"/>
            </w:tcBorders>
            <w:shd w:val="clear" w:color="auto" w:fill="EEEEEE"/>
            <w:tcMar>
              <w:top w:w="85" w:type="dxa"/>
              <w:left w:w="85" w:type="dxa"/>
              <w:bottom w:w="85" w:type="dxa"/>
              <w:right w:w="85" w:type="dxa"/>
            </w:tcMar>
            <w:vAlign w:val="center"/>
          </w:tcPr>
          <w:p w14:paraId="280D34CA">
            <w:pPr>
              <w:spacing w:before="80" w:after="80" w:line="240" w:lineRule="auto"/>
              <w:jc w:val="center"/>
            </w:pPr>
            <w:r>
              <w:rPr>
                <w:b/>
                <w:sz w:val="20"/>
              </w:rPr>
              <w:t>Weight in combined burden</w:t>
            </w:r>
          </w:p>
        </w:tc>
      </w:tr>
      <w:tr w14:paraId="54967DAF">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05A2EA0E">
            <w:pPr>
              <w:spacing w:before="80" w:after="80" w:line="240" w:lineRule="auto"/>
            </w:pPr>
            <w:r>
              <w:rPr>
                <w:b w:val="0"/>
                <w:sz w:val="20"/>
              </w:rPr>
              <w:t>FA tract measures</w:t>
            </w:r>
          </w:p>
        </w:tc>
        <w:tc>
          <w:tcPr>
            <w:tcW w:w="93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D394F36">
            <w:pPr>
              <w:spacing w:before="80" w:after="80" w:line="240" w:lineRule="auto"/>
              <w:jc w:val="center"/>
            </w:pPr>
            <w:r>
              <w:rPr>
                <w:b w:val="0"/>
                <w:sz w:val="20"/>
              </w:rPr>
              <w:t>6</w:t>
            </w:r>
          </w:p>
        </w:tc>
        <w:tc>
          <w:tcPr>
            <w:tcW w:w="244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23CAE05A">
            <w:pPr>
              <w:spacing w:before="80" w:after="80" w:line="240" w:lineRule="auto"/>
            </w:pPr>
            <w:r>
              <w:rPr>
                <w:b w:val="0"/>
                <w:sz w:val="20"/>
              </w:rPr>
              <w:t>Lower (sign reversed)</w:t>
            </w:r>
          </w:p>
        </w:tc>
        <w:tc>
          <w:tcPr>
            <w:tcW w:w="316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6F985DFF">
            <w:pPr>
              <w:spacing w:before="80" w:after="80" w:line="240" w:lineRule="auto"/>
              <w:jc w:val="center"/>
            </w:pPr>
            <w:r>
              <w:rPr>
                <w:b w:val="0"/>
                <w:sz w:val="20"/>
              </w:rPr>
              <w:t>1/36 per tract</w:t>
            </w:r>
          </w:p>
        </w:tc>
      </w:tr>
      <w:tr w14:paraId="790F3112">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2401BF2C">
            <w:pPr>
              <w:spacing w:before="80" w:after="80" w:line="240" w:lineRule="auto"/>
            </w:pPr>
            <w:r>
              <w:rPr>
                <w:b w:val="0"/>
                <w:sz w:val="20"/>
              </w:rPr>
              <w:t>MD tract measures</w:t>
            </w:r>
          </w:p>
        </w:tc>
        <w:tc>
          <w:tcPr>
            <w:tcW w:w="93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2EB2FB85">
            <w:pPr>
              <w:spacing w:before="80" w:after="80" w:line="240" w:lineRule="auto"/>
              <w:jc w:val="center"/>
            </w:pPr>
            <w:r>
              <w:rPr>
                <w:b w:val="0"/>
                <w:sz w:val="20"/>
              </w:rPr>
              <w:t>6</w:t>
            </w:r>
          </w:p>
        </w:tc>
        <w:tc>
          <w:tcPr>
            <w:tcW w:w="244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179A4FCF">
            <w:pPr>
              <w:spacing w:before="80" w:after="80" w:line="240" w:lineRule="auto"/>
            </w:pPr>
            <w:r>
              <w:rPr>
                <w:b w:val="0"/>
                <w:sz w:val="20"/>
              </w:rPr>
              <w:t>Higher</w:t>
            </w:r>
          </w:p>
        </w:tc>
        <w:tc>
          <w:tcPr>
            <w:tcW w:w="316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36BFA1E">
            <w:pPr>
              <w:spacing w:before="80" w:after="80" w:line="240" w:lineRule="auto"/>
              <w:jc w:val="center"/>
            </w:pPr>
            <w:r>
              <w:rPr>
                <w:b w:val="0"/>
                <w:sz w:val="20"/>
              </w:rPr>
              <w:t>1/36 per tract</w:t>
            </w:r>
          </w:p>
        </w:tc>
      </w:tr>
      <w:tr w14:paraId="459A14B8">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EB01E3F">
            <w:pPr>
              <w:spacing w:before="80" w:after="80" w:line="240" w:lineRule="auto"/>
            </w:pPr>
            <w:r>
              <w:rPr>
                <w:b w:val="0"/>
                <w:sz w:val="20"/>
              </w:rPr>
              <w:t>RD tract measures</w:t>
            </w:r>
          </w:p>
        </w:tc>
        <w:tc>
          <w:tcPr>
            <w:tcW w:w="93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7EE02F75">
            <w:pPr>
              <w:spacing w:before="80" w:after="80" w:line="240" w:lineRule="auto"/>
              <w:jc w:val="center"/>
            </w:pPr>
            <w:r>
              <w:rPr>
                <w:b w:val="0"/>
                <w:sz w:val="20"/>
              </w:rPr>
              <w:t>6</w:t>
            </w:r>
          </w:p>
        </w:tc>
        <w:tc>
          <w:tcPr>
            <w:tcW w:w="244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2987C9F3">
            <w:pPr>
              <w:spacing w:before="80" w:after="80" w:line="240" w:lineRule="auto"/>
            </w:pPr>
            <w:r>
              <w:rPr>
                <w:b w:val="0"/>
                <w:sz w:val="20"/>
              </w:rPr>
              <w:t>Higher</w:t>
            </w:r>
          </w:p>
        </w:tc>
        <w:tc>
          <w:tcPr>
            <w:tcW w:w="316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4D430736">
            <w:pPr>
              <w:spacing w:before="80" w:after="80" w:line="240" w:lineRule="auto"/>
              <w:jc w:val="center"/>
            </w:pPr>
            <w:r>
              <w:rPr>
                <w:b w:val="0"/>
                <w:sz w:val="20"/>
              </w:rPr>
              <w:t>1/36 per tract</w:t>
            </w:r>
          </w:p>
        </w:tc>
      </w:tr>
      <w:tr w14:paraId="50F016D7">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481B2877">
            <w:pPr>
              <w:spacing w:before="80" w:after="80" w:line="240" w:lineRule="auto"/>
            </w:pPr>
            <w:r>
              <w:rPr>
                <w:b w:val="0"/>
                <w:sz w:val="20"/>
              </w:rPr>
              <w:t>DTI-ALPS</w:t>
            </w:r>
          </w:p>
        </w:tc>
        <w:tc>
          <w:tcPr>
            <w:tcW w:w="93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6464300A">
            <w:pPr>
              <w:spacing w:before="80" w:after="80" w:line="240" w:lineRule="auto"/>
              <w:jc w:val="center"/>
            </w:pPr>
            <w:r>
              <w:rPr>
                <w:b w:val="0"/>
                <w:sz w:val="20"/>
              </w:rPr>
              <w:t>1</w:t>
            </w:r>
          </w:p>
        </w:tc>
        <w:tc>
          <w:tcPr>
            <w:tcW w:w="244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5B7027F7">
            <w:pPr>
              <w:spacing w:before="80" w:after="80" w:line="240" w:lineRule="auto"/>
            </w:pPr>
            <w:r>
              <w:rPr>
                <w:b w:val="0"/>
                <w:sz w:val="20"/>
              </w:rPr>
              <w:t>Lower (sign reversed)</w:t>
            </w:r>
          </w:p>
        </w:tc>
        <w:tc>
          <w:tcPr>
            <w:tcW w:w="316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1D33543F">
            <w:pPr>
              <w:spacing w:before="80" w:after="80" w:line="240" w:lineRule="auto"/>
              <w:jc w:val="center"/>
            </w:pPr>
            <w:r>
              <w:rPr>
                <w:b w:val="0"/>
                <w:sz w:val="20"/>
              </w:rPr>
              <w:t>1/4</w:t>
            </w:r>
          </w:p>
        </w:tc>
      </w:tr>
      <w:tr w14:paraId="78BAFC38">
        <w:trPr>
          <w:cantSplit/>
        </w:trPr>
        <w:tc>
          <w:tcPr>
            <w:tcW w:w="309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4E47DFC0">
            <w:pPr>
              <w:spacing w:before="80" w:after="80" w:line="240" w:lineRule="auto"/>
            </w:pPr>
            <w:r>
              <w:rPr>
                <w:b w:val="0"/>
                <w:sz w:val="20"/>
              </w:rPr>
              <w:t>BG-EPVS count</w:t>
            </w:r>
          </w:p>
        </w:tc>
        <w:tc>
          <w:tcPr>
            <w:tcW w:w="936"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1DBF8C97">
            <w:pPr>
              <w:spacing w:before="80" w:after="80" w:line="240" w:lineRule="auto"/>
              <w:jc w:val="center"/>
            </w:pPr>
            <w:r>
              <w:rPr>
                <w:b w:val="0"/>
                <w:sz w:val="20"/>
              </w:rPr>
              <w:t>1</w:t>
            </w:r>
          </w:p>
        </w:tc>
        <w:tc>
          <w:tcPr>
            <w:tcW w:w="244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78D5A765">
            <w:pPr>
              <w:spacing w:before="80" w:after="80" w:line="240" w:lineRule="auto"/>
            </w:pPr>
            <w:r>
              <w:rPr>
                <w:b w:val="0"/>
                <w:sz w:val="20"/>
              </w:rPr>
              <w:t>Higher</w:t>
            </w:r>
          </w:p>
        </w:tc>
        <w:tc>
          <w:tcPr>
            <w:tcW w:w="3168" w:type="dxa"/>
            <w:tcBorders>
              <w:top w:val="single" w:color="D9D9D9" w:sz="4" w:space="0"/>
              <w:left w:val="single" w:color="D9D9D9" w:sz="4" w:space="0"/>
              <w:bottom w:val="single" w:color="D9D9D9" w:sz="4" w:space="0"/>
              <w:right w:val="single" w:color="D9D9D9" w:sz="4" w:space="0"/>
            </w:tcBorders>
            <w:tcMar>
              <w:top w:w="85" w:type="dxa"/>
              <w:left w:w="85" w:type="dxa"/>
              <w:bottom w:w="85" w:type="dxa"/>
              <w:right w:w="85" w:type="dxa"/>
            </w:tcMar>
            <w:vAlign w:val="center"/>
          </w:tcPr>
          <w:p w14:paraId="661B8C82">
            <w:pPr>
              <w:spacing w:before="80" w:after="80" w:line="240" w:lineRule="auto"/>
              <w:jc w:val="center"/>
            </w:pPr>
            <w:r>
              <w:rPr>
                <w:b w:val="0"/>
                <w:sz w:val="20"/>
              </w:rPr>
              <w:t>1/4</w:t>
            </w:r>
          </w:p>
        </w:tc>
      </w:tr>
    </w:tbl>
    <w:p w14:paraId="408CC289">
      <w:pPr>
        <w:pStyle w:val="2"/>
        <w:rPr>
          <w:sz w:val="21"/>
          <w:szCs w:val="21"/>
        </w:rPr>
      </w:pPr>
      <w:r>
        <w:rPr>
          <w:sz w:val="21"/>
          <w:szCs w:val="21"/>
        </w:rPr>
        <w:t>Scale and interpretation</w:t>
      </w:r>
    </w:p>
    <w:p w14:paraId="2C961DBB">
      <w:pPr>
        <w:keepLines/>
        <w:rPr>
          <w:sz w:val="21"/>
          <w:szCs w:val="21"/>
        </w:rPr>
      </w:pPr>
      <w:r>
        <w:rPr>
          <w:sz w:val="21"/>
          <w:szCs w:val="21"/>
        </w:rPr>
        <w:t>The marker-level scores quantified deviations relative to HC residual variability after adjustment of the expected mean for age and sex. The domain and combined scores remained arithmetic averages on this HC-standardised residual scale. A one-unit increase in combined burden therefore represented a one-unit increase in the weighted mean of the oriented marker scores. It did not necessarily represent one standard deviation of the combined score itself, because averaging correlated markers does not preserve unit variance. No additional standardisation of the domain or combined means is part of these burden definitions.</w:t>
      </w:r>
    </w:p>
    <w:p w14:paraId="43673978">
      <w:pPr>
        <w:keepLines/>
        <w:rPr>
          <w:sz w:val="21"/>
          <w:szCs w:val="21"/>
        </w:rPr>
      </w:pPr>
      <w:r>
        <w:rPr>
          <w:sz w:val="21"/>
          <w:szCs w:val="21"/>
        </w:rPr>
        <w:t>A higher burden indicated a greater average deviation in the designated adverse directions. Scores were continuous and were not interpreted as probabilities of delirium, individual diagnostic thresholds, or direct measures of axonal pathology or brain clearance. Oppositely directed component deviations could offset one another within a domain or in the combined score; a value near zero did not require every component to be close to its HC expectation.</w:t>
      </w:r>
    </w:p>
    <w:p w14:paraId="2A9722E8">
      <w:pPr>
        <w:pStyle w:val="2"/>
        <w:rPr>
          <w:sz w:val="21"/>
          <w:szCs w:val="21"/>
        </w:rPr>
      </w:pPr>
      <w:r>
        <w:rPr>
          <w:sz w:val="21"/>
          <w:szCs w:val="21"/>
        </w:rPr>
        <w:t>Use in association and prediction analyses</w:t>
      </w:r>
    </w:p>
    <w:p w14:paraId="33B6DC50">
      <w:pPr>
        <w:keepLines/>
      </w:pPr>
      <w:r>
        <w:t>The combined score was the primary imaging exposure in patient-only analyses of POD occurrence. Its association with POD was evaluated using Firth penalised logistic regression adjusted for age, sex, education, Mini-Mental State Examination score, disease duration and motor severity measured with MDS-UPDRS Part III. Odds ratios were expressed per one-unit increase in combined burden, with clinical covariates adjusted in the outcome model. This clinical adjustment was distinct from the age- and sex-adjusted HC reference calibration.</w:t>
      </w:r>
    </w:p>
    <w:p w14:paraId="1725ECFD">
      <w:pPr>
        <w:keepLines/>
      </w:pPr>
      <w:r>
        <w:t>Secondary analyses examined component burdens and group differences, and related burden to delirium duration and peak Nu-DESC score among patients with POD. The same burden definitions were retained across these analyses. GMV measures were excluded from the primary burden because the representative GMV regions had been selected using whole-brain findings from the same cohort.</w:t>
      </w:r>
    </w:p>
    <w:p w14:paraId="1F07ECC4">
      <w:pPr>
        <w:keepLines/>
      </w:pPr>
      <w:r>
        <w:t>Exploratory internal prediction compared clinical variables alone with the same variables plus the combined burden in the 100 patients with PD. The HC-derived reference models were fixed and did not use outcomes or imaging values from held-out patients for reference estimation. Imputation, additional predictor standardisation, hyperparameter selection and classifier estimation in the patient prediction pipeline were restricted to training folds. This separation distinguishes reference calibration using a separate HC sample from supervised training and evaluation within the surgical cohort.</w:t>
      </w:r>
    </w:p>
    <w:p w14:paraId="2A239CB0">
      <w:pPr>
        <w:rPr>
          <w:rFonts w:hint="default" w:ascii="Times New Roman Regular" w:hAnsi="Times New Roman Regular" w:cs="Times New Roman Regular"/>
          <w:b w:val="0"/>
        </w:rPr>
      </w:pPr>
    </w:p>
    <w:p w14:paraId="6236418F">
      <w:pPr>
        <w:rPr>
          <w:rFonts w:hint="default" w:ascii="Times New Roman Regular" w:hAnsi="Times New Roman Regular" w:cs="Times New Roman Regular"/>
          <w:b w:val="0"/>
        </w:rPr>
      </w:pPr>
    </w:p>
    <w:p w14:paraId="7EA4FE56">
      <w:pPr>
        <w:pStyle w:val="4"/>
        <w:keepLines/>
        <w:rPr>
          <w:sz w:val="21"/>
          <w:szCs w:val="21"/>
        </w:rPr>
      </w:pPr>
      <w:r>
        <w:rPr>
          <w:sz w:val="21"/>
          <w:szCs w:val="21"/>
        </w:rPr>
        <w:t>Supplementary Methods</w:t>
      </w:r>
      <w:r>
        <w:rPr>
          <w:rFonts w:hint="default"/>
          <w:sz w:val="21"/>
          <w:szCs w:val="21"/>
          <w:lang w:val="en-US"/>
        </w:rPr>
        <w:t xml:space="preserve">: </w:t>
      </w:r>
      <w:r>
        <w:rPr>
          <w:sz w:val="21"/>
          <w:szCs w:val="21"/>
        </w:rPr>
        <w:t>Grey matter volume analysis</w:t>
      </w:r>
    </w:p>
    <w:p w14:paraId="23A37435">
      <w:pPr>
        <w:pStyle w:val="2"/>
        <w:keepLines/>
        <w:rPr>
          <w:sz w:val="21"/>
          <w:szCs w:val="21"/>
        </w:rPr>
      </w:pPr>
      <w:r>
        <w:rPr>
          <w:sz w:val="21"/>
          <w:szCs w:val="21"/>
        </w:rPr>
        <w:t>Study sample and analysis scope</w:t>
      </w:r>
    </w:p>
    <w:p w14:paraId="08391177">
      <w:pPr>
        <w:keepLines/>
        <w:widowControl/>
        <w:rPr>
          <w:sz w:val="21"/>
          <w:szCs w:val="21"/>
        </w:rPr>
      </w:pPr>
      <w:r>
        <w:rPr>
          <w:sz w:val="21"/>
          <w:szCs w:val="21"/>
        </w:rPr>
        <w:t>Grey matter volume (GMV) analyses used preoperative three-dimensional T1-weighted MRI from 132 participants, comprising 32 healthy controls (HC), 70 patients with Parkinson disease who did not develop postoperative delirium (non-POD), and 30 patients who developed POD after bilateral subthalamic nucleus deep brain stimulation. The analysis comprised whole-brain voxel-based morphometry (VBM), followed by atlas-based characterisation of representative regions. GMV analyses were exploratory and provided anatomical context for the primary diffusion-perivascular analyses. HC provided a non-surgical reference group.</w:t>
      </w:r>
    </w:p>
    <w:p w14:paraId="0ABA6C84">
      <w:pPr>
        <w:pStyle w:val="2"/>
        <w:keepLines/>
        <w:rPr>
          <w:sz w:val="21"/>
          <w:szCs w:val="21"/>
        </w:rPr>
      </w:pPr>
      <w:r>
        <w:rPr>
          <w:sz w:val="21"/>
          <w:szCs w:val="21"/>
        </w:rPr>
        <w:t>Image preprocessing and intracranial volume estimation</w:t>
      </w:r>
    </w:p>
    <w:p w14:paraId="32A92463">
      <w:pPr>
        <w:keepLines/>
        <w:widowControl/>
        <w:rPr>
          <w:sz w:val="21"/>
          <w:szCs w:val="21"/>
        </w:rPr>
      </w:pPr>
      <w:r>
        <w:rPr>
          <w:sz w:val="21"/>
          <w:szCs w:val="21"/>
        </w:rPr>
        <w:t>T1-weighted images were processed using the Computational Anatomy Toolbox (CAT12</w:t>
      </w:r>
      <w:r>
        <w:rPr>
          <w:rFonts w:ascii="Times New Roman" w:hAnsi="Times New Roman" w:eastAsia="Times New Roman" w:cs="Times New Roman"/>
          <w:sz w:val="21"/>
          <w:szCs w:val="21"/>
        </w:rPr>
        <w:t>, https://neuro-jena.github.io/cat//)</w:t>
      </w:r>
      <w:r>
        <w:rPr>
          <w:sz w:val="21"/>
          <w:szCs w:val="21"/>
        </w:rPr>
        <w:t xml:space="preserve"> implemented in Statistical Parametric Mapping (SPM12</w:t>
      </w:r>
      <w:r>
        <w:rPr>
          <w:rFonts w:hint="default"/>
          <w:sz w:val="21"/>
          <w:szCs w:val="21"/>
          <w:lang w:val="en-US"/>
        </w:rPr>
        <w:t>, https://www.fil.ion.ucl.ac.uk/spm/</w:t>
      </w:r>
      <w:r>
        <w:rPr>
          <w:sz w:val="21"/>
          <w:szCs w:val="21"/>
        </w:rPr>
        <w:t>). Preprocessing parameters were retained from the original CAT12/SPM12 processing configuration without additional manual adjustment. Processing comprised correction of intensity non-uniformity, segmentation into grey matter, white matter and cerebrospinal fluid, and spatial normalisation to Montreal Neurological Institute (MNI) space. The registration algorithm, template and output voxel resolution were unchanged from the original processing configuration.</w:t>
      </w:r>
    </w:p>
    <w:p w14:paraId="7D5FF835">
      <w:pPr>
        <w:keepLines/>
        <w:widowControl/>
        <w:rPr>
          <w:sz w:val="21"/>
          <w:szCs w:val="21"/>
        </w:rPr>
      </w:pPr>
      <w:r>
        <w:rPr>
          <w:sz w:val="21"/>
          <w:szCs w:val="21"/>
        </w:rPr>
        <w:t>Jacobian modulation was applied to account for local volume changes introduced by spatial normalisation, using the original modulation setting. The resulting modulated grey matter maps were smoothed with a three-dimensional Gaussian kernel before voxel-wise analysis, retaining the kernel width specified in the original analysis. Total intracranial volume (TIV) was calculated for each participant as the sum of grey matter, white matter and cerebrospinal fluid volumes derived from tissue segmentation and was included as a covariate in subsequent GMV models.</w:t>
      </w:r>
    </w:p>
    <w:p w14:paraId="43A121C2">
      <w:pPr>
        <w:pStyle w:val="2"/>
        <w:keepLines/>
        <w:rPr>
          <w:sz w:val="21"/>
          <w:szCs w:val="21"/>
        </w:rPr>
      </w:pPr>
      <w:r>
        <w:rPr>
          <w:sz w:val="21"/>
          <w:szCs w:val="21"/>
        </w:rPr>
        <w:t>Image quality control</w:t>
      </w:r>
    </w:p>
    <w:p w14:paraId="101EA487">
      <w:pPr>
        <w:keepLines/>
        <w:widowControl/>
        <w:rPr>
          <w:sz w:val="21"/>
          <w:szCs w:val="21"/>
        </w:rPr>
      </w:pPr>
      <w:r>
        <w:rPr>
          <w:sz w:val="21"/>
          <w:szCs w:val="21"/>
        </w:rPr>
        <w:t>Images with motion or artefacts that precluded morphometric analysis, or with major structural lesions, were excluded according to the study eligibility criteria.</w:t>
      </w:r>
    </w:p>
    <w:p w14:paraId="48480C37">
      <w:pPr>
        <w:pStyle w:val="2"/>
        <w:keepLines/>
        <w:rPr>
          <w:sz w:val="21"/>
          <w:szCs w:val="21"/>
        </w:rPr>
      </w:pPr>
      <w:r>
        <w:rPr>
          <w:sz w:val="21"/>
          <w:szCs w:val="21"/>
        </w:rPr>
        <w:t>Whole brain voxel wise statistical model</w:t>
      </w:r>
    </w:p>
    <w:p w14:paraId="56831121">
      <w:pPr>
        <w:keepLines/>
        <w:widowControl/>
        <w:rPr>
          <w:sz w:val="21"/>
          <w:szCs w:val="21"/>
        </w:rPr>
      </w:pPr>
      <w:r>
        <w:rPr>
          <w:sz w:val="21"/>
          <w:szCs w:val="21"/>
        </w:rPr>
        <w:t>Voxel-wise GMV differences were examined using a general linear model with group as a three-level factor (HC, non-POD and POD) and age, sex and TIV as covariates. Age and TIV were continuous variables, and sex was entered as a binary covariate. Covariate centring, between-group variance and masking settings were retained from the original SPM model configuration.</w:t>
      </w:r>
    </w:p>
    <w:p w14:paraId="0969AB2F">
      <w:pPr>
        <w:keepLines/>
        <w:widowControl/>
        <w:rPr>
          <w:sz w:val="21"/>
          <w:szCs w:val="21"/>
        </w:rPr>
      </w:pPr>
      <w:r>
        <w:rPr>
          <w:sz w:val="21"/>
          <w:szCs w:val="21"/>
        </w:rPr>
        <w:t>An omnibus F contrast tested the null hypothesis that covariate-adjusted mean GMV was equal across the three groups. Three directional T contrasts evaluated HC &gt; non-POD, HC &gt; POD and non-POD &gt; POD. Expressed in a group-means parameterisation ordered as HC, non-POD, POD, age, sex and TIV, the contrast definitions are shown below. The corresponding contrast vectors must be mapped to the actual column ordering in the saved SPM design.</w:t>
      </w:r>
    </w:p>
    <w:tbl>
      <w:tblPr>
        <w:tblStyle w:val="5"/>
        <w:tblW w:w="0" w:type="auto"/>
        <w:tblInd w:w="0" w:type="dxa"/>
        <w:tblLayout w:type="fixed"/>
        <w:tblCellMar>
          <w:top w:w="0" w:type="dxa"/>
          <w:left w:w="108" w:type="dxa"/>
          <w:bottom w:w="0" w:type="dxa"/>
          <w:right w:w="108" w:type="dxa"/>
        </w:tblCellMar>
      </w:tblPr>
      <w:tblGrid>
        <w:gridCol w:w="2952"/>
        <w:gridCol w:w="6696"/>
      </w:tblGrid>
      <w:tr w14:paraId="26F918A0">
        <w:trPr>
          <w:cantSplit/>
          <w:tblHeader/>
        </w:trPr>
        <w:tc>
          <w:tcPr>
            <w:tcW w:w="4824" w:type="dxa"/>
            <w:tcBorders>
              <w:top w:val="single" w:color="D9D9D9" w:sz="4" w:space="0"/>
              <w:left w:val="single" w:color="D9D9D9" w:sz="4" w:space="0"/>
              <w:bottom w:val="single" w:color="D9D9D9" w:sz="4" w:space="0"/>
              <w:right w:val="single" w:color="D9D9D9" w:sz="4" w:space="0"/>
            </w:tcBorders>
            <w:shd w:val="clear" w:color="auto" w:fill="EEEEEE"/>
            <w:tcMar>
              <w:top w:w="90" w:type="dxa"/>
              <w:left w:w="90" w:type="dxa"/>
              <w:bottom w:w="90" w:type="dxa"/>
              <w:right w:w="90" w:type="dxa"/>
            </w:tcMar>
          </w:tcPr>
          <w:p w14:paraId="79DB1226">
            <w:pPr>
              <w:spacing w:before="100" w:after="100" w:line="252" w:lineRule="auto"/>
              <w:rPr>
                <w:sz w:val="21"/>
                <w:szCs w:val="21"/>
              </w:rPr>
            </w:pPr>
            <w:r>
              <w:rPr>
                <w:b/>
                <w:sz w:val="21"/>
                <w:szCs w:val="21"/>
              </w:rPr>
              <w:t>Contrast</w:t>
            </w:r>
          </w:p>
        </w:tc>
        <w:tc>
          <w:tcPr>
            <w:tcW w:w="4824" w:type="dxa"/>
            <w:tcBorders>
              <w:top w:val="single" w:color="D9D9D9" w:sz="4" w:space="0"/>
              <w:left w:val="single" w:color="D9D9D9" w:sz="4" w:space="0"/>
              <w:bottom w:val="single" w:color="D9D9D9" w:sz="4" w:space="0"/>
              <w:right w:val="single" w:color="D9D9D9" w:sz="4" w:space="0"/>
            </w:tcBorders>
            <w:shd w:val="clear" w:color="auto" w:fill="EEEEEE"/>
            <w:tcMar>
              <w:top w:w="90" w:type="dxa"/>
              <w:left w:w="90" w:type="dxa"/>
              <w:bottom w:w="90" w:type="dxa"/>
              <w:right w:w="90" w:type="dxa"/>
            </w:tcMar>
          </w:tcPr>
          <w:p w14:paraId="16952F4D">
            <w:pPr>
              <w:spacing w:before="100" w:after="100" w:line="252" w:lineRule="auto"/>
              <w:rPr>
                <w:sz w:val="21"/>
                <w:szCs w:val="21"/>
              </w:rPr>
            </w:pPr>
            <w:r>
              <w:rPr>
                <w:b/>
                <w:sz w:val="21"/>
                <w:szCs w:val="21"/>
              </w:rPr>
              <w:t>Weights for HC  non-POD  POD  age  sex  TIV</w:t>
            </w:r>
          </w:p>
        </w:tc>
      </w:tr>
      <w:tr w14:paraId="1A388362">
        <w:trPr>
          <w:cantSplit/>
        </w:trPr>
        <w:tc>
          <w:tcPr>
            <w:tcW w:w="2952"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64E0CFF1">
            <w:pPr>
              <w:spacing w:before="100" w:after="100" w:line="252" w:lineRule="auto"/>
              <w:rPr>
                <w:sz w:val="21"/>
                <w:szCs w:val="21"/>
              </w:rPr>
            </w:pPr>
            <w:r>
              <w:rPr>
                <w:b w:val="0"/>
                <w:sz w:val="21"/>
                <w:szCs w:val="21"/>
              </w:rPr>
              <w:t>Omnibus F</w:t>
            </w:r>
          </w:p>
        </w:tc>
        <w:tc>
          <w:tcPr>
            <w:tcW w:w="6696"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78FBE6D8">
            <w:pPr>
              <w:spacing w:before="100" w:after="100" w:line="252" w:lineRule="auto"/>
              <w:rPr>
                <w:sz w:val="21"/>
                <w:szCs w:val="21"/>
              </w:rPr>
            </w:pPr>
            <w:r>
              <w:rPr>
                <w:b w:val="0"/>
                <w:sz w:val="21"/>
                <w:szCs w:val="21"/>
              </w:rPr>
              <w:t>Rows: [1, −1, 0, 0, 0, 0] and [1, 0, −1, 0, 0, 0]</w:t>
            </w:r>
          </w:p>
        </w:tc>
      </w:tr>
      <w:tr w14:paraId="77A40583">
        <w:trPr>
          <w:cantSplit/>
        </w:trPr>
        <w:tc>
          <w:tcPr>
            <w:tcW w:w="2952"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54529B58">
            <w:pPr>
              <w:spacing w:before="100" w:after="100" w:line="252" w:lineRule="auto"/>
              <w:rPr>
                <w:sz w:val="21"/>
                <w:szCs w:val="21"/>
              </w:rPr>
            </w:pPr>
            <w:r>
              <w:rPr>
                <w:b w:val="0"/>
                <w:sz w:val="21"/>
                <w:szCs w:val="21"/>
              </w:rPr>
              <w:t>HC &gt; non-POD</w:t>
            </w:r>
          </w:p>
        </w:tc>
        <w:tc>
          <w:tcPr>
            <w:tcW w:w="6696"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4231D51F">
            <w:pPr>
              <w:spacing w:before="100" w:after="100" w:line="252" w:lineRule="auto"/>
              <w:rPr>
                <w:sz w:val="21"/>
                <w:szCs w:val="21"/>
              </w:rPr>
            </w:pPr>
            <w:r>
              <w:rPr>
                <w:b w:val="0"/>
                <w:sz w:val="21"/>
                <w:szCs w:val="21"/>
              </w:rPr>
              <w:t>[1, −1, 0, 0, 0, 0]</w:t>
            </w:r>
          </w:p>
        </w:tc>
      </w:tr>
      <w:tr w14:paraId="62C0463B">
        <w:trPr>
          <w:cantSplit/>
        </w:trPr>
        <w:tc>
          <w:tcPr>
            <w:tcW w:w="2952"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35DDBC9E">
            <w:pPr>
              <w:spacing w:before="100" w:after="100" w:line="252" w:lineRule="auto"/>
              <w:rPr>
                <w:sz w:val="21"/>
                <w:szCs w:val="21"/>
              </w:rPr>
            </w:pPr>
            <w:r>
              <w:rPr>
                <w:b w:val="0"/>
                <w:sz w:val="21"/>
                <w:szCs w:val="21"/>
              </w:rPr>
              <w:t>HC &gt; POD</w:t>
            </w:r>
          </w:p>
        </w:tc>
        <w:tc>
          <w:tcPr>
            <w:tcW w:w="6696"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770A48A4">
            <w:pPr>
              <w:spacing w:before="100" w:after="100" w:line="252" w:lineRule="auto"/>
              <w:rPr>
                <w:sz w:val="21"/>
                <w:szCs w:val="21"/>
              </w:rPr>
            </w:pPr>
            <w:r>
              <w:rPr>
                <w:b w:val="0"/>
                <w:sz w:val="21"/>
                <w:szCs w:val="21"/>
              </w:rPr>
              <w:t>[1, 0, −1, 0, 0, 0]</w:t>
            </w:r>
          </w:p>
        </w:tc>
      </w:tr>
      <w:tr w14:paraId="08CA87A6">
        <w:trPr>
          <w:cantSplit/>
        </w:trPr>
        <w:tc>
          <w:tcPr>
            <w:tcW w:w="2952"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77F4601C">
            <w:pPr>
              <w:spacing w:before="100" w:after="100" w:line="252" w:lineRule="auto"/>
              <w:rPr>
                <w:sz w:val="21"/>
                <w:szCs w:val="21"/>
              </w:rPr>
            </w:pPr>
            <w:r>
              <w:rPr>
                <w:b w:val="0"/>
                <w:sz w:val="21"/>
                <w:szCs w:val="21"/>
              </w:rPr>
              <w:t>Non-POD &gt; POD</w:t>
            </w:r>
          </w:p>
        </w:tc>
        <w:tc>
          <w:tcPr>
            <w:tcW w:w="6696" w:type="dxa"/>
            <w:tcBorders>
              <w:top w:val="single" w:color="D9D9D9" w:sz="4" w:space="0"/>
              <w:left w:val="single" w:color="D9D9D9" w:sz="4" w:space="0"/>
              <w:bottom w:val="single" w:color="D9D9D9" w:sz="4" w:space="0"/>
              <w:right w:val="single" w:color="D9D9D9" w:sz="4" w:space="0"/>
            </w:tcBorders>
            <w:tcMar>
              <w:top w:w="90" w:type="dxa"/>
              <w:left w:w="90" w:type="dxa"/>
              <w:bottom w:w="90" w:type="dxa"/>
              <w:right w:w="90" w:type="dxa"/>
            </w:tcMar>
          </w:tcPr>
          <w:p w14:paraId="73B57C6F">
            <w:pPr>
              <w:spacing w:before="100" w:after="100" w:line="252" w:lineRule="auto"/>
              <w:rPr>
                <w:sz w:val="21"/>
                <w:szCs w:val="21"/>
              </w:rPr>
            </w:pPr>
            <w:r>
              <w:rPr>
                <w:b w:val="0"/>
                <w:sz w:val="21"/>
                <w:szCs w:val="21"/>
              </w:rPr>
              <w:t>[0, 1, −1, 0, 0, 0]</w:t>
            </w:r>
          </w:p>
        </w:tc>
      </w:tr>
    </w:tbl>
    <w:p w14:paraId="68351229">
      <w:pPr>
        <w:pStyle w:val="2"/>
        <w:keepLines/>
        <w:rPr>
          <w:sz w:val="21"/>
          <w:szCs w:val="21"/>
        </w:rPr>
      </w:pPr>
      <w:r>
        <w:rPr>
          <w:sz w:val="21"/>
          <w:szCs w:val="21"/>
        </w:rPr>
        <w:t>Statistical thresholding and anatomical localisation</w:t>
      </w:r>
    </w:p>
    <w:p w14:paraId="6EC04253">
      <w:pPr>
        <w:keepLines/>
        <w:widowControl/>
        <w:rPr>
          <w:sz w:val="21"/>
          <w:szCs w:val="21"/>
        </w:rPr>
      </w:pPr>
      <w:r>
        <w:rPr>
          <w:sz w:val="21"/>
          <w:szCs w:val="21"/>
        </w:rPr>
        <w:t>Each statistical map was independently thresholded at voxel-level family-wise-error (FWE)-corrected P &lt; 0.05 across the whole-brain analysis search space. FWE correction therefore applied within each map; it did not provide a joint correction across the omnibus and directional contrasts. The directional T tests were one-sided and were interpreted only in their specified directions. The cluster-extent setting was retained from the original analysis.</w:t>
      </w:r>
    </w:p>
    <w:p w14:paraId="6B9E0B47">
      <w:pPr>
        <w:keepLines/>
        <w:widowControl/>
        <w:rPr>
          <w:sz w:val="21"/>
          <w:szCs w:val="21"/>
        </w:rPr>
      </w:pPr>
      <w:r>
        <w:rPr>
          <w:sz w:val="21"/>
          <w:szCs w:val="21"/>
        </w:rPr>
        <w:t>Peak MNI coordinates and cluster extents were exported from the omnibus and directional maps. The omnibus map localised any group effect, whereas the directional maps indicated the direction of specific group differences. Differences in spatial extent between separately thresholded HC-referenced maps were treated descriptively; evidence for a difference between the two patient groups was based on their direct contrast.</w:t>
      </w:r>
    </w:p>
    <w:p w14:paraId="4AC1DFCA">
      <w:pPr>
        <w:pStyle w:val="2"/>
        <w:keepLines/>
        <w:rPr>
          <w:sz w:val="21"/>
          <w:szCs w:val="21"/>
        </w:rPr>
      </w:pPr>
      <w:r>
        <w:rPr>
          <w:sz w:val="21"/>
          <w:szCs w:val="21"/>
        </w:rPr>
        <w:t>Selection of atlas based regions of interest</w:t>
      </w:r>
    </w:p>
    <w:p w14:paraId="4B9E6B92">
      <w:pPr>
        <w:keepLines/>
        <w:widowControl/>
        <w:rPr>
          <w:sz w:val="21"/>
          <w:szCs w:val="21"/>
        </w:rPr>
      </w:pPr>
      <w:r>
        <w:rPr>
          <w:sz w:val="21"/>
          <w:szCs w:val="21"/>
        </w:rPr>
        <w:t>Anatomical labels were assigned using the Automated Anatomical Labelling Atlas 3 (AAL3). Peak coordinates were checked against atlas masks to verify anatomical membership and laterality. Candidate regions were required to be represented in the omnibus F map and in at least one voxel-level FWE-corrected directional contrast. Four regions spanning anatomically distinct systems relevant to the proposed vulnerability to delirium were selected for regional characterisation: the right inferior frontal gyrus, opercular part (R-IFGoperc); right middle frontal gyrus (R-MFG); left medial orbitofrontal cortex (L-OFCmed); and left thalamic region (L-THA).</w:t>
      </w:r>
    </w:p>
    <w:p w14:paraId="074398E4">
      <w:pPr>
        <w:keepLines/>
        <w:widowControl/>
        <w:rPr>
          <w:sz w:val="21"/>
          <w:szCs w:val="21"/>
        </w:rPr>
      </w:pPr>
      <w:r>
        <w:rPr>
          <w:sz w:val="21"/>
          <w:szCs w:val="21"/>
        </w:rPr>
        <w:t>Full anatomical masks were used rather than suprathreshold VBM cluster boundaries or peak-centred spheres. The atlas masks and ROI definitions were retained from the original regional analysis.</w:t>
      </w:r>
    </w:p>
    <w:p w14:paraId="117F7682">
      <w:pPr>
        <w:pStyle w:val="2"/>
        <w:keepLines/>
        <w:rPr>
          <w:sz w:val="21"/>
          <w:szCs w:val="21"/>
        </w:rPr>
      </w:pPr>
      <w:r>
        <w:rPr>
          <w:sz w:val="21"/>
          <w:szCs w:val="21"/>
        </w:rPr>
        <w:t>Extraction of regional grey matter measures</w:t>
      </w:r>
    </w:p>
    <w:p w14:paraId="51EA66DE">
      <w:pPr>
        <w:keepLines/>
        <w:widowControl/>
        <w:rPr>
          <w:sz w:val="21"/>
          <w:szCs w:val="21"/>
        </w:rPr>
      </w:pPr>
      <w:r>
        <w:rPr>
          <w:sz w:val="21"/>
          <w:szCs w:val="21"/>
        </w:rPr>
        <w:t>For each participant, regional GMV was summarised as the arithmetic mean of voxel values within each anatomical ROI in the spatially normalised, modulated grey matter image. The original extraction inputs, atlas-to-image alignment, and voxel-inclusion rules were retained without further modification.</w:t>
      </w:r>
    </w:p>
    <w:p w14:paraId="7E66DBE3">
      <w:pPr>
        <w:keepLines/>
        <w:widowControl/>
        <w:rPr>
          <w:sz w:val="21"/>
          <w:szCs w:val="21"/>
        </w:rPr>
      </w:pPr>
      <w:r>
        <w:rPr>
          <w:sz w:val="21"/>
          <w:szCs w:val="21"/>
        </w:rPr>
        <w:t>Each participant contributed one value per ROI, which was linked to group, age, sex and TIV using the participant identifier. The resulting ROI mean represents the average modulated grey matter value within a fixed anatomical mask. It is not an absolute anatomical ROI volume expressed in mm³ or mL; such a quantity would require an explicitly defined spatial integration and voxel-volume scaling procedure.</w:t>
      </w:r>
    </w:p>
    <w:p w14:paraId="45DE638F">
      <w:pPr>
        <w:pStyle w:val="2"/>
        <w:keepLines/>
        <w:rPr>
          <w:sz w:val="21"/>
          <w:szCs w:val="21"/>
        </w:rPr>
      </w:pPr>
      <w:r>
        <w:rPr>
          <w:sz w:val="21"/>
          <w:szCs w:val="21"/>
        </w:rPr>
        <w:t>Regional statistical analysis and multiplicity</w:t>
      </w:r>
    </w:p>
    <w:p w14:paraId="7DEC76BD">
      <w:pPr>
        <w:keepLines/>
        <w:widowControl/>
        <w:rPr>
          <w:sz w:val="21"/>
          <w:szCs w:val="21"/>
        </w:rPr>
      </w:pPr>
      <w:r>
        <w:rPr>
          <w:sz w:val="21"/>
          <w:szCs w:val="21"/>
        </w:rPr>
        <w:t>Regional measures were analysed separately for each ROI using linear models with group as the factor of interest and age, sex and TIV as covariates. HC3 heteroscedasticity-consistent covariance estimates were used to obtain standard errors and confidence intervals. Adjusted marginal means were estimated from each fitted model using the original covariate reference specification. Pairwise adjusted mean differences and 95% confidence intervals were estimated for non-POD versus HC, POD versus HC and POD versus non-POD; negative differences indicated lower regional GMV in the first-named group.</w:t>
      </w:r>
    </w:p>
    <w:p w14:paraId="754D132B">
      <w:pPr>
        <w:keepLines/>
        <w:widowControl/>
        <w:rPr>
          <w:sz w:val="21"/>
          <w:szCs w:val="21"/>
        </w:rPr>
      </w:pPr>
      <w:r>
        <w:rPr>
          <w:sz w:val="21"/>
          <w:szCs w:val="21"/>
        </w:rPr>
        <w:t>Regional pairwise tests were two-sided. Benjamini–Hochberg false discovery rate correction was applied jointly across the 12 ROI-by-contrast comparisons (four ROIs × three pairwise comparisons). Adjusted P values were reported as q values. The confidence intervals were model-based intervals and did not account for the preceding selection of regions from the same cohort.</w:t>
      </w:r>
    </w:p>
    <w:p w14:paraId="43916FF4">
      <w:pPr>
        <w:pStyle w:val="2"/>
        <w:keepLines/>
        <w:rPr>
          <w:sz w:val="21"/>
          <w:szCs w:val="21"/>
        </w:rPr>
      </w:pPr>
      <w:r>
        <w:rPr>
          <w:sz w:val="21"/>
          <w:szCs w:val="21"/>
        </w:rPr>
        <w:t>Interpretation within the analysis hierarchy</w:t>
      </w:r>
    </w:p>
    <w:p w14:paraId="3F3F43FA">
      <w:pPr>
        <w:keepLines/>
        <w:widowControl/>
        <w:rPr>
          <w:sz w:val="21"/>
          <w:szCs w:val="21"/>
        </w:rPr>
      </w:pPr>
      <w:r>
        <w:rPr>
          <w:sz w:val="21"/>
          <w:szCs w:val="21"/>
        </w:rPr>
        <w:t>The anatomical boundaries of the ROIs were supplied by an external atlas, but the choice of regions was informed by whole-brain results from the same participants. Consequently, regional estimates and q values were interpreted as post hoc anatomical characterisations rather than independent confirmatory evidence. Atlas-based extraction did not remove this selection dependence. GMV ROIs were excluded from the primary diffusion-perivascular burden and the principal prediction comparison. The cross-sectional morphometric findings were interpreted as preoperative associations with subsequent POD, without implying longitudinal atrophy, a specific cellular mechanism or causation.</w:t>
      </w:r>
    </w:p>
    <w:p w14:paraId="205A3FDB">
      <w:pPr>
        <w:rPr>
          <w:rFonts w:hint="default" w:ascii="Times New Roman Regular" w:hAnsi="Times New Roman Regular" w:cs="Times New Roman Regular"/>
          <w:b w:val="0"/>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ArialMT">
    <w:panose1 w:val="020B06040202020902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5FFD5"/>
    <w:rsid w:val="0CD7465B"/>
    <w:rsid w:val="5FFC6FBA"/>
    <w:rsid w:val="67AF304C"/>
    <w:rsid w:val="6D9F0242"/>
    <w:rsid w:val="7AF58189"/>
    <w:rsid w:val="7E6288B6"/>
    <w:rsid w:val="7EEEBBD7"/>
    <w:rsid w:val="DFCF2354"/>
    <w:rsid w:val="EF7BD58A"/>
    <w:rsid w:val="EFE78ADA"/>
    <w:rsid w:val="FF65F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宋体" w:cs="Times New Roman"/>
      <w:kern w:val="2"/>
      <w:sz w:val="21"/>
    </w:rPr>
  </w:style>
  <w:style w:type="paragraph" w:styleId="2">
    <w:name w:val="heading 1"/>
    <w:basedOn w:val="1"/>
    <w:next w:val="1"/>
    <w:qFormat/>
    <w:uiPriority w:val="9"/>
    <w:pPr>
      <w:keepNext/>
      <w:keepLines/>
      <w:spacing w:before="200" w:after="120"/>
      <w:outlineLvl w:val="0"/>
    </w:pPr>
    <w:rPr>
      <w:rFonts w:ascii="Times New Roman" w:hAnsi="Times New Roman"/>
      <w:b/>
      <w:bCs/>
      <w:color w:val="000000"/>
      <w:sz w:val="23"/>
      <w:szCs w:val="28"/>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Plain Text"/>
    <w:basedOn w:val="1"/>
    <w:uiPriority w:val="0"/>
    <w:rPr>
      <w:rFonts w:ascii="宋体" w:hAnsi="Courier New"/>
    </w:rPr>
  </w:style>
  <w:style w:type="paragraph" w:styleId="4">
    <w:name w:val="Title"/>
    <w:basedOn w:val="1"/>
    <w:next w:val="1"/>
    <w:qFormat/>
    <w:uiPriority w:val="10"/>
    <w:pPr>
      <w:spacing w:after="120" w:line="240" w:lineRule="auto"/>
      <w:contextualSpacing/>
    </w:pPr>
    <w:rPr>
      <w:rFonts w:ascii="Times New Roman" w:hAnsi="Times New Roman"/>
      <w:b/>
      <w:color w:val="000000"/>
      <w:spacing w:val="5"/>
      <w:kern w:val="28"/>
      <w:sz w:val="32"/>
      <w:szCs w:val="52"/>
    </w:rPr>
  </w:style>
  <w:style w:type="table" w:styleId="6">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p1"/>
    <w:basedOn w:val="1"/>
    <w:uiPriority w:val="0"/>
    <w:pPr>
      <w:spacing w:before="0" w:beforeAutospacing="0" w:after="0" w:afterAutospacing="0"/>
      <w:ind w:left="0" w:right="0"/>
      <w:jc w:val="both"/>
    </w:pPr>
    <w:rPr>
      <w:rFonts w:ascii="Times New Roman" w:hAnsi="Times New Roman" w:cs="Times New Roman"/>
      <w:color w:val="000000"/>
      <w:kern w:val="0"/>
      <w:sz w:val="24"/>
      <w:szCs w:val="24"/>
      <w:lang w:val="en-US" w:eastAsia="zh-CN" w:bidi="ar"/>
    </w:rPr>
  </w:style>
  <w:style w:type="paragraph" w:customStyle="1" w:styleId="9">
    <w:name w:val="p2"/>
    <w:basedOn w:val="1"/>
    <w:uiPriority w:val="0"/>
    <w:pPr>
      <w:spacing w:before="0" w:beforeAutospacing="0" w:after="0" w:afterAutospacing="0"/>
      <w:ind w:left="0" w:right="0"/>
      <w:jc w:val="both"/>
    </w:pPr>
    <w:rPr>
      <w:rFonts w:hint="default" w:ascii="Times New Roman" w:hAnsi="Times New Roman" w:cs="Times New Roman"/>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3</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2026-09-21T23:20:00Z</dcterms:created>
  <dc:creator>陈鹏</dc:creator>
  <cp:lastModifiedBy>陈鹏</cp:lastModifiedBy>
  <dcterms:modified xsi:type="dcterms:W3CDTF">2026-09-21T15:34:50Z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918BDF2C8E9CDF0FD3DAB06A1936AA9F_41</vt:lpwstr>
  </property>
</Properties>
</file>