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70EFF" w14:textId="0DDE80D2" w:rsidR="003D1A62" w:rsidRPr="00E873B2" w:rsidRDefault="003D1A62" w:rsidP="003D1A62">
      <w:pPr>
        <w:rPr>
          <w:b/>
        </w:rPr>
      </w:pPr>
      <w:r w:rsidRPr="003D1A62">
        <w:tab/>
      </w:r>
      <w:r w:rsidRPr="003D1A62">
        <w:cr/>
      </w:r>
      <w:r w:rsidRPr="00E873B2">
        <w:rPr>
          <w:b/>
        </w:rPr>
        <w:t>ST</w:t>
      </w:r>
      <w:r w:rsidR="008A4316" w:rsidRPr="00E873B2">
        <w:rPr>
          <w:b/>
        </w:rPr>
        <w:t>ATISTICAL</w:t>
      </w:r>
      <w:r w:rsidRPr="00E873B2">
        <w:rPr>
          <w:b/>
        </w:rPr>
        <w:t xml:space="preserve"> ANALYSES PLAN</w:t>
      </w:r>
      <w:r w:rsidR="008A4316" w:rsidRPr="00E873B2">
        <w:rPr>
          <w:b/>
        </w:rPr>
        <w:t xml:space="preserve"> (SAP)</w:t>
      </w:r>
      <w:r w:rsidRPr="00E873B2">
        <w:rPr>
          <w:b/>
        </w:rPr>
        <w:t xml:space="preserve"> </w:t>
      </w:r>
      <w:r w:rsidR="006563F6" w:rsidRPr="00E873B2">
        <w:rPr>
          <w:b/>
        </w:rPr>
        <w:t>for VIRTUES</w:t>
      </w:r>
      <w:r w:rsidR="00671FF9" w:rsidRPr="00E873B2">
        <w:rPr>
          <w:b/>
        </w:rPr>
        <w:t>+PM</w:t>
      </w:r>
      <w:r w:rsidR="006563F6" w:rsidRPr="00E873B2">
        <w:rPr>
          <w:b/>
        </w:rPr>
        <w:t xml:space="preserve"> CIED</w:t>
      </w:r>
    </w:p>
    <w:p w14:paraId="46F7BAF9" w14:textId="77777777" w:rsidR="00D13CC2" w:rsidRPr="00E873B2" w:rsidRDefault="00D13CC2" w:rsidP="003D1A62">
      <w:pPr>
        <w:rPr>
          <w:b/>
        </w:rPr>
      </w:pPr>
    </w:p>
    <w:p w14:paraId="67C4E902" w14:textId="2006FBD4" w:rsidR="00D13CC2" w:rsidRPr="00E873B2" w:rsidRDefault="00D13CC2" w:rsidP="003D1A62">
      <w:pPr>
        <w:rPr>
          <w:b/>
        </w:rPr>
      </w:pPr>
      <w:r w:rsidRPr="00E873B2">
        <w:rPr>
          <w:b/>
        </w:rPr>
        <w:t>First Approved - Amendment 3 – Protocol version 4, August 28, 2018</w:t>
      </w:r>
    </w:p>
    <w:p w14:paraId="5174A060" w14:textId="77777777" w:rsidR="00D13CC2" w:rsidRPr="00E873B2" w:rsidRDefault="00D13CC2" w:rsidP="003D1A62">
      <w:pPr>
        <w:rPr>
          <w:b/>
          <w:bCs/>
        </w:rPr>
      </w:pPr>
    </w:p>
    <w:p w14:paraId="6E369F5E" w14:textId="28CCBCD3" w:rsidR="00D13CC2" w:rsidRPr="00E873B2" w:rsidRDefault="00D13CC2" w:rsidP="003D1A62">
      <w:pPr>
        <w:rPr>
          <w:b/>
          <w:bCs/>
        </w:rPr>
      </w:pPr>
      <w:r w:rsidRPr="00E873B2">
        <w:rPr>
          <w:b/>
          <w:bCs/>
        </w:rPr>
        <w:t>Hypothesis</w:t>
      </w:r>
    </w:p>
    <w:p w14:paraId="7D574A4C" w14:textId="2444DF26" w:rsidR="001F071D" w:rsidRPr="00E873B2" w:rsidRDefault="001F071D" w:rsidP="001F071D">
      <w:r w:rsidRPr="00E873B2">
        <w:t xml:space="preserve">Remote monitoring of pacemakers, with in-clinic </w:t>
      </w:r>
      <w:proofErr w:type="gramStart"/>
      <w:r w:rsidR="004B6DF4" w:rsidRPr="00E873B2">
        <w:t>visits</w:t>
      </w:r>
      <w:proofErr w:type="gramEnd"/>
      <w:r w:rsidRPr="00E873B2">
        <w:t xml:space="preserve"> when necessary, is superior to routing in-clinic visits in use of health care resources, non-inferior in safety and cost-effective.</w:t>
      </w:r>
    </w:p>
    <w:p w14:paraId="71877C8C" w14:textId="77777777" w:rsidR="00D13CC2" w:rsidRPr="00E873B2" w:rsidRDefault="00D13CC2" w:rsidP="003D1A62"/>
    <w:p w14:paraId="36789F4D" w14:textId="77777777" w:rsidR="00D13CC2" w:rsidRPr="00E873B2" w:rsidRDefault="00D13CC2" w:rsidP="003D1A62">
      <w:pPr>
        <w:rPr>
          <w:b/>
          <w:bCs/>
        </w:rPr>
      </w:pPr>
      <w:r w:rsidRPr="00E873B2">
        <w:rPr>
          <w:b/>
          <w:bCs/>
        </w:rPr>
        <w:t>Analysis Populations</w:t>
      </w:r>
    </w:p>
    <w:p w14:paraId="54C7360F" w14:textId="3C196D08" w:rsidR="003D1A62" w:rsidRPr="00E873B2" w:rsidRDefault="003D1A62" w:rsidP="003D1A62">
      <w:r w:rsidRPr="00E873B2">
        <w:t xml:space="preserve">For the purposes of data analysis, </w:t>
      </w:r>
      <w:r w:rsidR="00FB361B" w:rsidRPr="00E873B2">
        <w:t>two</w:t>
      </w:r>
      <w:r w:rsidRPr="00E873B2">
        <w:t xml:space="preserve"> study populations will be defined, as follows:  </w:t>
      </w:r>
    </w:p>
    <w:p w14:paraId="4910133D" w14:textId="77777777" w:rsidR="00333C5E" w:rsidRPr="00E873B2" w:rsidRDefault="00333C5E" w:rsidP="003D1A62"/>
    <w:p w14:paraId="23720736" w14:textId="04C3223B" w:rsidR="00333C5E" w:rsidRPr="00E873B2" w:rsidRDefault="003D1A62" w:rsidP="003D1A62">
      <w:r w:rsidRPr="00E873B2">
        <w:t>Intent-to-treat (ITT) Population: Included in this population will be all</w:t>
      </w:r>
      <w:r w:rsidR="00F63447" w:rsidRPr="00E873B2">
        <w:t xml:space="preserve"> eligible </w:t>
      </w:r>
      <w:r w:rsidRPr="00E873B2">
        <w:t xml:space="preserve">patients who are allocated to </w:t>
      </w:r>
      <w:r w:rsidR="00F63447" w:rsidRPr="00E873B2">
        <w:t>the</w:t>
      </w:r>
      <w:r w:rsidRPr="00E873B2">
        <w:t xml:space="preserve"> </w:t>
      </w:r>
      <w:r w:rsidR="00363692" w:rsidRPr="00E873B2">
        <w:t>care arm</w:t>
      </w:r>
      <w:r w:rsidR="00F63447" w:rsidRPr="00E873B2">
        <w:t xml:space="preserve"> Virtual Integrated Reliable Transformative User-driven E-health System</w:t>
      </w:r>
      <w:r w:rsidR="00F2698C" w:rsidRPr="00E873B2">
        <w:t xml:space="preserve"> (VIRTUES</w:t>
      </w:r>
      <w:r w:rsidR="00F63447" w:rsidRPr="00E873B2">
        <w:t>) or standard or care (SOC)</w:t>
      </w:r>
      <w:r w:rsidRPr="00E873B2">
        <w:t xml:space="preserve">, </w:t>
      </w:r>
      <w:r w:rsidR="00D54414" w:rsidRPr="00E873B2">
        <w:t xml:space="preserve">regardless of whether they </w:t>
      </w:r>
      <w:proofErr w:type="gramStart"/>
      <w:r w:rsidR="00D54414" w:rsidRPr="00E873B2">
        <w:t>actually received</w:t>
      </w:r>
      <w:proofErr w:type="gramEnd"/>
      <w:r w:rsidR="00D54414" w:rsidRPr="00E873B2">
        <w:t xml:space="preserve"> th</w:t>
      </w:r>
      <w:r w:rsidR="00363692" w:rsidRPr="00E873B2">
        <w:t>is care</w:t>
      </w:r>
      <w:r w:rsidR="00D54414" w:rsidRPr="00E873B2">
        <w:t>.</w:t>
      </w:r>
      <w:r w:rsidRPr="00E873B2">
        <w:t xml:space="preserve">  In all analyses, the patient </w:t>
      </w:r>
      <w:r w:rsidR="00363692" w:rsidRPr="00E873B2">
        <w:t>care arm</w:t>
      </w:r>
      <w:r w:rsidRPr="00E873B2">
        <w:t xml:space="preserve"> will be categorized according to their allocation, regardless of what </w:t>
      </w:r>
      <w:r w:rsidR="00363692" w:rsidRPr="00E873B2">
        <w:t xml:space="preserve">care </w:t>
      </w:r>
      <w:r w:rsidRPr="00E873B2">
        <w:t>they receive, if any, following allocation.</w:t>
      </w:r>
    </w:p>
    <w:p w14:paraId="7971CD17" w14:textId="1316ACFA" w:rsidR="003D1A62" w:rsidRPr="00E873B2" w:rsidRDefault="003D1A62" w:rsidP="003D1A62"/>
    <w:p w14:paraId="5211B3C5" w14:textId="40CF8A2A" w:rsidR="00333C5E" w:rsidRPr="00E873B2" w:rsidRDefault="003D1A62" w:rsidP="003D1A62">
      <w:r w:rsidRPr="00E873B2">
        <w:t xml:space="preserve">Per-protocol </w:t>
      </w:r>
      <w:r w:rsidR="00D54414" w:rsidRPr="00E873B2">
        <w:t xml:space="preserve">(PP) </w:t>
      </w:r>
      <w:r w:rsidRPr="00E873B2">
        <w:t xml:space="preserve">Population: Included in this population will be all patients who received the </w:t>
      </w:r>
      <w:r w:rsidR="00A17A65" w:rsidRPr="00E873B2">
        <w:t>care</w:t>
      </w:r>
      <w:r w:rsidR="00D54414" w:rsidRPr="00E873B2">
        <w:t xml:space="preserve"> </w:t>
      </w:r>
      <w:r w:rsidRPr="00E873B2">
        <w:t xml:space="preserve">and have not experienced a major protocol violation significantly impacting efficacy </w:t>
      </w:r>
      <w:r w:rsidR="00D54414" w:rsidRPr="00E873B2">
        <w:t xml:space="preserve">and safety or have </w:t>
      </w:r>
      <w:r w:rsidRPr="00E873B2">
        <w:t>not been lost to follow-up</w:t>
      </w:r>
      <w:r w:rsidR="00D54414" w:rsidRPr="00E873B2">
        <w:t xml:space="preserve"> or crossed over from allocated </w:t>
      </w:r>
      <w:r w:rsidR="00A17A65" w:rsidRPr="00E873B2">
        <w:t>care arm</w:t>
      </w:r>
      <w:r w:rsidRPr="00E873B2">
        <w:t xml:space="preserve">.  </w:t>
      </w:r>
    </w:p>
    <w:p w14:paraId="1DD5DDEC" w14:textId="62D791CF" w:rsidR="003D1A62" w:rsidRPr="00E873B2" w:rsidRDefault="003D1A62" w:rsidP="003D1A62"/>
    <w:p w14:paraId="5657AAEC" w14:textId="77777777" w:rsidR="003D1A62" w:rsidRPr="00E873B2" w:rsidRDefault="003D1A62" w:rsidP="003D1A62">
      <w:pPr>
        <w:rPr>
          <w:b/>
        </w:rPr>
      </w:pPr>
      <w:r w:rsidRPr="00E873B2">
        <w:rPr>
          <w:b/>
        </w:rPr>
        <w:t>Background and Demographic Characteristics</w:t>
      </w:r>
    </w:p>
    <w:p w14:paraId="2FFC7219" w14:textId="77777777" w:rsidR="00D13CC2" w:rsidRPr="00E873B2" w:rsidRDefault="00D13CC2" w:rsidP="007E7C9E">
      <w:pPr>
        <w:rPr>
          <w:color w:val="231F20"/>
        </w:rPr>
      </w:pPr>
      <w:r w:rsidRPr="00E873B2">
        <w:t xml:space="preserve">Descriptive statistics will be used to summarize the demographic and clinical variables. Rates of events will be reported as percentages of total population.  Patient in-clinic visits will be calculated for pacemaker patients as the number of visits that occur at their usual follow-up site divided by the number of patient-years for follow-up.  Descriptive statistics will be used to summarize the demographic and clinical variables. Rates of events will be reported as percentages of total population.  Patient in-clinic visits will be calculated for pacemaker patients as the number of visits that occur at their usual follow-up site divided by the number of patient-years for follow-up.  </w:t>
      </w:r>
      <w:r w:rsidRPr="00E873B2">
        <w:rPr>
          <w:color w:val="231F20"/>
        </w:rPr>
        <w:t xml:space="preserve">The baseline characteristics of the two study groups will be compared by two-sided χ2 test for nominal, qualitative variables, and by Student’s t-test for normally distributed, quantitative, continuous and discrete variables. The normal distribution of variables will be verified, using the Kolmogorov– Smirnov and Shapiro–Wilk tests. </w:t>
      </w:r>
    </w:p>
    <w:p w14:paraId="7C135A7C" w14:textId="72D56EB5" w:rsidR="007E7C9E" w:rsidRPr="00E873B2" w:rsidRDefault="003D1A62" w:rsidP="004335FC">
      <w:pPr>
        <w:ind w:left="1701" w:hanging="1701"/>
      </w:pPr>
      <w:r w:rsidRPr="00E873B2">
        <w:t>SAS procedures:</w:t>
      </w:r>
      <w:r w:rsidR="00251ECE" w:rsidRPr="00E873B2">
        <w:tab/>
        <w:t xml:space="preserve"> </w:t>
      </w:r>
      <w:r w:rsidRPr="00E873B2">
        <w:t xml:space="preserve">PROC UNIVARIATE  </w:t>
      </w:r>
    </w:p>
    <w:p w14:paraId="0D8352F1" w14:textId="77777777" w:rsidR="007E7C9E" w:rsidRPr="00E873B2" w:rsidRDefault="007E7C9E" w:rsidP="004335FC">
      <w:pPr>
        <w:ind w:left="1701"/>
      </w:pPr>
      <w:r w:rsidRPr="00E873B2">
        <w:t xml:space="preserve"> </w:t>
      </w:r>
      <w:r w:rsidR="003D1A62" w:rsidRPr="00E873B2">
        <w:t xml:space="preserve">PROC FREQ </w:t>
      </w:r>
    </w:p>
    <w:p w14:paraId="02119FD3" w14:textId="77777777" w:rsidR="007E7C9E" w:rsidRPr="00E873B2" w:rsidRDefault="007E7C9E" w:rsidP="004335FC">
      <w:pPr>
        <w:ind w:left="1701"/>
      </w:pPr>
      <w:r w:rsidRPr="00E873B2">
        <w:t xml:space="preserve"> </w:t>
      </w:r>
      <w:r w:rsidR="003D1A62" w:rsidRPr="00E873B2">
        <w:t xml:space="preserve">PROC NPAR1WAY </w:t>
      </w:r>
    </w:p>
    <w:p w14:paraId="792D24EF" w14:textId="77777777" w:rsidR="007E7C9E" w:rsidRPr="00E873B2" w:rsidRDefault="007E7C9E" w:rsidP="004335FC">
      <w:pPr>
        <w:ind w:left="1701"/>
      </w:pPr>
      <w:r w:rsidRPr="00E873B2">
        <w:t xml:space="preserve"> </w:t>
      </w:r>
      <w:r w:rsidR="003D1A62" w:rsidRPr="00E873B2">
        <w:t xml:space="preserve">PROC MEANS </w:t>
      </w:r>
    </w:p>
    <w:p w14:paraId="53EEE960" w14:textId="77777777" w:rsidR="003D1A62" w:rsidRPr="00E873B2" w:rsidRDefault="007E7C9E" w:rsidP="004335FC">
      <w:pPr>
        <w:ind w:left="1701"/>
      </w:pPr>
      <w:r w:rsidRPr="00E873B2">
        <w:t xml:space="preserve"> </w:t>
      </w:r>
      <w:r w:rsidR="003D1A62" w:rsidRPr="00E873B2">
        <w:t xml:space="preserve">PROC TTEST  </w:t>
      </w:r>
    </w:p>
    <w:p w14:paraId="27CDF663" w14:textId="77777777" w:rsidR="00333C5E" w:rsidRPr="00E873B2" w:rsidRDefault="00333C5E" w:rsidP="003D1A62">
      <w:pPr>
        <w:rPr>
          <w:b/>
        </w:rPr>
      </w:pPr>
    </w:p>
    <w:p w14:paraId="0F7BDEB8" w14:textId="1038CE45" w:rsidR="003D1A62" w:rsidRPr="00E873B2" w:rsidRDefault="003D1A62" w:rsidP="003D1A62">
      <w:pPr>
        <w:rPr>
          <w:b/>
        </w:rPr>
      </w:pPr>
      <w:r w:rsidRPr="00E873B2">
        <w:rPr>
          <w:b/>
        </w:rPr>
        <w:t xml:space="preserve">Primary </w:t>
      </w:r>
      <w:r w:rsidR="008B0AA8" w:rsidRPr="00E873B2">
        <w:rPr>
          <w:b/>
        </w:rPr>
        <w:t>Safety Outcome</w:t>
      </w:r>
    </w:p>
    <w:p w14:paraId="29C03936" w14:textId="3B118AAF" w:rsidR="008B0AA8" w:rsidRPr="00E873B2" w:rsidRDefault="00D13CC2" w:rsidP="007B6137">
      <w:r w:rsidRPr="00E873B2">
        <w:t xml:space="preserve">The primary safety outcome is time to major adverse events.  The definition of major adverse events is based upon prior studies performed on remote monitoring. These include:  death, stroke, hospitalization for complications related to the device system, hospitalization for an adverse cardiovascular event (Cardiovascular event is defined as any unplanned hospitalization (admission with an overnight stay in hospital) due to one of the following causes: acute coronary syndrome, presyncope / syncope, transient ischemic attack / stroke, atrial fibrillation, flutter, pulmonary embolism / deep vein thrombosis /systemic embolism, worsening congestive heart failure including pulmonary edema or dyspnea of cardiac origin), other events including syncope and device-related ER visits will be collected.  In addition, as </w:t>
      </w:r>
      <w:r w:rsidRPr="00E873B2">
        <w:lastRenderedPageBreak/>
        <w:t xml:space="preserve">part of addressing the targets in </w:t>
      </w:r>
      <w:proofErr w:type="spellStart"/>
      <w:r w:rsidRPr="00E873B2">
        <w:t>CANet</w:t>
      </w:r>
      <w:proofErr w:type="spellEnd"/>
      <w:r w:rsidRPr="00E873B2">
        <w:t xml:space="preserve">, specific secondary outcomes will </w:t>
      </w:r>
      <w:proofErr w:type="gramStart"/>
      <w:r w:rsidRPr="00E873B2">
        <w:t>be:</w:t>
      </w:r>
      <w:proofErr w:type="gramEnd"/>
      <w:r w:rsidRPr="00E873B2">
        <w:t xml:space="preserve"> time to detection of ventricular arrhythmia events, AF detection/AF-related hospitalization and rate of syncope will be collected.</w:t>
      </w:r>
      <w:r w:rsidR="001F071D" w:rsidRPr="00E873B2">
        <w:t xml:space="preserve"> </w:t>
      </w:r>
      <w:r w:rsidRPr="00E873B2">
        <w:rPr>
          <w:color w:val="231F20"/>
        </w:rPr>
        <w:t xml:space="preserve">Survival free from the primary outcome will be estimated by the Kaplan–Meier method and compared, using the log-rank test. Cox proportional hazard regression analysis will be used to estimate the likelihood of survival, after verifying the proportional hazard assumption. </w:t>
      </w:r>
      <w:r w:rsidR="001F071D" w:rsidRPr="00E873B2">
        <w:t>T</w:t>
      </w:r>
      <w:r w:rsidR="00C15866" w:rsidRPr="00E873B2">
        <w:t>he time to the primary outcome in the VIRTUES</w:t>
      </w:r>
      <w:r w:rsidR="001F071D" w:rsidRPr="00E873B2">
        <w:t>+ICD</w:t>
      </w:r>
      <w:r w:rsidR="00C15866" w:rsidRPr="00E873B2">
        <w:t xml:space="preserve"> and SOC </w:t>
      </w:r>
      <w:r w:rsidR="00A17A65" w:rsidRPr="00E873B2">
        <w:t>care arms</w:t>
      </w:r>
      <w:r w:rsidR="00C15866" w:rsidRPr="00E873B2">
        <w:t xml:space="preserve"> will be compared using survival analysis techniques.  The survival experience (i.e. time-to-event of the composite outcome) in each of the two </w:t>
      </w:r>
      <w:r w:rsidR="00A17A65" w:rsidRPr="00E873B2">
        <w:t>care arms</w:t>
      </w:r>
      <w:r w:rsidR="00C15866" w:rsidRPr="00E873B2">
        <w:t xml:space="preserve"> will be summarized using Kaplan-Meier product limit estimates, and the hazard ratio (HR) and associated 95 percent confidence interval (95% CI) will be calculated.  In addition, in a sensitivity analysis, the Cox proportional hazards model will be used to assess the consistency of the</w:t>
      </w:r>
      <w:r w:rsidR="00A17A65" w:rsidRPr="00E873B2">
        <w:t xml:space="preserve"> care arm effect</w:t>
      </w:r>
      <w:r w:rsidR="00C15866" w:rsidRPr="00E873B2">
        <w:t xml:space="preserve"> on this outcome adjusting for key baseline covariate differences</w:t>
      </w:r>
      <w:r w:rsidR="00AF4455" w:rsidRPr="00E873B2">
        <w:t>.</w:t>
      </w:r>
      <w:r w:rsidR="00C15866" w:rsidRPr="00E873B2">
        <w:t xml:space="preserve"> Underlying assumptions for these statistical procedures will be assessed; in particular, the proportional hazards assumption will be assessed using </w:t>
      </w:r>
      <w:r w:rsidR="00C15866" w:rsidRPr="00E873B2">
        <w:rPr>
          <w:color w:val="242424"/>
          <w:bdr w:val="none" w:sz="0" w:space="0" w:color="auto" w:frame="1"/>
        </w:rPr>
        <w:t xml:space="preserve">graphical methods (i.e., visual inspection of the log‐negative‐log plot), </w:t>
      </w:r>
      <w:r w:rsidR="00C15866" w:rsidRPr="00E873B2">
        <w:rPr>
          <w:color w:val="242424"/>
          <w:bdr w:val="none" w:sz="0" w:space="0" w:color="auto" w:frame="1"/>
          <w:lang w:val="en"/>
        </w:rPr>
        <w:t xml:space="preserve">statistical tests and graphical diagnostics based on the scaled Schoenfeld residuals and </w:t>
      </w:r>
      <w:r w:rsidR="00C15866" w:rsidRPr="00E873B2">
        <w:rPr>
          <w:color w:val="242424"/>
          <w:bdr w:val="none" w:sz="0" w:space="0" w:color="auto" w:frame="1"/>
        </w:rPr>
        <w:t>numerical tests (i.e., test of the interaction term group x time).</w:t>
      </w:r>
      <w:r w:rsidR="00C15866" w:rsidRPr="00E873B2">
        <w:t xml:space="preserve"> The null hypot</w:t>
      </w:r>
      <w:r w:rsidR="00C15866" w:rsidRPr="003307BE">
        <w:t xml:space="preserve">hesis is that the time-to-event of the composite outcome for VIRTUES is inferior to SOC and the alternative hypothesis is that the time-to-event for VIRTUES is non-inferior to SOC. </w:t>
      </w:r>
      <w:r w:rsidR="00247DDA" w:rsidRPr="003307BE">
        <w:t>A</w:t>
      </w:r>
      <w:r w:rsidR="00C15866" w:rsidRPr="003307BE">
        <w:rPr>
          <w:color w:val="231F20"/>
        </w:rPr>
        <w:t xml:space="preserve"> p-value&lt; 0.025 will be considered significant</w:t>
      </w:r>
      <w:r w:rsidR="00C15866" w:rsidRPr="003307BE">
        <w:t>.</w:t>
      </w:r>
      <w:r w:rsidR="000225B7" w:rsidRPr="003307BE">
        <w:t xml:space="preserve"> </w:t>
      </w:r>
      <w:r w:rsidR="00DF444B" w:rsidRPr="003307BE">
        <w:rPr>
          <w:color w:val="231F20"/>
        </w:rPr>
        <w:t>The ITT and PP population will be used.</w:t>
      </w:r>
      <w:r w:rsidR="00C15866" w:rsidRPr="00E873B2">
        <w:t xml:space="preserve"> </w:t>
      </w:r>
    </w:p>
    <w:p w14:paraId="3CC30A07" w14:textId="77777777" w:rsidR="00970492" w:rsidRPr="00E873B2" w:rsidRDefault="00970492" w:rsidP="00970492">
      <w:pPr>
        <w:ind w:left="1701" w:hanging="1701"/>
      </w:pPr>
      <w:r w:rsidRPr="00E873B2">
        <w:t>SAS procedures:</w:t>
      </w:r>
      <w:r w:rsidRPr="00E873B2">
        <w:tab/>
        <w:t>PROC LIFETEST</w:t>
      </w:r>
    </w:p>
    <w:p w14:paraId="21647D4B" w14:textId="77777777" w:rsidR="00970492" w:rsidRPr="00E873B2" w:rsidRDefault="00970492" w:rsidP="00970492">
      <w:pPr>
        <w:ind w:left="1701"/>
      </w:pPr>
      <w:r w:rsidRPr="00E873B2">
        <w:t xml:space="preserve">PROC PHREG  </w:t>
      </w:r>
    </w:p>
    <w:p w14:paraId="42A7B489" w14:textId="77777777" w:rsidR="008B0AA8" w:rsidRPr="00E873B2" w:rsidRDefault="008B0AA8" w:rsidP="00C15866">
      <w:pPr>
        <w:pStyle w:val="NormalWeb"/>
        <w:spacing w:before="0" w:beforeAutospacing="0" w:after="0" w:afterAutospacing="0"/>
      </w:pPr>
    </w:p>
    <w:p w14:paraId="4A82987E" w14:textId="7DE3E311" w:rsidR="008B0AA8" w:rsidRPr="00E873B2" w:rsidRDefault="008B0AA8" w:rsidP="00C15866">
      <w:pPr>
        <w:pStyle w:val="NormalWeb"/>
        <w:spacing w:before="0" w:beforeAutospacing="0" w:after="0" w:afterAutospacing="0"/>
        <w:rPr>
          <w:b/>
          <w:bCs/>
        </w:rPr>
      </w:pPr>
      <w:r w:rsidRPr="00E873B2">
        <w:rPr>
          <w:b/>
          <w:bCs/>
        </w:rPr>
        <w:t>Secondary Safety Outcomes</w:t>
      </w:r>
    </w:p>
    <w:p w14:paraId="503C7345" w14:textId="67D986A0" w:rsidR="008B0AA8" w:rsidRPr="00E873B2" w:rsidRDefault="008B0AA8" w:rsidP="008B0AA8">
      <w:pPr>
        <w:pStyle w:val="NormalWeb"/>
        <w:spacing w:before="0" w:beforeAutospacing="0" w:after="0" w:afterAutospacing="0"/>
      </w:pPr>
      <w:r w:rsidRPr="00E873B2">
        <w:t xml:space="preserve">A secondary </w:t>
      </w:r>
      <w:r w:rsidR="00490AF1" w:rsidRPr="00E873B2">
        <w:t xml:space="preserve">safety </w:t>
      </w:r>
      <w:r w:rsidRPr="00E873B2">
        <w:t>analysis will compare VIRTUES</w:t>
      </w:r>
      <w:r w:rsidR="007B6137" w:rsidRPr="00E873B2">
        <w:t>+ICD</w:t>
      </w:r>
      <w:r w:rsidRPr="00E873B2">
        <w:t xml:space="preserve"> and SOC </w:t>
      </w:r>
      <w:r w:rsidR="00A17A65" w:rsidRPr="00E873B2">
        <w:t>care arms</w:t>
      </w:r>
      <w:r w:rsidRPr="00E873B2">
        <w:t xml:space="preserve"> on </w:t>
      </w:r>
      <w:r w:rsidR="00BF7C94" w:rsidRPr="00E873B2">
        <w:t xml:space="preserve">the time to </w:t>
      </w:r>
      <w:r w:rsidRPr="00E873B2">
        <w:t>each component of the composite safety outcome</w:t>
      </w:r>
      <w:r w:rsidR="00BF7C94" w:rsidRPr="00E873B2">
        <w:t>:</w:t>
      </w:r>
    </w:p>
    <w:p w14:paraId="2CF780F7" w14:textId="557C90C9" w:rsidR="008B0AA8" w:rsidRPr="00E873B2" w:rsidRDefault="00F50C12" w:rsidP="008B0AA8">
      <w:pPr>
        <w:pStyle w:val="NormalWeb"/>
        <w:numPr>
          <w:ilvl w:val="0"/>
          <w:numId w:val="6"/>
        </w:numPr>
        <w:spacing w:before="0" w:beforeAutospacing="0" w:after="0" w:afterAutospacing="0"/>
      </w:pPr>
      <w:r w:rsidRPr="00E873B2">
        <w:t>D</w:t>
      </w:r>
      <w:r w:rsidR="008B0AA8" w:rsidRPr="00E873B2">
        <w:t xml:space="preserve">eath </w:t>
      </w:r>
    </w:p>
    <w:p w14:paraId="6A857FD9" w14:textId="61F017FC" w:rsidR="008B0AA8" w:rsidRPr="00E873B2" w:rsidRDefault="00F50C12" w:rsidP="008B0AA8">
      <w:pPr>
        <w:pStyle w:val="NormalWeb"/>
        <w:numPr>
          <w:ilvl w:val="0"/>
          <w:numId w:val="6"/>
        </w:numPr>
        <w:spacing w:before="0" w:beforeAutospacing="0" w:after="0" w:afterAutospacing="0"/>
      </w:pPr>
      <w:r w:rsidRPr="00E873B2">
        <w:t>S</w:t>
      </w:r>
      <w:r w:rsidR="008B0AA8" w:rsidRPr="00E873B2">
        <w:t xml:space="preserve">troke </w:t>
      </w:r>
    </w:p>
    <w:p w14:paraId="2B9C18F7" w14:textId="536B900B" w:rsidR="008B0AA8" w:rsidRPr="00E873B2" w:rsidRDefault="00F50C12" w:rsidP="008B0AA8">
      <w:pPr>
        <w:pStyle w:val="NormalWeb"/>
        <w:numPr>
          <w:ilvl w:val="0"/>
          <w:numId w:val="6"/>
        </w:numPr>
        <w:spacing w:before="0" w:beforeAutospacing="0" w:after="0" w:afterAutospacing="0"/>
      </w:pPr>
      <w:r w:rsidRPr="00E873B2">
        <w:t xml:space="preserve">Device related </w:t>
      </w:r>
      <w:r w:rsidR="008B0AA8" w:rsidRPr="00E873B2">
        <w:t xml:space="preserve">hospitalization </w:t>
      </w:r>
    </w:p>
    <w:p w14:paraId="175E67AE" w14:textId="08ABC816" w:rsidR="008B0AA8" w:rsidRPr="00E873B2" w:rsidRDefault="00F50C12" w:rsidP="008B0AA8">
      <w:pPr>
        <w:pStyle w:val="NormalWeb"/>
        <w:numPr>
          <w:ilvl w:val="0"/>
          <w:numId w:val="6"/>
        </w:numPr>
        <w:spacing w:before="0" w:beforeAutospacing="0" w:after="0" w:afterAutospacing="0"/>
      </w:pPr>
      <w:r w:rsidRPr="00E873B2">
        <w:t>H</w:t>
      </w:r>
      <w:r w:rsidR="008B0AA8" w:rsidRPr="00E873B2">
        <w:t xml:space="preserve">ospitalization </w:t>
      </w:r>
      <w:r w:rsidRPr="00E873B2">
        <w:t xml:space="preserve">due to a </w:t>
      </w:r>
      <w:r w:rsidR="008B0AA8" w:rsidRPr="00E873B2">
        <w:t xml:space="preserve">cardiovascular </w:t>
      </w:r>
      <w:r w:rsidRPr="00E873B2">
        <w:t>cause</w:t>
      </w:r>
      <w:r w:rsidR="008B0AA8" w:rsidRPr="00E873B2">
        <w:t xml:space="preserve"> (</w:t>
      </w:r>
      <w:r w:rsidR="00490AF1" w:rsidRPr="00E873B2">
        <w:t xml:space="preserve">i.e., </w:t>
      </w:r>
      <w:r w:rsidR="008B0AA8" w:rsidRPr="00E873B2">
        <w:t>admission with an overnight stay in hospital due to one of the following causes: acute coronary syndrome, presyncope / syncope, transient ischemic attack / stroke, ventricular arrhythmias, atrial fibrillation, atrial flutter, pulmonary embolism / deep vein thrombosis /systemic embolism, worsening congestive heart failure including pulmonary edema or dyspnea of cardiac origin)</w:t>
      </w:r>
    </w:p>
    <w:p w14:paraId="1A0311C3" w14:textId="77777777" w:rsidR="007B3CFD" w:rsidRPr="00E873B2" w:rsidRDefault="007B3CFD" w:rsidP="007B3CFD">
      <w:pPr>
        <w:pStyle w:val="NormalWeb"/>
        <w:spacing w:before="0" w:beforeAutospacing="0" w:after="0" w:afterAutospacing="0"/>
      </w:pPr>
    </w:p>
    <w:p w14:paraId="1105C590" w14:textId="454F1B36" w:rsidR="006563F6" w:rsidRPr="00E873B2" w:rsidRDefault="007B3CFD" w:rsidP="006563F6">
      <w:r w:rsidRPr="00E873B2">
        <w:t xml:space="preserve">The time to each secondary safety outcome in the VIRTUES and SOC </w:t>
      </w:r>
      <w:r w:rsidR="00A17A65" w:rsidRPr="00E873B2">
        <w:t>care arms</w:t>
      </w:r>
      <w:r w:rsidRPr="00E873B2">
        <w:t xml:space="preserve"> will be compared using survival analysis techniques. For the secondary outcome of death, </w:t>
      </w:r>
      <w:r w:rsidR="00050219" w:rsidRPr="00E873B2">
        <w:t xml:space="preserve">the survival experience (i.e. time-to-event of death) in each of the two </w:t>
      </w:r>
      <w:r w:rsidR="00A17A65" w:rsidRPr="00E873B2">
        <w:t>care arms</w:t>
      </w:r>
      <w:r w:rsidR="00050219" w:rsidRPr="00E873B2">
        <w:t xml:space="preserve"> will be summarized using Kaplan-Meier product limit estimates, and the hazard ratio (HR) and associated 95% CI will be calculated.</w:t>
      </w:r>
      <w:r w:rsidRPr="00E873B2">
        <w:t xml:space="preserve">  For the other secondary outcomes, a competing risk analysis will be performed </w:t>
      </w:r>
      <w:r w:rsidR="00A17A65" w:rsidRPr="00E873B2">
        <w:t xml:space="preserve">comparing the two care arms </w:t>
      </w:r>
      <w:r w:rsidRPr="00E873B2">
        <w:t>with death as the competing risk.  Cumulative incidence function will be used in estimating the probability of outcomes in each of the two therapy groups, and the sub-distribution hazard model proposed by Fine and Gray will be used to compare the cumulative incidence curves.  The hazard ratio (HR) and associated 95% CI will be calculated.</w:t>
      </w:r>
      <w:r w:rsidR="006563F6" w:rsidRPr="00E873B2">
        <w:t xml:space="preserve"> </w:t>
      </w:r>
      <w:r w:rsidR="00DF444B" w:rsidRPr="00E873B2">
        <w:rPr>
          <w:color w:val="231F20"/>
        </w:rPr>
        <w:t>The ITT population will be used.</w:t>
      </w:r>
    </w:p>
    <w:p w14:paraId="1B3B6292" w14:textId="77777777" w:rsidR="00970492" w:rsidRPr="00E873B2" w:rsidRDefault="00970492" w:rsidP="00970492">
      <w:pPr>
        <w:ind w:left="1701" w:hanging="1701"/>
      </w:pPr>
      <w:r w:rsidRPr="00E873B2">
        <w:t xml:space="preserve">SAS procedures: </w:t>
      </w:r>
      <w:r w:rsidRPr="00E873B2">
        <w:tab/>
        <w:t>PROC LIFETEST</w:t>
      </w:r>
    </w:p>
    <w:p w14:paraId="504133C2" w14:textId="77777777" w:rsidR="00970492" w:rsidRPr="00E873B2" w:rsidRDefault="00970492" w:rsidP="00970492">
      <w:pPr>
        <w:ind w:left="1701"/>
      </w:pPr>
      <w:r w:rsidRPr="00E873B2">
        <w:t xml:space="preserve">PROC PHREG  </w:t>
      </w:r>
    </w:p>
    <w:p w14:paraId="1A653013" w14:textId="77777777" w:rsidR="00050219" w:rsidRPr="00E873B2" w:rsidRDefault="00050219" w:rsidP="007B3CFD">
      <w:pPr>
        <w:pStyle w:val="NormalWeb"/>
        <w:spacing w:before="0" w:beforeAutospacing="0" w:after="0" w:afterAutospacing="0"/>
      </w:pPr>
    </w:p>
    <w:p w14:paraId="3A5DEA34" w14:textId="25B97638" w:rsidR="00490AF1" w:rsidRPr="00E873B2" w:rsidRDefault="00490AF1" w:rsidP="00C15866">
      <w:pPr>
        <w:pStyle w:val="NormalWeb"/>
        <w:spacing w:before="0" w:beforeAutospacing="0" w:after="0" w:afterAutospacing="0"/>
        <w:rPr>
          <w:b/>
          <w:bCs/>
        </w:rPr>
      </w:pPr>
      <w:r w:rsidRPr="00E873B2">
        <w:rPr>
          <w:b/>
          <w:bCs/>
        </w:rPr>
        <w:t>Primary Efficacy Outcome</w:t>
      </w:r>
    </w:p>
    <w:p w14:paraId="1A9EDFE0" w14:textId="0B7CE852" w:rsidR="00363692" w:rsidRPr="00E873B2" w:rsidRDefault="00490AF1" w:rsidP="007B6137">
      <w:pPr>
        <w:autoSpaceDE w:val="0"/>
        <w:autoSpaceDN w:val="0"/>
        <w:adjustRightInd w:val="0"/>
      </w:pPr>
      <w:r w:rsidRPr="00E873B2">
        <w:rPr>
          <w:color w:val="231F20"/>
        </w:rPr>
        <w:lastRenderedPageBreak/>
        <w:t xml:space="preserve">For the </w:t>
      </w:r>
      <w:r w:rsidRPr="00E873B2">
        <w:t>primary composite efficacy outcome of the</w:t>
      </w:r>
      <w:r w:rsidRPr="00E873B2">
        <w:rPr>
          <w:color w:val="231F20"/>
        </w:rPr>
        <w:t xml:space="preserve"> time to clinical decision of the important clinical events (</w:t>
      </w:r>
      <w:r w:rsidR="00050219" w:rsidRPr="00E873B2">
        <w:rPr>
          <w:color w:val="231F20"/>
        </w:rPr>
        <w:t>n</w:t>
      </w:r>
      <w:r w:rsidR="00050219" w:rsidRPr="00E873B2">
        <w:t xml:space="preserve">ew onset of atrial fibrillation, atrial flutter or </w:t>
      </w:r>
      <w:r w:rsidR="00050219" w:rsidRPr="00E873B2">
        <w:rPr>
          <w:shd w:val="clear" w:color="auto" w:fill="FFFFFF"/>
        </w:rPr>
        <w:t>atrial tachyarrhythmia &gt; 12 hours, rapid ventricular rate (≥120 bpm for ≥ 6 hrs AT/AF per day), l</w:t>
      </w:r>
      <w:r w:rsidR="00050219" w:rsidRPr="00E873B2">
        <w:t>ead impedance out of range, low battery, need for device reprogramming, lead Integrity alert</w:t>
      </w:r>
      <w:r w:rsidR="00050219" w:rsidRPr="00E873B2">
        <w:rPr>
          <w:color w:val="231F20"/>
        </w:rPr>
        <w:t xml:space="preserve">, </w:t>
      </w:r>
      <w:r w:rsidR="00050219" w:rsidRPr="00E873B2">
        <w:rPr>
          <w:shd w:val="clear" w:color="auto" w:fill="FFFFFF"/>
        </w:rPr>
        <w:t>ICD shock/ATP/VT storm or sustained VT &gt; 30 seconds (</w:t>
      </w:r>
      <w:r w:rsidR="00050219" w:rsidRPr="00E873B2">
        <w:t>for ICD only event))</w:t>
      </w:r>
      <w:r w:rsidRPr="00E873B2">
        <w:rPr>
          <w:color w:val="231F20"/>
        </w:rPr>
        <w:t xml:space="preserve">, </w:t>
      </w:r>
      <w:r w:rsidRPr="00E873B2">
        <w:t xml:space="preserve">the </w:t>
      </w:r>
      <w:r w:rsidR="00F50C12" w:rsidRPr="00E873B2">
        <w:t xml:space="preserve">median </w:t>
      </w:r>
      <w:r w:rsidRPr="00E873B2">
        <w:t xml:space="preserve">time in the VIRTUES and SOC </w:t>
      </w:r>
      <w:r w:rsidR="00A17A65" w:rsidRPr="00E873B2">
        <w:t>care arms</w:t>
      </w:r>
      <w:r w:rsidRPr="00E873B2">
        <w:t xml:space="preserve"> will be compared</w:t>
      </w:r>
      <w:r w:rsidR="00F50C12" w:rsidRPr="00E873B2">
        <w:t xml:space="preserve">. </w:t>
      </w:r>
    </w:p>
    <w:p w14:paraId="5BFF648C" w14:textId="77777777" w:rsidR="00363692" w:rsidRPr="00E873B2" w:rsidRDefault="00363692" w:rsidP="00363692">
      <w:pPr>
        <w:pStyle w:val="ListParagraph"/>
        <w:autoSpaceDE w:val="0"/>
        <w:autoSpaceDN w:val="0"/>
        <w:adjustRightInd w:val="0"/>
      </w:pPr>
    </w:p>
    <w:p w14:paraId="2ED97F16" w14:textId="739E9D94" w:rsidR="00F27892" w:rsidRPr="00E873B2" w:rsidRDefault="00F27892" w:rsidP="00F27892">
      <w:pPr>
        <w:autoSpaceDE w:val="0"/>
        <w:autoSpaceDN w:val="0"/>
        <w:adjustRightInd w:val="0"/>
        <w:rPr>
          <w:b/>
          <w:bCs/>
        </w:rPr>
      </w:pPr>
      <w:r w:rsidRPr="00E873B2">
        <w:rPr>
          <w:b/>
          <w:bCs/>
        </w:rPr>
        <w:t>Secondary Outcomes – Quality of Life</w:t>
      </w:r>
    </w:p>
    <w:p w14:paraId="4DED87E7" w14:textId="4EA90237" w:rsidR="001F071D" w:rsidRPr="00E873B2" w:rsidRDefault="00FD2923" w:rsidP="001F071D">
      <w:pPr>
        <w:autoSpaceDE w:val="0"/>
        <w:autoSpaceDN w:val="0"/>
        <w:adjustRightInd w:val="0"/>
      </w:pPr>
      <w:r w:rsidRPr="00E873B2">
        <w:t xml:space="preserve">Health-related quality of life will be assessed comparing VIRTUES and SOC.  For each group, the frequency distribution for each of the domains and component scores for the SF-36 will be tabulated and the mean, standard deviation, median and interquartile range (IQR) will be determined and 95% CIs calculated. </w:t>
      </w:r>
      <w:r w:rsidR="001F071D" w:rsidRPr="00E873B2">
        <w:rPr>
          <w:color w:val="231F20"/>
        </w:rPr>
        <w:t>Friedman’s nonparametric, repeated-measures analysis will be used to compare the SF-36-scale and summary scores. The number of follow-ups was estimated per patient-year, with 95% CI, in each study group, assuming a Poisson distribution. A P-value&lt; 0.05 will be considered significant.</w:t>
      </w:r>
    </w:p>
    <w:p w14:paraId="26158A73" w14:textId="2C8392F1" w:rsidR="006563F6" w:rsidRPr="00E873B2" w:rsidRDefault="006563F6" w:rsidP="006563F6"/>
    <w:p w14:paraId="2858207E" w14:textId="38E7F344" w:rsidR="00363692" w:rsidRPr="00E873B2" w:rsidRDefault="00FD2923" w:rsidP="00363692">
      <w:pPr>
        <w:ind w:left="1701" w:hanging="1701"/>
      </w:pPr>
      <w:r w:rsidRPr="00E873B2">
        <w:t xml:space="preserve">SAS procedures: </w:t>
      </w:r>
      <w:r w:rsidRPr="00E873B2">
        <w:tab/>
        <w:t xml:space="preserve"> </w:t>
      </w:r>
      <w:r w:rsidR="00363692" w:rsidRPr="00E873B2">
        <w:t xml:space="preserve">PROC MEANS </w:t>
      </w:r>
    </w:p>
    <w:p w14:paraId="57E35B76" w14:textId="01DDC516" w:rsidR="00363692" w:rsidRPr="00E873B2" w:rsidRDefault="00363692" w:rsidP="00363692">
      <w:pPr>
        <w:ind w:left="1701"/>
      </w:pPr>
      <w:r w:rsidRPr="00E873B2">
        <w:t xml:space="preserve"> PROC MIXED</w:t>
      </w:r>
    </w:p>
    <w:p w14:paraId="4838A7F7" w14:textId="77777777" w:rsidR="00363692" w:rsidRPr="00E873B2" w:rsidRDefault="00363692" w:rsidP="00363692">
      <w:pPr>
        <w:ind w:left="1701"/>
      </w:pPr>
      <w:r w:rsidRPr="00E873B2">
        <w:t xml:space="preserve"> PROC TTEST</w:t>
      </w:r>
    </w:p>
    <w:p w14:paraId="1E5F4E21" w14:textId="77777777" w:rsidR="00452007" w:rsidRPr="00E873B2" w:rsidRDefault="00452007" w:rsidP="00452007">
      <w:pPr>
        <w:autoSpaceDE w:val="0"/>
        <w:autoSpaceDN w:val="0"/>
        <w:adjustRightInd w:val="0"/>
        <w:rPr>
          <w:b/>
          <w:bCs/>
        </w:rPr>
      </w:pPr>
    </w:p>
    <w:p w14:paraId="053802DD" w14:textId="77777777" w:rsidR="00452007" w:rsidRPr="00E873B2" w:rsidRDefault="00452007" w:rsidP="00C15866">
      <w:pPr>
        <w:rPr>
          <w:b/>
          <w:bCs/>
          <w:color w:val="231F20"/>
        </w:rPr>
      </w:pPr>
      <w:r w:rsidRPr="00E873B2">
        <w:rPr>
          <w:b/>
          <w:bCs/>
          <w:color w:val="231F20"/>
        </w:rPr>
        <w:t>Cost Analysis</w:t>
      </w:r>
    </w:p>
    <w:p w14:paraId="2DBD1A6A" w14:textId="539E974E" w:rsidR="00452007" w:rsidRPr="00E873B2" w:rsidRDefault="00452007" w:rsidP="00C15866">
      <w:pPr>
        <w:rPr>
          <w:color w:val="231F20"/>
        </w:rPr>
      </w:pPr>
      <w:r w:rsidRPr="00E873B2">
        <w:rPr>
          <w:color w:val="231F20"/>
        </w:rPr>
        <w:t>For PM, resource usage will be calculated and costed for:</w:t>
      </w:r>
    </w:p>
    <w:p w14:paraId="05BFCD2E" w14:textId="57B94180" w:rsidR="00B13FD8" w:rsidRPr="00E873B2" w:rsidRDefault="00B13FD8" w:rsidP="00B13FD8">
      <w:pPr>
        <w:pStyle w:val="ListParagraph"/>
        <w:numPr>
          <w:ilvl w:val="0"/>
          <w:numId w:val="8"/>
        </w:numPr>
        <w:rPr>
          <w:rFonts w:eastAsia="Calibri"/>
          <w:color w:val="000000" w:themeColor="text1"/>
        </w:rPr>
      </w:pPr>
      <w:r w:rsidRPr="00E873B2">
        <w:rPr>
          <w:rFonts w:eastAsia="Calibri"/>
          <w:color w:val="000000" w:themeColor="text1"/>
        </w:rPr>
        <w:t>ED Visits/ Unplanned Cardiovascular hospitalizations</w:t>
      </w:r>
    </w:p>
    <w:p w14:paraId="5D9C0116" w14:textId="77777777" w:rsidR="00B13FD8" w:rsidRPr="00E873B2" w:rsidRDefault="00B13FD8" w:rsidP="00B13FD8">
      <w:pPr>
        <w:pStyle w:val="ListParagraph"/>
        <w:numPr>
          <w:ilvl w:val="0"/>
          <w:numId w:val="8"/>
        </w:numPr>
        <w:rPr>
          <w:rFonts w:eastAsia="Calibri"/>
          <w:color w:val="000000" w:themeColor="text1"/>
        </w:rPr>
      </w:pPr>
      <w:r w:rsidRPr="00E873B2">
        <w:rPr>
          <w:rFonts w:eastAsia="Calibri"/>
          <w:color w:val="000000" w:themeColor="text1"/>
        </w:rPr>
        <w:t>Physician visits - Family physician visits, Specialist visits</w:t>
      </w:r>
    </w:p>
    <w:p w14:paraId="2C1E9C7C" w14:textId="061F7B6F" w:rsidR="00DF444B" w:rsidRPr="00E873B2" w:rsidRDefault="00DF444B" w:rsidP="008671CF">
      <w:pPr>
        <w:pStyle w:val="ListParagraph"/>
        <w:rPr>
          <w:rFonts w:eastAsia="Calibri"/>
          <w:color w:val="000000" w:themeColor="text1"/>
        </w:rPr>
      </w:pPr>
    </w:p>
    <w:p w14:paraId="386FCF38" w14:textId="7B352D20" w:rsidR="00452007" w:rsidRPr="00E873B2" w:rsidRDefault="006563F6" w:rsidP="00C15866">
      <w:pPr>
        <w:rPr>
          <w:b/>
          <w:bCs/>
          <w:color w:val="231F20"/>
        </w:rPr>
      </w:pPr>
      <w:r w:rsidRPr="00E873B2">
        <w:rPr>
          <w:b/>
          <w:bCs/>
          <w:color w:val="231F20"/>
        </w:rPr>
        <w:t xml:space="preserve">Health </w:t>
      </w:r>
      <w:r w:rsidR="00452007" w:rsidRPr="00E873B2">
        <w:rPr>
          <w:b/>
          <w:bCs/>
          <w:color w:val="231F20"/>
        </w:rPr>
        <w:t>E</w:t>
      </w:r>
      <w:r w:rsidR="00C15866" w:rsidRPr="00E873B2">
        <w:rPr>
          <w:b/>
          <w:bCs/>
          <w:color w:val="231F20"/>
        </w:rPr>
        <w:t xml:space="preserve">conomic </w:t>
      </w:r>
      <w:r w:rsidRPr="00E873B2">
        <w:rPr>
          <w:b/>
          <w:bCs/>
          <w:color w:val="231F20"/>
        </w:rPr>
        <w:t>E</w:t>
      </w:r>
      <w:r w:rsidR="00C15866" w:rsidRPr="00E873B2">
        <w:rPr>
          <w:b/>
          <w:bCs/>
          <w:color w:val="231F20"/>
        </w:rPr>
        <w:t>valuation</w:t>
      </w:r>
    </w:p>
    <w:p w14:paraId="0F11B443" w14:textId="77777777" w:rsidR="008671CF" w:rsidRPr="00E873B2" w:rsidRDefault="00D13CC2" w:rsidP="008671CF">
      <w:r w:rsidRPr="00E873B2">
        <w:t xml:space="preserve">An economic evaluation will be conducted to determine the cost-effectiveness of the remote patient management strategy. </w:t>
      </w:r>
      <w:r w:rsidR="008671CF" w:rsidRPr="00E873B2">
        <w:t xml:space="preserve">Analysis will take the form of a cost utility analysis with cost effectiveness assessed in terms of the incremental cost per quality life year.  Analysis will incorporate data on resource use and patient’s utility values for the period from initiation of remote patient management to 12 months follow-up.  Resource use associated with the remote patient management strategy will be estimated through detailed </w:t>
      </w:r>
      <w:proofErr w:type="spellStart"/>
      <w:r w:rsidR="008671CF" w:rsidRPr="00E873B2">
        <w:t>microcosting</w:t>
      </w:r>
      <w:proofErr w:type="spellEnd"/>
      <w:r w:rsidR="008671CF" w:rsidRPr="00E873B2">
        <w:t xml:space="preserve"> and will be contrasted with the costs of standard monitoring. Resource use associated with major clinical events will be assessed through review of patient charts.  Resource use from other clinical contacts will be assessed by patient interview at 12 months.   Patient utility values will be estimated at baseline and twelve months using the SF6D utility instrument where utility values are derived from the SF36 quality of life questionnaire which will be completed by each patient at baseline and 12 months. QALYs will be estimated using the standard area under the cover methodology, controlling for baseline utility. Total costs and QALYs for each patient will be estimated with multiple imputation for missing data. The incremental costs and QALYs and incremental cost effectiveness ratios associated with remote patient management and the uncertainty around these will be derived through non-parametric bootstrapping. </w:t>
      </w:r>
    </w:p>
    <w:p w14:paraId="496A89EF" w14:textId="353D3047" w:rsidR="00D13CC2" w:rsidRPr="00E873B2" w:rsidRDefault="00D13CC2" w:rsidP="008671CF"/>
    <w:p w14:paraId="79716D67" w14:textId="77777777" w:rsidR="00B932C8" w:rsidRPr="00E873B2" w:rsidRDefault="00B932C8" w:rsidP="003D1A62"/>
    <w:p w14:paraId="46C36789" w14:textId="28C58342" w:rsidR="003D1A62" w:rsidRPr="00E873B2" w:rsidRDefault="003D1A62" w:rsidP="003D1A62">
      <w:r w:rsidRPr="00E873B2">
        <w:t xml:space="preserve">  </w:t>
      </w:r>
    </w:p>
    <w:p w14:paraId="65137D02" w14:textId="4A8835BD" w:rsidR="00370E73" w:rsidRPr="00E873B2" w:rsidRDefault="00382CFE" w:rsidP="00DF444B">
      <w:r w:rsidRPr="00E873B2">
        <w:tab/>
      </w:r>
    </w:p>
    <w:p w14:paraId="202A631E" w14:textId="2DA7891F" w:rsidR="001B7AA1" w:rsidRPr="00E873B2" w:rsidRDefault="008671CF" w:rsidP="008671CF">
      <w:pPr>
        <w:rPr>
          <w:b/>
          <w:bCs/>
        </w:rPr>
      </w:pPr>
      <w:r w:rsidRPr="00E873B2">
        <w:rPr>
          <w:b/>
          <w:bCs/>
        </w:rPr>
        <w:t>PROTOCOL AMENDMENTS</w:t>
      </w:r>
    </w:p>
    <w:p w14:paraId="3863CD6D" w14:textId="77777777" w:rsidR="00D13CC2" w:rsidRPr="00E873B2" w:rsidRDefault="00D13CC2" w:rsidP="00174ABB">
      <w:pPr>
        <w:ind w:left="1440"/>
      </w:pPr>
    </w:p>
    <w:p w14:paraId="2D788FA0" w14:textId="77777777" w:rsidR="00D13CC2" w:rsidRPr="00E873B2" w:rsidRDefault="00D13CC2" w:rsidP="00D13CC2"/>
    <w:p w14:paraId="3FA202CA" w14:textId="39569DEC" w:rsidR="00D13CC2" w:rsidRPr="00E873B2" w:rsidRDefault="00D13CC2" w:rsidP="00D13CC2">
      <w:pPr>
        <w:rPr>
          <w:b/>
          <w:bCs/>
        </w:rPr>
      </w:pPr>
      <w:r w:rsidRPr="00E873B2">
        <w:rPr>
          <w:b/>
          <w:bCs/>
        </w:rPr>
        <w:lastRenderedPageBreak/>
        <w:t>Amendment 4 – Protocol version 5, February 15, 2019</w:t>
      </w:r>
    </w:p>
    <w:p w14:paraId="1EF9FBD5" w14:textId="7F915C7F" w:rsidR="00D13CC2" w:rsidRPr="00E873B2" w:rsidRDefault="00D13CC2" w:rsidP="00D13CC2">
      <w:r w:rsidRPr="00E873B2">
        <w:t xml:space="preserve">Analysis </w:t>
      </w:r>
    </w:p>
    <w:p w14:paraId="5239BF1C" w14:textId="7DCFFA3D" w:rsidR="00D13CC2" w:rsidRPr="00E873B2" w:rsidRDefault="00D13CC2" w:rsidP="00D13CC2">
      <w:pPr>
        <w:pStyle w:val="ListParagraph"/>
        <w:numPr>
          <w:ilvl w:val="0"/>
          <w:numId w:val="9"/>
        </w:numPr>
      </w:pPr>
      <w:r w:rsidRPr="00E873B2">
        <w:t>12 month follow up was changed to 18 month follow up</w:t>
      </w:r>
    </w:p>
    <w:p w14:paraId="729E9F31" w14:textId="77777777" w:rsidR="00D13CC2" w:rsidRPr="00E873B2" w:rsidRDefault="00D13CC2" w:rsidP="00D13CC2"/>
    <w:p w14:paraId="159D7DD8" w14:textId="77777777" w:rsidR="00D13CC2" w:rsidRPr="00E873B2" w:rsidRDefault="00D13CC2" w:rsidP="00D13CC2"/>
    <w:p w14:paraId="2EA42974" w14:textId="47DAD85C" w:rsidR="00D13CC2" w:rsidRPr="00E873B2" w:rsidRDefault="00D13CC2" w:rsidP="00D13CC2">
      <w:pPr>
        <w:rPr>
          <w:b/>
          <w:bCs/>
        </w:rPr>
      </w:pPr>
      <w:r w:rsidRPr="00E873B2">
        <w:rPr>
          <w:b/>
          <w:bCs/>
        </w:rPr>
        <w:t>Amendment 5 – Protocol version 6, September 3, 2019</w:t>
      </w:r>
    </w:p>
    <w:p w14:paraId="34BD984D" w14:textId="77777777" w:rsidR="00D13CC2" w:rsidRPr="00E873B2" w:rsidRDefault="00D13CC2" w:rsidP="00D13CC2">
      <w:pPr>
        <w:rPr>
          <w:b/>
          <w:bCs/>
        </w:rPr>
      </w:pPr>
    </w:p>
    <w:p w14:paraId="5C7504BB" w14:textId="75E84AD5" w:rsidR="00D13CC2" w:rsidRPr="00E873B2" w:rsidRDefault="00D13CC2" w:rsidP="00D13CC2">
      <w:pPr>
        <w:rPr>
          <w:b/>
          <w:bCs/>
        </w:rPr>
      </w:pPr>
      <w:r w:rsidRPr="00E873B2">
        <w:rPr>
          <w:b/>
          <w:bCs/>
        </w:rPr>
        <w:t>Amendment 6 – Protocol version 7, June 15, 2020</w:t>
      </w:r>
    </w:p>
    <w:p w14:paraId="5B2828AA" w14:textId="0F914D54" w:rsidR="00D13CC2" w:rsidRPr="00E873B2" w:rsidRDefault="005516AE" w:rsidP="00D13CC2">
      <w:r w:rsidRPr="00E873B2">
        <w:t>Outcome</w:t>
      </w:r>
    </w:p>
    <w:p w14:paraId="272C702E" w14:textId="6089F90F" w:rsidR="005516AE" w:rsidRPr="00E873B2" w:rsidRDefault="005516AE" w:rsidP="005516AE">
      <w:pPr>
        <w:pStyle w:val="ListParagraph"/>
        <w:numPr>
          <w:ilvl w:val="0"/>
          <w:numId w:val="9"/>
        </w:numPr>
      </w:pPr>
      <w:r w:rsidRPr="00E873B2">
        <w:t>Ventricular arrhythmias</w:t>
      </w:r>
    </w:p>
    <w:p w14:paraId="5040422F" w14:textId="77777777" w:rsidR="005516AE" w:rsidRPr="00E873B2" w:rsidRDefault="005516AE" w:rsidP="005516AE"/>
    <w:p w14:paraId="05FBDF8D" w14:textId="77777777" w:rsidR="005516AE" w:rsidRPr="00E873B2" w:rsidRDefault="005516AE" w:rsidP="005516AE"/>
    <w:p w14:paraId="5D419FE5" w14:textId="77777777" w:rsidR="005516AE" w:rsidRPr="00E873B2" w:rsidRDefault="005516AE" w:rsidP="005516AE">
      <w:pPr>
        <w:rPr>
          <w:b/>
          <w:bCs/>
        </w:rPr>
      </w:pPr>
      <w:r w:rsidRPr="00E873B2">
        <w:rPr>
          <w:b/>
          <w:bCs/>
        </w:rPr>
        <w:t xml:space="preserve">Amendment 7 – Protocol version 8, January 18, 2021 </w:t>
      </w:r>
    </w:p>
    <w:p w14:paraId="565C2F38" w14:textId="407AD162" w:rsidR="005516AE" w:rsidRPr="00E873B2" w:rsidRDefault="005516AE" w:rsidP="005516AE">
      <w:r w:rsidRPr="00E873B2">
        <w:t>Intervention</w:t>
      </w:r>
    </w:p>
    <w:p w14:paraId="01DED042" w14:textId="641C91DA" w:rsidR="005516AE" w:rsidRPr="00E873B2" w:rsidRDefault="005516AE" w:rsidP="005516AE">
      <w:pPr>
        <w:pStyle w:val="ListParagraph"/>
        <w:numPr>
          <w:ilvl w:val="0"/>
          <w:numId w:val="9"/>
        </w:numPr>
      </w:pPr>
      <w:r w:rsidRPr="00E873B2">
        <w:t xml:space="preserve">Patients will be asked to complete a VIRTUES acceptance and satisfaction questionnaire (ASQ) at the </w:t>
      </w:r>
      <w:r w:rsidR="008671CF" w:rsidRPr="00E873B2">
        <w:t>12-month</w:t>
      </w:r>
      <w:r w:rsidRPr="00E873B2">
        <w:t xml:space="preserve"> visit</w:t>
      </w:r>
    </w:p>
    <w:p w14:paraId="5793469B" w14:textId="77777777" w:rsidR="005516AE" w:rsidRPr="00E873B2" w:rsidRDefault="005516AE" w:rsidP="005516AE"/>
    <w:p w14:paraId="1C5B7A8E" w14:textId="38DAEDB8" w:rsidR="005516AE" w:rsidRPr="00E873B2" w:rsidRDefault="005516AE" w:rsidP="005516AE">
      <w:pPr>
        <w:rPr>
          <w:b/>
          <w:bCs/>
        </w:rPr>
      </w:pPr>
      <w:r w:rsidRPr="00E873B2">
        <w:rPr>
          <w:b/>
          <w:bCs/>
        </w:rPr>
        <w:t>Amendment 8 – Protocol version 9, February 11, 2022</w:t>
      </w:r>
    </w:p>
    <w:p w14:paraId="6672C8EF" w14:textId="0A0DEDDE" w:rsidR="005516AE" w:rsidRPr="00E873B2" w:rsidRDefault="005516AE" w:rsidP="005516AE">
      <w:r w:rsidRPr="00E873B2">
        <w:t>Outcomes</w:t>
      </w:r>
    </w:p>
    <w:p w14:paraId="4C4C1801" w14:textId="0A5678D5" w:rsidR="005516AE" w:rsidRPr="00E873B2" w:rsidRDefault="005516AE" w:rsidP="005516AE">
      <w:pPr>
        <w:pStyle w:val="ListParagraph"/>
        <w:numPr>
          <w:ilvl w:val="0"/>
          <w:numId w:val="9"/>
        </w:numPr>
      </w:pPr>
      <w:r w:rsidRPr="00E873B2">
        <w:t>Other events including syncope and device related ER visits will be collected</w:t>
      </w:r>
    </w:p>
    <w:p w14:paraId="2A5433FB" w14:textId="38DDC68D" w:rsidR="005516AE" w:rsidRPr="00E873B2" w:rsidRDefault="008671CF" w:rsidP="005516AE">
      <w:pPr>
        <w:pStyle w:val="ListParagraph"/>
        <w:numPr>
          <w:ilvl w:val="0"/>
          <w:numId w:val="9"/>
        </w:numPr>
      </w:pPr>
      <w:r w:rsidRPr="00E873B2">
        <w:t>And number of cardiovascular and device related ER visits</w:t>
      </w:r>
    </w:p>
    <w:p w14:paraId="22AAAD58" w14:textId="77777777" w:rsidR="005516AE" w:rsidRPr="00E873B2" w:rsidRDefault="005516AE" w:rsidP="005516AE"/>
    <w:p w14:paraId="58A38557" w14:textId="77777777" w:rsidR="005516AE" w:rsidRPr="00E873B2" w:rsidRDefault="005516AE" w:rsidP="005516AE"/>
    <w:p w14:paraId="68B8F30B" w14:textId="77777777" w:rsidR="00A453FE" w:rsidRPr="00E873B2" w:rsidRDefault="00A453FE" w:rsidP="00A453FE">
      <w:pPr>
        <w:rPr>
          <w:b/>
          <w:bCs/>
        </w:rPr>
      </w:pPr>
      <w:r w:rsidRPr="00E873B2">
        <w:rPr>
          <w:b/>
          <w:bCs/>
        </w:rPr>
        <w:t>Prior to Database Lock June 10, 2026</w:t>
      </w:r>
    </w:p>
    <w:p w14:paraId="5C24ACA2" w14:textId="478D7419" w:rsidR="00A453FE" w:rsidRPr="00E873B2" w:rsidRDefault="00A453FE" w:rsidP="005516AE">
      <w:pPr>
        <w:rPr>
          <w:lang w:val="en-US"/>
        </w:rPr>
      </w:pPr>
      <w:r w:rsidRPr="00E873B2">
        <w:t xml:space="preserve">In the reporting of the COMPAS study at 18 months, the safety </w:t>
      </w:r>
      <w:r w:rsidRPr="00E873B2">
        <w:rPr>
          <w:lang w:val="en-US"/>
        </w:rPr>
        <w:t xml:space="preserve">event rate was </w:t>
      </w:r>
      <w:r w:rsidRPr="00E873B2">
        <w:rPr>
          <w:lang w:bidi="en-US"/>
        </w:rPr>
        <w:t xml:space="preserve">19.1% in the </w:t>
      </w:r>
      <w:r w:rsidR="00DF0B6F" w:rsidRPr="00E873B2">
        <w:rPr>
          <w:lang w:bidi="en-US"/>
        </w:rPr>
        <w:t>SOC,</w:t>
      </w:r>
      <w:r w:rsidRPr="00E873B2">
        <w:rPr>
          <w:lang w:bidi="en-US"/>
        </w:rPr>
        <w:t xml:space="preserve"> </w:t>
      </w:r>
      <w:r w:rsidRPr="00E873B2">
        <w:rPr>
          <w:lang w:val="en-US"/>
        </w:rPr>
        <w:t xml:space="preserve">and the </w:t>
      </w:r>
      <w:r w:rsidRPr="00E873B2">
        <w:t>noninferiority margin was (</w:t>
      </w:r>
      <w:r w:rsidRPr="00E873B2">
        <w:rPr>
          <w:lang w:val="en-US"/>
        </w:rPr>
        <w:t xml:space="preserve">NIM) 7%.  Prorating these values at 12 months the event rate is 15% and NIM 5.55%. So, for the sample calculation, the primary safety outcome of the composite of major adverse events is assumed to be 15% in the standard of care (SOC) control group, and the non-inferiority margin (NIM) is taken to be 5.55% or a HR of 1.42 when the SOC hazard rate is 0.15. </w:t>
      </w:r>
    </w:p>
    <w:p w14:paraId="0CED592E" w14:textId="77777777" w:rsidR="004347B2" w:rsidRPr="00E873B2" w:rsidRDefault="004347B2" w:rsidP="005516AE">
      <w:pPr>
        <w:rPr>
          <w:lang w:val="en-US"/>
        </w:rPr>
      </w:pPr>
    </w:p>
    <w:p w14:paraId="23E02472" w14:textId="17EA8C71" w:rsidR="004347B2" w:rsidRPr="00E873B2" w:rsidRDefault="004347B2" w:rsidP="005516AE">
      <w:pPr>
        <w:rPr>
          <w:lang w:val="en-US"/>
        </w:rPr>
      </w:pPr>
      <w:r w:rsidRPr="00E873B2">
        <w:rPr>
          <w:bCs/>
          <w:lang w:val="en-US"/>
        </w:rPr>
        <w:t>For the primary efficacy outcome of time to clinical decision of a clinically important event, the non-inferiority margin is taken to be 20% or 3.48 days based on the median difference of 15.7 days between remote monitoring and control groups in the CONNECT trial.</w:t>
      </w:r>
    </w:p>
    <w:p w14:paraId="25949EC9" w14:textId="77777777" w:rsidR="00A453FE" w:rsidRPr="00E873B2" w:rsidRDefault="00A453FE" w:rsidP="005516AE">
      <w:pPr>
        <w:rPr>
          <w:b/>
          <w:bCs/>
          <w:lang w:val="en-US"/>
        </w:rPr>
      </w:pPr>
    </w:p>
    <w:p w14:paraId="1E46F32A" w14:textId="77777777" w:rsidR="007F211A" w:rsidRPr="00E873B2" w:rsidRDefault="007F211A" w:rsidP="007F211A">
      <w:pPr>
        <w:rPr>
          <w:b/>
        </w:rPr>
      </w:pPr>
    </w:p>
    <w:p w14:paraId="018A6622" w14:textId="5AC9D197" w:rsidR="00A41604" w:rsidRPr="00E873B2" w:rsidRDefault="00A41604" w:rsidP="00A41604">
      <w:pPr>
        <w:rPr>
          <w:b/>
        </w:rPr>
      </w:pPr>
      <w:r w:rsidRPr="00E873B2">
        <w:rPr>
          <w:b/>
        </w:rPr>
        <w:t>FINAL STATISTICAL ANALYSES PLAN (SAP) for VIRTUES+PM CIED</w:t>
      </w:r>
    </w:p>
    <w:p w14:paraId="357CCEBD" w14:textId="77777777" w:rsidR="00A41604" w:rsidRPr="00E873B2" w:rsidRDefault="00A41604" w:rsidP="00A41604">
      <w:pPr>
        <w:rPr>
          <w:b/>
        </w:rPr>
      </w:pPr>
    </w:p>
    <w:p w14:paraId="1013FED5" w14:textId="77777777" w:rsidR="00A41604" w:rsidRPr="00E873B2" w:rsidRDefault="00A41604" w:rsidP="00A41604">
      <w:r w:rsidRPr="00E873B2">
        <w:t xml:space="preserve">For the purposes of data analysis, two study populations will be defined, as follows:  </w:t>
      </w:r>
    </w:p>
    <w:p w14:paraId="6A23EBF8" w14:textId="77777777" w:rsidR="00A41604" w:rsidRPr="00E873B2" w:rsidRDefault="00A41604" w:rsidP="00A41604"/>
    <w:p w14:paraId="7F208AF1" w14:textId="0D6944F6" w:rsidR="00A41604" w:rsidRPr="00E873B2" w:rsidRDefault="00A41604" w:rsidP="00A41604">
      <w:r w:rsidRPr="00E873B2">
        <w:t xml:space="preserve">Intent-to-treat (ITT) Population: Included in this population will be all eligible PM patients who are allocated to the care arm Virtual Integrated Reliable Transformative User-driven E-health System (VIRTUES) or standard or care (SOC), regardless of </w:t>
      </w:r>
      <w:r w:rsidR="00247DDA" w:rsidRPr="00E873B2">
        <w:t>whether</w:t>
      </w:r>
      <w:r w:rsidRPr="00E873B2">
        <w:t xml:space="preserve"> they </w:t>
      </w:r>
      <w:proofErr w:type="gramStart"/>
      <w:r w:rsidRPr="00E873B2">
        <w:t>actually received</w:t>
      </w:r>
      <w:proofErr w:type="gramEnd"/>
      <w:r w:rsidRPr="00E873B2">
        <w:t xml:space="preserve"> this care.  In all analyses, the patient care arm will be categorized according to their allocation, regardless of what care they receive, if any, following allocation.</w:t>
      </w:r>
    </w:p>
    <w:p w14:paraId="1E7F3770" w14:textId="77777777" w:rsidR="00A41604" w:rsidRPr="00E873B2" w:rsidRDefault="00A41604" w:rsidP="00A41604"/>
    <w:p w14:paraId="117E8F25" w14:textId="77777777" w:rsidR="00A41604" w:rsidRPr="00E873B2" w:rsidRDefault="00A41604" w:rsidP="00A41604">
      <w:r w:rsidRPr="00E873B2">
        <w:t xml:space="preserve">Per-protocol (PP) Population: Included in this population will be all patients who received the care and have not experienced a major protocol violation significantly impacting efficacy and safety or have not been lost to follow-up or crossed over from allocated care arm.  </w:t>
      </w:r>
    </w:p>
    <w:p w14:paraId="3F462E8C" w14:textId="77777777" w:rsidR="00A41604" w:rsidRPr="00E873B2" w:rsidRDefault="00A41604" w:rsidP="00A41604"/>
    <w:p w14:paraId="02747BDE" w14:textId="77777777" w:rsidR="00A41604" w:rsidRPr="00E873B2" w:rsidRDefault="00A41604" w:rsidP="00A41604">
      <w:pPr>
        <w:rPr>
          <w:b/>
        </w:rPr>
      </w:pPr>
      <w:r w:rsidRPr="00E873B2">
        <w:rPr>
          <w:b/>
        </w:rPr>
        <w:lastRenderedPageBreak/>
        <w:t>Background and Demographic Characteristics</w:t>
      </w:r>
    </w:p>
    <w:p w14:paraId="49C0A04E" w14:textId="77777777" w:rsidR="00A41604" w:rsidRPr="00E873B2" w:rsidRDefault="00A41604" w:rsidP="00A41604">
      <w:r w:rsidRPr="00E873B2">
        <w:t xml:space="preserve">Background and demographic characteristics by care arm will be summarized by means of frequency distributions (for categorical variables) and descriptive statistics of mean, standard deviation, minimum, median and maximum (for continuous variables).  Background characteristics </w:t>
      </w:r>
      <w:proofErr w:type="gramStart"/>
      <w:r w:rsidRPr="00E873B2">
        <w:t>includes:</w:t>
      </w:r>
      <w:proofErr w:type="gramEnd"/>
      <w:r w:rsidRPr="00E873B2">
        <w:t xml:space="preserve"> age, sex, type of device, NYHA class, hypertension, </w:t>
      </w:r>
      <w:r w:rsidRPr="00E873B2">
        <w:rPr>
          <w:lang w:val="en-US"/>
        </w:rPr>
        <w:t>dyslipidemia, diabetes, smoker, stroke</w:t>
      </w:r>
      <w:r w:rsidRPr="00E873B2">
        <w:t xml:space="preserve">/TIA, </w:t>
      </w:r>
      <w:r w:rsidRPr="00E873B2">
        <w:rPr>
          <w:lang w:val="en-US"/>
        </w:rPr>
        <w:t xml:space="preserve">valvular heart disease, COPD, congenital heart disease, peripheral vascular disease, CAD, PCI, CABG, frailty score, ejection fraction, pacemaker dependent, rural, medications (beta blocker, </w:t>
      </w:r>
      <w:proofErr w:type="spellStart"/>
      <w:r w:rsidRPr="00E873B2">
        <w:rPr>
          <w:lang w:val="en-US"/>
        </w:rPr>
        <w:t>ACEi</w:t>
      </w:r>
      <w:proofErr w:type="spellEnd"/>
      <w:r w:rsidRPr="00E873B2">
        <w:rPr>
          <w:lang w:val="en-US"/>
        </w:rPr>
        <w:t xml:space="preserve">, ARB, </w:t>
      </w:r>
      <w:r w:rsidRPr="00E873B2">
        <w:t>mineralocorticoid receptor antagonist, SGLT2i, oral anticoagulation, antiarrhythmic drug,</w:t>
      </w:r>
      <w:r w:rsidRPr="00E873B2">
        <w:rPr>
          <w:lang w:val="en-US"/>
        </w:rPr>
        <w:t xml:space="preserve"> diuretic)</w:t>
      </w:r>
      <w:r w:rsidRPr="00E873B2">
        <w:t xml:space="preserve">. Continuous variables will be tested for baseline comparability between the care arms groups using the </w:t>
      </w:r>
      <w:proofErr w:type="gramStart"/>
      <w:r w:rsidRPr="00E873B2">
        <w:t>Student’s</w:t>
      </w:r>
      <w:proofErr w:type="gramEnd"/>
      <w:r w:rsidRPr="00E873B2">
        <w:t xml:space="preserve"> t-test or the Wilcoxon rank- sum test. Categorical variables will be tested for baseline comparability with the chi-square test or Fisher’s exact test. </w:t>
      </w:r>
      <w:r w:rsidRPr="00E873B2">
        <w:rPr>
          <w:color w:val="FF0000"/>
        </w:rPr>
        <w:t xml:space="preserve"> </w:t>
      </w:r>
      <w:r w:rsidRPr="00E873B2">
        <w:t xml:space="preserve">Standardized differences of the background and demographic characteristics between the care arms groups will be calculated and an absolute standardized difference of less than 0.10 will be considered negligible. </w:t>
      </w:r>
      <w:r w:rsidRPr="00E873B2">
        <w:rPr>
          <w:color w:val="231F20"/>
        </w:rPr>
        <w:t>The ITT population will be used.</w:t>
      </w:r>
      <w:r w:rsidRPr="00E873B2">
        <w:t xml:space="preserve"> </w:t>
      </w:r>
    </w:p>
    <w:p w14:paraId="7DD2B410" w14:textId="77777777" w:rsidR="00A41604" w:rsidRPr="00E873B2" w:rsidRDefault="00A41604" w:rsidP="00A41604">
      <w:pPr>
        <w:ind w:left="1701" w:hanging="1701"/>
      </w:pPr>
      <w:r w:rsidRPr="00E873B2">
        <w:t>SAS procedures:</w:t>
      </w:r>
      <w:r w:rsidRPr="00E873B2">
        <w:tab/>
        <w:t xml:space="preserve"> PROC UNIVARIATE  </w:t>
      </w:r>
    </w:p>
    <w:p w14:paraId="1752D7F4" w14:textId="77777777" w:rsidR="00A41604" w:rsidRPr="00E873B2" w:rsidRDefault="00A41604" w:rsidP="00A41604">
      <w:pPr>
        <w:ind w:left="1701"/>
      </w:pPr>
      <w:r w:rsidRPr="00E873B2">
        <w:t xml:space="preserve"> PROC FREQ </w:t>
      </w:r>
    </w:p>
    <w:p w14:paraId="60337525" w14:textId="77777777" w:rsidR="00A41604" w:rsidRPr="00E873B2" w:rsidRDefault="00A41604" w:rsidP="00A41604">
      <w:pPr>
        <w:ind w:left="1701"/>
      </w:pPr>
      <w:r w:rsidRPr="00E873B2">
        <w:t xml:space="preserve"> PROC NPAR1WAY </w:t>
      </w:r>
    </w:p>
    <w:p w14:paraId="3121ED8D" w14:textId="77777777" w:rsidR="00A41604" w:rsidRPr="00E873B2" w:rsidRDefault="00A41604" w:rsidP="00A41604">
      <w:pPr>
        <w:ind w:left="1701"/>
      </w:pPr>
      <w:r w:rsidRPr="00E873B2">
        <w:t xml:space="preserve"> PROC MEANS </w:t>
      </w:r>
    </w:p>
    <w:p w14:paraId="7DA2FD48" w14:textId="77777777" w:rsidR="00A41604" w:rsidRPr="00E873B2" w:rsidRDefault="00A41604" w:rsidP="00A41604">
      <w:pPr>
        <w:ind w:left="1701"/>
      </w:pPr>
      <w:r w:rsidRPr="00E873B2">
        <w:t xml:space="preserve"> PROC TTEST  </w:t>
      </w:r>
    </w:p>
    <w:p w14:paraId="70DBA2CC" w14:textId="77777777" w:rsidR="00A41604" w:rsidRPr="00E873B2" w:rsidRDefault="00A41604" w:rsidP="00A41604">
      <w:pPr>
        <w:rPr>
          <w:b/>
        </w:rPr>
      </w:pPr>
    </w:p>
    <w:p w14:paraId="050A3C8E" w14:textId="77777777" w:rsidR="00E26676" w:rsidRPr="00E873B2" w:rsidRDefault="00E26676" w:rsidP="00A41604">
      <w:pPr>
        <w:rPr>
          <w:b/>
        </w:rPr>
      </w:pPr>
      <w:r w:rsidRPr="00E873B2">
        <w:rPr>
          <w:b/>
        </w:rPr>
        <w:t>Outcomes</w:t>
      </w:r>
    </w:p>
    <w:p w14:paraId="4FB1FD45" w14:textId="204CE2D3" w:rsidR="00E26676" w:rsidRPr="00E873B2" w:rsidRDefault="00E26676" w:rsidP="00A41604">
      <w:pPr>
        <w:rPr>
          <w:bCs/>
        </w:rPr>
      </w:pPr>
      <w:r w:rsidRPr="00E873B2">
        <w:rPr>
          <w:bCs/>
        </w:rPr>
        <w:t>Co-primaries of safety and efficacy</w:t>
      </w:r>
    </w:p>
    <w:p w14:paraId="2B9259EB" w14:textId="77777777" w:rsidR="00E26676" w:rsidRPr="00E873B2" w:rsidRDefault="00E26676" w:rsidP="00A41604">
      <w:pPr>
        <w:rPr>
          <w:bCs/>
        </w:rPr>
      </w:pPr>
      <w:r w:rsidRPr="00E873B2">
        <w:rPr>
          <w:bCs/>
        </w:rPr>
        <w:t>Secondary cost</w:t>
      </w:r>
    </w:p>
    <w:p w14:paraId="41D70F07" w14:textId="77777777" w:rsidR="00E26676" w:rsidRPr="00E873B2" w:rsidRDefault="00E26676" w:rsidP="00A41604">
      <w:pPr>
        <w:rPr>
          <w:b/>
        </w:rPr>
      </w:pPr>
    </w:p>
    <w:p w14:paraId="35015ED3" w14:textId="289045EB" w:rsidR="00A41604" w:rsidRPr="00E873B2" w:rsidRDefault="00A41604" w:rsidP="00A41604">
      <w:pPr>
        <w:rPr>
          <w:b/>
        </w:rPr>
      </w:pPr>
      <w:r w:rsidRPr="00E873B2">
        <w:rPr>
          <w:b/>
        </w:rPr>
        <w:t>Primary Safety Outcome</w:t>
      </w:r>
    </w:p>
    <w:p w14:paraId="109FA217" w14:textId="71C93CF9" w:rsidR="00A41604" w:rsidRPr="00E873B2" w:rsidRDefault="00A41604" w:rsidP="00A41604">
      <w:pPr>
        <w:pStyle w:val="NormalWeb"/>
        <w:spacing w:before="0" w:beforeAutospacing="0" w:after="0" w:afterAutospacing="0"/>
      </w:pPr>
      <w:r w:rsidRPr="00E873B2">
        <w:rPr>
          <w:color w:val="231F20"/>
        </w:rPr>
        <w:t xml:space="preserve">For the </w:t>
      </w:r>
      <w:r w:rsidRPr="00E873B2">
        <w:t xml:space="preserve">primary safety outcome of the composite of major adverse events (death, stroke, hospitalization for complications related to the device system, hospitalization for an adverse cardiovascular event), the time to the primary outcome in the VIRTUES and SOC care arms will be compared using survival analysis techniques.  The survival experience (i.e. time-to-event of the composite outcome) in each of the two care arms will be summarized using Kaplan-Meier product limit estimates, and the hazard ratio (HR) and associated 95 percent confidence interval (95% CI) will be calculated.  In addition, in a sensitivity analysis, the Cox proportional hazards model will be used to assess the consistency of the care arm effect on this outcome adjusting for key baseline covariate differences. Underlying assumptions for these statistical procedures will be assessed; in particular, the proportional hazards assumption will be assessed using </w:t>
      </w:r>
      <w:r w:rsidRPr="00E873B2">
        <w:rPr>
          <w:color w:val="242424"/>
          <w:bdr w:val="none" w:sz="0" w:space="0" w:color="auto" w:frame="1"/>
        </w:rPr>
        <w:t xml:space="preserve">graphical methods (i.e., visual inspection of the log‐negative‐log plot), </w:t>
      </w:r>
      <w:r w:rsidRPr="00E873B2">
        <w:rPr>
          <w:color w:val="242424"/>
          <w:bdr w:val="none" w:sz="0" w:space="0" w:color="auto" w:frame="1"/>
          <w:lang w:val="en"/>
        </w:rPr>
        <w:t xml:space="preserve">statistical tests and graphical diagnostics based on the scaled Schoenfeld residuals and </w:t>
      </w:r>
      <w:r w:rsidRPr="00E873B2">
        <w:rPr>
          <w:color w:val="242424"/>
          <w:bdr w:val="none" w:sz="0" w:space="0" w:color="auto" w:frame="1"/>
        </w:rPr>
        <w:t>numerical tests (i.e., test of the interaction term group x time).</w:t>
      </w:r>
      <w:r w:rsidRPr="00E873B2">
        <w:t xml:space="preserve"> Should this assumption fail, a stratified Cox model will be fitted </w:t>
      </w:r>
      <w:r w:rsidR="00DF0B6F" w:rsidRPr="00E873B2">
        <w:t>to</w:t>
      </w:r>
      <w:r w:rsidRPr="00E873B2">
        <w:t xml:space="preserve"> correct for non-proportional hazards. The null hypothesis is that the time-to-event of the composite outcome for VIRTUES is inferior to SOC and the alternative hypothesis is that the time-to-event for VIRTUES is non-inferior to SOC. </w:t>
      </w:r>
      <w:r w:rsidR="00247DDA" w:rsidRPr="003307BE">
        <w:t xml:space="preserve">A </w:t>
      </w:r>
      <w:r w:rsidR="00247DDA" w:rsidRPr="003307BE">
        <w:rPr>
          <w:color w:val="231F20"/>
        </w:rPr>
        <w:t>p-value&lt; 0.025 will be considered significant</w:t>
      </w:r>
      <w:r w:rsidR="00247DDA" w:rsidRPr="003307BE">
        <w:t>.</w:t>
      </w:r>
      <w:r w:rsidRPr="00E873B2">
        <w:t xml:space="preserve"> </w:t>
      </w:r>
      <w:r w:rsidRPr="00E873B2">
        <w:rPr>
          <w:color w:val="231F20"/>
        </w:rPr>
        <w:t>The ITT and PP population will be used.</w:t>
      </w:r>
      <w:r w:rsidRPr="00E873B2">
        <w:t xml:space="preserve"> </w:t>
      </w:r>
    </w:p>
    <w:p w14:paraId="571A133D" w14:textId="77777777" w:rsidR="00A41604" w:rsidRPr="00E873B2" w:rsidRDefault="00A41604" w:rsidP="00A41604">
      <w:pPr>
        <w:ind w:left="1701" w:hanging="1701"/>
      </w:pPr>
      <w:r w:rsidRPr="00E873B2">
        <w:t>SAS procedures:</w:t>
      </w:r>
      <w:r w:rsidRPr="00E873B2">
        <w:tab/>
        <w:t>PROC LIFETEST</w:t>
      </w:r>
    </w:p>
    <w:p w14:paraId="1E60DE8F" w14:textId="77777777" w:rsidR="00A41604" w:rsidRPr="00E873B2" w:rsidRDefault="00A41604" w:rsidP="00A41604">
      <w:pPr>
        <w:ind w:left="1701"/>
      </w:pPr>
      <w:r w:rsidRPr="00E873B2">
        <w:t xml:space="preserve">PROC PHREG  </w:t>
      </w:r>
    </w:p>
    <w:p w14:paraId="0546CDCC" w14:textId="77777777" w:rsidR="00A41604" w:rsidRPr="00E873B2" w:rsidRDefault="00A41604" w:rsidP="00A41604">
      <w:pPr>
        <w:pStyle w:val="NormalWeb"/>
        <w:spacing w:before="0" w:beforeAutospacing="0" w:after="0" w:afterAutospacing="0"/>
      </w:pPr>
    </w:p>
    <w:p w14:paraId="0851C748" w14:textId="77777777" w:rsidR="00A41604" w:rsidRPr="00E873B2" w:rsidRDefault="00A41604" w:rsidP="00A41604">
      <w:pPr>
        <w:pStyle w:val="NormalWeb"/>
        <w:spacing w:before="0" w:beforeAutospacing="0" w:after="0" w:afterAutospacing="0"/>
        <w:rPr>
          <w:b/>
          <w:bCs/>
        </w:rPr>
      </w:pPr>
      <w:r w:rsidRPr="00E873B2">
        <w:rPr>
          <w:b/>
          <w:bCs/>
        </w:rPr>
        <w:t>Secondary Safety Outcomes</w:t>
      </w:r>
    </w:p>
    <w:p w14:paraId="4456C32A" w14:textId="77777777" w:rsidR="00A41604" w:rsidRPr="00E873B2" w:rsidRDefault="00A41604" w:rsidP="00A41604">
      <w:pPr>
        <w:pStyle w:val="NormalWeb"/>
        <w:spacing w:before="0" w:beforeAutospacing="0" w:after="0" w:afterAutospacing="0"/>
      </w:pPr>
      <w:r w:rsidRPr="00E873B2">
        <w:t>A secondary safety analysis will compare VIRTUES and SOC care arms on the time to each component of the composite safety outcome:</w:t>
      </w:r>
    </w:p>
    <w:p w14:paraId="4F89E9F7" w14:textId="77777777" w:rsidR="00A41604" w:rsidRPr="00E873B2" w:rsidRDefault="00A41604" w:rsidP="00A41604">
      <w:pPr>
        <w:pStyle w:val="NormalWeb"/>
        <w:numPr>
          <w:ilvl w:val="0"/>
          <w:numId w:val="6"/>
        </w:numPr>
        <w:spacing w:before="0" w:beforeAutospacing="0" w:after="0" w:afterAutospacing="0"/>
      </w:pPr>
      <w:r w:rsidRPr="00E873B2">
        <w:lastRenderedPageBreak/>
        <w:t xml:space="preserve">Death </w:t>
      </w:r>
    </w:p>
    <w:p w14:paraId="78E17C0C" w14:textId="77777777" w:rsidR="00A41604" w:rsidRPr="00E873B2" w:rsidRDefault="00A41604" w:rsidP="00A41604">
      <w:pPr>
        <w:pStyle w:val="NormalWeb"/>
        <w:numPr>
          <w:ilvl w:val="0"/>
          <w:numId w:val="6"/>
        </w:numPr>
        <w:spacing w:before="0" w:beforeAutospacing="0" w:after="0" w:afterAutospacing="0"/>
      </w:pPr>
      <w:r w:rsidRPr="00E873B2">
        <w:t xml:space="preserve">Stroke </w:t>
      </w:r>
    </w:p>
    <w:p w14:paraId="7D60D7F5" w14:textId="77777777" w:rsidR="00A41604" w:rsidRPr="00E873B2" w:rsidRDefault="00A41604" w:rsidP="00A41604">
      <w:pPr>
        <w:pStyle w:val="NormalWeb"/>
        <w:numPr>
          <w:ilvl w:val="0"/>
          <w:numId w:val="6"/>
        </w:numPr>
        <w:spacing w:before="0" w:beforeAutospacing="0" w:after="0" w:afterAutospacing="0"/>
      </w:pPr>
      <w:r w:rsidRPr="00E873B2">
        <w:t xml:space="preserve">Device related hospitalization </w:t>
      </w:r>
    </w:p>
    <w:p w14:paraId="0749DF19" w14:textId="77777777" w:rsidR="00A41604" w:rsidRPr="00E873B2" w:rsidRDefault="00A41604" w:rsidP="00A41604">
      <w:pPr>
        <w:pStyle w:val="NormalWeb"/>
        <w:numPr>
          <w:ilvl w:val="0"/>
          <w:numId w:val="6"/>
        </w:numPr>
        <w:spacing w:before="0" w:beforeAutospacing="0" w:after="0" w:afterAutospacing="0"/>
      </w:pPr>
      <w:r w:rsidRPr="00E873B2">
        <w:t>Hospitalization due to a cardiovascular cause (i.e., admission with an overnight stay in hospital due to one of the following causes: acute coronary syndrome, presyncope / syncope, transient ischemic attack / stroke, ventricular arrhythmias, atrial fibrillation, atrial flutter, pulmonary embolism / deep vein thrombosis /systemic embolism, worsening congestive heart failure including pulmonary edema or dyspnea of cardiac origin)</w:t>
      </w:r>
    </w:p>
    <w:p w14:paraId="380076C2" w14:textId="77777777" w:rsidR="00A41604" w:rsidRPr="00E873B2" w:rsidRDefault="00A41604" w:rsidP="00A41604">
      <w:pPr>
        <w:pStyle w:val="NormalWeb"/>
        <w:spacing w:before="0" w:beforeAutospacing="0" w:after="0" w:afterAutospacing="0"/>
      </w:pPr>
    </w:p>
    <w:p w14:paraId="04D8BE8E" w14:textId="77777777" w:rsidR="00A41604" w:rsidRPr="00E873B2" w:rsidRDefault="00A41604" w:rsidP="00A41604">
      <w:r w:rsidRPr="00E873B2">
        <w:t xml:space="preserve">The time to each secondary safety outcome in the VIRTUES and SOC care arms will be compared using survival analysis techniques. For the secondary outcome of death, the survival experience (i.e. time-to-event of death) in each of the two care arms will be summarized using Kaplan-Meier product limit estimates, and the hazard ratio (HR) and associated 95% CI will be calculated.  For the other secondary outcomes, a competing risk analysis will be performed comparing the two care arms with death as the competing risk.  Cumulative incidence function will be used in estimating the probability of outcomes in each of the two therapy groups, and the sub-distribution hazard model proposed by Fine and Gray will be used to compare the cumulative incidence curves.  The hazard ratio (HR) and associated 95% CI will be calculated. </w:t>
      </w:r>
      <w:r w:rsidRPr="00E873B2">
        <w:rPr>
          <w:color w:val="231F20"/>
        </w:rPr>
        <w:t>The ITT population will be used.</w:t>
      </w:r>
    </w:p>
    <w:p w14:paraId="0A130B68" w14:textId="77777777" w:rsidR="00A41604" w:rsidRPr="00E873B2" w:rsidRDefault="00A41604" w:rsidP="00A41604">
      <w:pPr>
        <w:ind w:left="1701" w:hanging="1701"/>
      </w:pPr>
      <w:r w:rsidRPr="00E873B2">
        <w:t xml:space="preserve">SAS procedures: </w:t>
      </w:r>
      <w:r w:rsidRPr="00E873B2">
        <w:tab/>
        <w:t>PROC LIFETEST</w:t>
      </w:r>
    </w:p>
    <w:p w14:paraId="17A942A4" w14:textId="77777777" w:rsidR="00A41604" w:rsidRPr="00E873B2" w:rsidRDefault="00A41604" w:rsidP="00A41604">
      <w:pPr>
        <w:ind w:left="1701"/>
      </w:pPr>
      <w:r w:rsidRPr="00E873B2">
        <w:t xml:space="preserve">PROC PHREG  </w:t>
      </w:r>
    </w:p>
    <w:p w14:paraId="536E4759" w14:textId="77777777" w:rsidR="00A41604" w:rsidRPr="00E873B2" w:rsidRDefault="00A41604" w:rsidP="00A41604">
      <w:pPr>
        <w:pStyle w:val="NormalWeb"/>
        <w:spacing w:before="0" w:beforeAutospacing="0" w:after="0" w:afterAutospacing="0"/>
      </w:pPr>
    </w:p>
    <w:p w14:paraId="48B3FCE5" w14:textId="77777777" w:rsidR="00A41604" w:rsidRPr="00E873B2" w:rsidRDefault="00A41604" w:rsidP="00A41604">
      <w:pPr>
        <w:pStyle w:val="NormalWeb"/>
        <w:spacing w:before="0" w:beforeAutospacing="0" w:after="0" w:afterAutospacing="0"/>
        <w:rPr>
          <w:b/>
          <w:bCs/>
        </w:rPr>
      </w:pPr>
      <w:r w:rsidRPr="00E873B2">
        <w:rPr>
          <w:b/>
          <w:bCs/>
        </w:rPr>
        <w:t>Primary Efficacy Outcome</w:t>
      </w:r>
    </w:p>
    <w:p w14:paraId="3BF9B5AF" w14:textId="50351D7C" w:rsidR="00A41604" w:rsidRPr="00E873B2" w:rsidRDefault="00A41604" w:rsidP="00A41604">
      <w:pPr>
        <w:autoSpaceDE w:val="0"/>
        <w:autoSpaceDN w:val="0"/>
        <w:adjustRightInd w:val="0"/>
      </w:pPr>
      <w:r w:rsidRPr="00E873B2">
        <w:rPr>
          <w:color w:val="231F20"/>
        </w:rPr>
        <w:t xml:space="preserve">For the </w:t>
      </w:r>
      <w:r w:rsidRPr="00E873B2">
        <w:t>primary composite efficacy outcome of the</w:t>
      </w:r>
      <w:r w:rsidRPr="00E873B2">
        <w:rPr>
          <w:color w:val="231F20"/>
        </w:rPr>
        <w:t xml:space="preserve"> time to clinical decision of the important clinical events (n</w:t>
      </w:r>
      <w:r w:rsidRPr="00E873B2">
        <w:t xml:space="preserve">ew onset of atrial fibrillation, atrial flutter or </w:t>
      </w:r>
      <w:r w:rsidRPr="00E873B2">
        <w:rPr>
          <w:shd w:val="clear" w:color="auto" w:fill="FFFFFF"/>
        </w:rPr>
        <w:t>atrial tachyarrhythmia &gt; 12 hours, rapid ventricular rate (≥120 bpm for ≥ 6 hrs AT/AF per day), l</w:t>
      </w:r>
      <w:r w:rsidRPr="00E873B2">
        <w:t>ead impedance out of range, low battery, need for device reprogramming, lead Integrity alert</w:t>
      </w:r>
      <w:r w:rsidRPr="00E873B2">
        <w:rPr>
          <w:color w:val="231F20"/>
        </w:rPr>
        <w:t xml:space="preserve">, </w:t>
      </w:r>
      <w:r w:rsidRPr="00E873B2">
        <w:rPr>
          <w:shd w:val="clear" w:color="auto" w:fill="FFFFFF"/>
        </w:rPr>
        <w:t>ICD shock/ATP/VT storm or sustained VT &gt; 30 seconds (</w:t>
      </w:r>
      <w:r w:rsidRPr="00E873B2">
        <w:t>for ICD only event))</w:t>
      </w:r>
      <w:r w:rsidRPr="00E873B2">
        <w:rPr>
          <w:color w:val="231F20"/>
        </w:rPr>
        <w:t xml:space="preserve">, </w:t>
      </w:r>
      <w:r w:rsidRPr="00E873B2">
        <w:t>the median time in the VIRTUES and SOC care arms will be compared. The difference in medians will be calculated, as wells as, the 95%CI for the median difference based on a bootstrap of 1000 samples with replacement and taking the 2.5 and 97.5 percentile of the distribution of the median differences. The null hypothesis is that the composite efficacy outcome of the</w:t>
      </w:r>
      <w:r w:rsidRPr="00E873B2">
        <w:rPr>
          <w:color w:val="231F20"/>
        </w:rPr>
        <w:t xml:space="preserve"> time to clinical decision of the important clinical events </w:t>
      </w:r>
      <w:r w:rsidRPr="00E873B2">
        <w:t xml:space="preserve">for VIRTUES is inferior to SOC and the alternative hypothesis is that the time to </w:t>
      </w:r>
      <w:r w:rsidRPr="00E873B2">
        <w:rPr>
          <w:color w:val="231F20"/>
        </w:rPr>
        <w:t xml:space="preserve">clinical decision of the important clinical </w:t>
      </w:r>
      <w:r w:rsidRPr="00E873B2">
        <w:t>for VIRTUES is non-inferior to SOC</w:t>
      </w:r>
      <w:r w:rsidRPr="003307BE">
        <w:t xml:space="preserve">. </w:t>
      </w:r>
      <w:r w:rsidR="00247DDA" w:rsidRPr="003307BE">
        <w:t>A</w:t>
      </w:r>
      <w:r w:rsidR="00247DDA" w:rsidRPr="003307BE">
        <w:rPr>
          <w:color w:val="231F20"/>
        </w:rPr>
        <w:t xml:space="preserve"> p-value&lt; 0.025 will be considered significant</w:t>
      </w:r>
      <w:r w:rsidR="00247DDA" w:rsidRPr="003307BE">
        <w:t>.</w:t>
      </w:r>
      <w:r w:rsidRPr="00E873B2">
        <w:t xml:space="preserve"> </w:t>
      </w:r>
      <w:r w:rsidRPr="00E873B2">
        <w:rPr>
          <w:color w:val="231F20"/>
        </w:rPr>
        <w:t>The analysis population consists of patients that experienced any of the important clinical events.</w:t>
      </w:r>
      <w:r w:rsidRPr="00E873B2">
        <w:t xml:space="preserve"> </w:t>
      </w:r>
    </w:p>
    <w:p w14:paraId="75BBC1E7" w14:textId="77777777" w:rsidR="00A41604" w:rsidRPr="00E873B2" w:rsidRDefault="00A41604" w:rsidP="00A41604">
      <w:pPr>
        <w:ind w:left="1701" w:hanging="1701"/>
      </w:pPr>
      <w:r w:rsidRPr="00E873B2">
        <w:t xml:space="preserve">SAS procedures: </w:t>
      </w:r>
      <w:r w:rsidRPr="00E873B2">
        <w:tab/>
        <w:t>MEANS</w:t>
      </w:r>
    </w:p>
    <w:p w14:paraId="3F0AB820" w14:textId="77777777" w:rsidR="00A41604" w:rsidRPr="00E873B2" w:rsidRDefault="00A41604" w:rsidP="00A41604">
      <w:pPr>
        <w:ind w:left="1701" w:hanging="1701"/>
      </w:pPr>
      <w:r w:rsidRPr="00E873B2">
        <w:tab/>
        <w:t>SURVEYSELECT</w:t>
      </w:r>
    </w:p>
    <w:p w14:paraId="19466B2F" w14:textId="77777777" w:rsidR="00A41604" w:rsidRPr="00E873B2" w:rsidRDefault="00A41604" w:rsidP="00A41604">
      <w:pPr>
        <w:autoSpaceDE w:val="0"/>
        <w:autoSpaceDN w:val="0"/>
        <w:adjustRightInd w:val="0"/>
      </w:pPr>
    </w:p>
    <w:p w14:paraId="3D8AAF75" w14:textId="77777777" w:rsidR="00A41604" w:rsidRPr="00E873B2" w:rsidRDefault="00A41604" w:rsidP="00A41604">
      <w:pPr>
        <w:pStyle w:val="NormalWeb"/>
        <w:spacing w:before="0" w:beforeAutospacing="0" w:after="0" w:afterAutospacing="0"/>
        <w:rPr>
          <w:b/>
          <w:bCs/>
        </w:rPr>
      </w:pPr>
      <w:r w:rsidRPr="00E873B2">
        <w:rPr>
          <w:b/>
          <w:bCs/>
        </w:rPr>
        <w:t>Secondary Efficacy Outcomes</w:t>
      </w:r>
    </w:p>
    <w:p w14:paraId="0C79FCFD" w14:textId="77777777" w:rsidR="00A41604" w:rsidRPr="00E873B2" w:rsidRDefault="00A41604" w:rsidP="00A41604">
      <w:pPr>
        <w:autoSpaceDE w:val="0"/>
        <w:autoSpaceDN w:val="0"/>
        <w:adjustRightInd w:val="0"/>
        <w:rPr>
          <w:shd w:val="clear" w:color="auto" w:fill="FFFF00"/>
        </w:rPr>
      </w:pPr>
      <w:r w:rsidRPr="00E873B2">
        <w:t xml:space="preserve">A secondary efficacy analysis comparing the VIRTUES and SOC care arms will be conducted separately for each of the components of the primary efficacy outcome and the same calculation of the median difference and 95%CI will be followed as for the primary efficacy outcome. </w:t>
      </w:r>
      <w:r w:rsidRPr="00E873B2">
        <w:rPr>
          <w:color w:val="231F20"/>
        </w:rPr>
        <w:t>The analysis population consists of patients that experienced the specific component being considered.</w:t>
      </w:r>
    </w:p>
    <w:p w14:paraId="3EEB3573" w14:textId="77777777" w:rsidR="00A41604" w:rsidRPr="00E873B2" w:rsidRDefault="00A41604" w:rsidP="00A41604">
      <w:pPr>
        <w:pStyle w:val="NormalWeb"/>
        <w:numPr>
          <w:ilvl w:val="0"/>
          <w:numId w:val="7"/>
        </w:numPr>
        <w:spacing w:before="0" w:beforeAutospacing="0" w:after="0" w:afterAutospacing="0"/>
        <w:rPr>
          <w:shd w:val="clear" w:color="auto" w:fill="FFFF00"/>
        </w:rPr>
      </w:pPr>
      <w:r w:rsidRPr="00E873B2">
        <w:rPr>
          <w:lang w:val="en-CA"/>
        </w:rPr>
        <w:t xml:space="preserve">New onset of atrial fibrillation, atrial flutter or </w:t>
      </w:r>
      <w:r w:rsidRPr="00E873B2">
        <w:rPr>
          <w:shd w:val="clear" w:color="auto" w:fill="FFFFFF"/>
        </w:rPr>
        <w:t xml:space="preserve">atrial tachyarrhythmia &gt; 12 hours </w:t>
      </w:r>
    </w:p>
    <w:p w14:paraId="606E57D0" w14:textId="77777777" w:rsidR="00A41604" w:rsidRPr="00E873B2" w:rsidRDefault="00A41604" w:rsidP="00A41604">
      <w:pPr>
        <w:pStyle w:val="NormalWeb"/>
        <w:numPr>
          <w:ilvl w:val="0"/>
          <w:numId w:val="7"/>
        </w:numPr>
        <w:spacing w:before="0" w:beforeAutospacing="0" w:after="0" w:afterAutospacing="0"/>
        <w:rPr>
          <w:shd w:val="clear" w:color="auto" w:fill="FFFF00"/>
        </w:rPr>
      </w:pPr>
      <w:r w:rsidRPr="00E873B2">
        <w:rPr>
          <w:shd w:val="clear" w:color="auto" w:fill="FFFFFF"/>
        </w:rPr>
        <w:t xml:space="preserve">Rapid ventricular rate (≥120 bpm for ≥ 6 </w:t>
      </w:r>
      <w:proofErr w:type="spellStart"/>
      <w:r w:rsidRPr="00E873B2">
        <w:rPr>
          <w:shd w:val="clear" w:color="auto" w:fill="FFFFFF"/>
        </w:rPr>
        <w:t>hrs</w:t>
      </w:r>
      <w:proofErr w:type="spellEnd"/>
      <w:r w:rsidRPr="00E873B2">
        <w:rPr>
          <w:shd w:val="clear" w:color="auto" w:fill="FFFFFF"/>
        </w:rPr>
        <w:t xml:space="preserve"> AT/AF per day)</w:t>
      </w:r>
    </w:p>
    <w:p w14:paraId="042BBB01" w14:textId="77777777" w:rsidR="00A41604" w:rsidRPr="00E873B2" w:rsidRDefault="00A41604" w:rsidP="00A41604">
      <w:pPr>
        <w:pStyle w:val="NormalWeb"/>
        <w:numPr>
          <w:ilvl w:val="0"/>
          <w:numId w:val="7"/>
        </w:numPr>
        <w:spacing w:before="0" w:beforeAutospacing="0" w:after="0" w:afterAutospacing="0"/>
        <w:rPr>
          <w:shd w:val="clear" w:color="auto" w:fill="FFFF00"/>
        </w:rPr>
      </w:pPr>
      <w:r w:rsidRPr="00E873B2">
        <w:rPr>
          <w:lang w:val="en-CA"/>
        </w:rPr>
        <w:t>Lead impedance out of range</w:t>
      </w:r>
    </w:p>
    <w:p w14:paraId="1CB1D32E" w14:textId="77777777" w:rsidR="00A41604" w:rsidRPr="00E873B2" w:rsidRDefault="00A41604" w:rsidP="00A41604">
      <w:pPr>
        <w:pStyle w:val="NormalWeb"/>
        <w:numPr>
          <w:ilvl w:val="0"/>
          <w:numId w:val="7"/>
        </w:numPr>
        <w:spacing w:before="0" w:beforeAutospacing="0" w:after="0" w:afterAutospacing="0"/>
        <w:rPr>
          <w:shd w:val="clear" w:color="auto" w:fill="FFFF00"/>
        </w:rPr>
      </w:pPr>
      <w:r w:rsidRPr="00E873B2">
        <w:rPr>
          <w:lang w:val="en-CA"/>
        </w:rPr>
        <w:t>Low battery</w:t>
      </w:r>
    </w:p>
    <w:p w14:paraId="6CFF5FEE" w14:textId="77777777" w:rsidR="00A41604" w:rsidRPr="00E873B2" w:rsidRDefault="00A41604" w:rsidP="00A41604">
      <w:pPr>
        <w:pStyle w:val="NormalWeb"/>
        <w:numPr>
          <w:ilvl w:val="0"/>
          <w:numId w:val="7"/>
        </w:numPr>
        <w:spacing w:before="0" w:beforeAutospacing="0" w:after="0" w:afterAutospacing="0"/>
        <w:rPr>
          <w:shd w:val="clear" w:color="auto" w:fill="FFFF00"/>
        </w:rPr>
      </w:pPr>
      <w:r w:rsidRPr="00E873B2">
        <w:rPr>
          <w:lang w:val="en-CA"/>
        </w:rPr>
        <w:lastRenderedPageBreak/>
        <w:t>Need for device reprogramming</w:t>
      </w:r>
    </w:p>
    <w:p w14:paraId="1C100D99" w14:textId="77777777" w:rsidR="00A41604" w:rsidRPr="00E873B2" w:rsidRDefault="00A41604" w:rsidP="00A41604">
      <w:pPr>
        <w:pStyle w:val="NormalWeb"/>
        <w:numPr>
          <w:ilvl w:val="0"/>
          <w:numId w:val="7"/>
        </w:numPr>
        <w:spacing w:before="0" w:beforeAutospacing="0" w:after="0" w:afterAutospacing="0"/>
        <w:rPr>
          <w:shd w:val="clear" w:color="auto" w:fill="FFFF00"/>
        </w:rPr>
      </w:pPr>
      <w:r w:rsidRPr="00E873B2">
        <w:rPr>
          <w:lang w:val="en-CA"/>
        </w:rPr>
        <w:t>Lead Integrity alert</w:t>
      </w:r>
    </w:p>
    <w:p w14:paraId="565EC004" w14:textId="77777777" w:rsidR="00A41604" w:rsidRPr="00E873B2" w:rsidRDefault="00A41604" w:rsidP="00A41604">
      <w:pPr>
        <w:ind w:left="1620" w:hanging="1620"/>
      </w:pPr>
      <w:r w:rsidRPr="00E873B2">
        <w:t xml:space="preserve">SAS procedures: </w:t>
      </w:r>
      <w:r w:rsidRPr="00E873B2">
        <w:tab/>
        <w:t>MEANS</w:t>
      </w:r>
    </w:p>
    <w:p w14:paraId="0BF94308" w14:textId="77777777" w:rsidR="00A41604" w:rsidRPr="00E873B2" w:rsidRDefault="00A41604" w:rsidP="00A41604">
      <w:pPr>
        <w:ind w:left="1620"/>
      </w:pPr>
      <w:r w:rsidRPr="00E873B2">
        <w:t>SURVEYSELECT</w:t>
      </w:r>
    </w:p>
    <w:p w14:paraId="748D3AC2" w14:textId="77777777" w:rsidR="00A41604" w:rsidRPr="00E873B2" w:rsidRDefault="00A41604" w:rsidP="00A41604">
      <w:pPr>
        <w:pStyle w:val="ListParagraph"/>
        <w:autoSpaceDE w:val="0"/>
        <w:autoSpaceDN w:val="0"/>
        <w:adjustRightInd w:val="0"/>
      </w:pPr>
    </w:p>
    <w:p w14:paraId="69140ECC" w14:textId="77777777" w:rsidR="00A41604" w:rsidRPr="00E873B2" w:rsidRDefault="00A41604" w:rsidP="00A41604">
      <w:pPr>
        <w:autoSpaceDE w:val="0"/>
        <w:autoSpaceDN w:val="0"/>
        <w:adjustRightInd w:val="0"/>
        <w:rPr>
          <w:b/>
          <w:bCs/>
        </w:rPr>
      </w:pPr>
      <w:r w:rsidRPr="00E873B2">
        <w:rPr>
          <w:b/>
          <w:bCs/>
        </w:rPr>
        <w:t>Secondary Outcomes – Quality of Life</w:t>
      </w:r>
    </w:p>
    <w:p w14:paraId="41889EB9" w14:textId="77777777" w:rsidR="00A41604" w:rsidRPr="00E873B2" w:rsidRDefault="00A41604" w:rsidP="00A41604">
      <w:r w:rsidRPr="00E873B2">
        <w:t xml:space="preserve">Health-related quality of life will be assessed comparing VIRTUES and SOC.  For each group, the frequency distribution for each of the domains and component scores for the SF-36 will be tabulated and the mean, standard deviation, median and interquartile range (IQR) will be determined and 95% CIs calculated.  </w:t>
      </w:r>
      <w:r w:rsidRPr="00E873B2">
        <w:rPr>
          <w:color w:val="231F20"/>
        </w:rPr>
        <w:t xml:space="preserve">A mixed model repeated measures </w:t>
      </w:r>
      <w:r w:rsidRPr="00E873B2">
        <w:t xml:space="preserve">comparing the two groups (VIRTUES vs SOC) on changes in health-related quality of life over time </w:t>
      </w:r>
      <w:r w:rsidRPr="00E873B2">
        <w:rPr>
          <w:color w:val="231F20"/>
        </w:rPr>
        <w:t>will be conducted. A p-value&lt; 0.05 will be considered significant. The ITT population will be used.</w:t>
      </w:r>
    </w:p>
    <w:p w14:paraId="313DE74A" w14:textId="77777777" w:rsidR="00A41604" w:rsidRPr="00E873B2" w:rsidRDefault="00A41604" w:rsidP="00A41604">
      <w:pPr>
        <w:ind w:left="1701" w:hanging="1701"/>
      </w:pPr>
      <w:r w:rsidRPr="00E873B2">
        <w:t xml:space="preserve">SAS procedures: </w:t>
      </w:r>
      <w:r w:rsidRPr="00E873B2">
        <w:tab/>
        <w:t xml:space="preserve"> PROC MEANS </w:t>
      </w:r>
    </w:p>
    <w:p w14:paraId="2EDED1AF" w14:textId="77777777" w:rsidR="00A41604" w:rsidRPr="00E873B2" w:rsidRDefault="00A41604" w:rsidP="00A41604">
      <w:pPr>
        <w:ind w:left="1701"/>
      </w:pPr>
      <w:r w:rsidRPr="00E873B2">
        <w:t xml:space="preserve"> PROC MIXED</w:t>
      </w:r>
    </w:p>
    <w:p w14:paraId="351EEB36" w14:textId="77777777" w:rsidR="00A41604" w:rsidRPr="00E873B2" w:rsidRDefault="00A41604" w:rsidP="00A41604">
      <w:pPr>
        <w:ind w:left="1701"/>
      </w:pPr>
      <w:r w:rsidRPr="00E873B2">
        <w:t xml:space="preserve"> PROC TTEST</w:t>
      </w:r>
    </w:p>
    <w:p w14:paraId="7E3238C7" w14:textId="77777777" w:rsidR="00A41604" w:rsidRPr="00E873B2" w:rsidRDefault="00A41604" w:rsidP="00A41604">
      <w:pPr>
        <w:autoSpaceDE w:val="0"/>
        <w:autoSpaceDN w:val="0"/>
        <w:adjustRightInd w:val="0"/>
        <w:rPr>
          <w:b/>
          <w:bCs/>
        </w:rPr>
      </w:pPr>
    </w:p>
    <w:p w14:paraId="67B9130A" w14:textId="77777777" w:rsidR="00A41604" w:rsidRPr="00E873B2" w:rsidRDefault="00A41604" w:rsidP="00A41604">
      <w:pPr>
        <w:rPr>
          <w:b/>
          <w:bCs/>
          <w:color w:val="231F20"/>
        </w:rPr>
      </w:pPr>
      <w:r w:rsidRPr="00E873B2">
        <w:rPr>
          <w:b/>
          <w:bCs/>
          <w:color w:val="231F20"/>
        </w:rPr>
        <w:t>Cost Analysis</w:t>
      </w:r>
    </w:p>
    <w:p w14:paraId="421C6470" w14:textId="77777777" w:rsidR="00A41604" w:rsidRPr="00E873B2" w:rsidRDefault="00A41604" w:rsidP="00A41604">
      <w:pPr>
        <w:rPr>
          <w:color w:val="231F20"/>
        </w:rPr>
      </w:pPr>
      <w:r w:rsidRPr="00E873B2">
        <w:rPr>
          <w:color w:val="231F20"/>
        </w:rPr>
        <w:t>For PM and ICD separately, resource usage will be calculated and costed for:</w:t>
      </w:r>
    </w:p>
    <w:p w14:paraId="5645F58D" w14:textId="77777777" w:rsidR="00A41604" w:rsidRPr="00E873B2" w:rsidRDefault="00A41604" w:rsidP="00A41604">
      <w:pPr>
        <w:pStyle w:val="ListParagraph"/>
        <w:numPr>
          <w:ilvl w:val="0"/>
          <w:numId w:val="8"/>
        </w:numPr>
        <w:rPr>
          <w:rFonts w:eastAsia="Calibri"/>
          <w:color w:val="000000" w:themeColor="text1"/>
        </w:rPr>
      </w:pPr>
      <w:r w:rsidRPr="00E873B2">
        <w:rPr>
          <w:rFonts w:eastAsia="Calibri"/>
          <w:color w:val="000000" w:themeColor="text1"/>
        </w:rPr>
        <w:t>ED Visits/ Unplanned Cardiovascular hospitalizations</w:t>
      </w:r>
    </w:p>
    <w:p w14:paraId="54EA0C65" w14:textId="77777777" w:rsidR="00A41604" w:rsidRPr="00E873B2" w:rsidRDefault="00A41604" w:rsidP="00A41604">
      <w:pPr>
        <w:pStyle w:val="ListParagraph"/>
        <w:numPr>
          <w:ilvl w:val="0"/>
          <w:numId w:val="8"/>
        </w:numPr>
        <w:rPr>
          <w:rFonts w:eastAsia="Calibri"/>
          <w:color w:val="000000" w:themeColor="text1"/>
        </w:rPr>
      </w:pPr>
      <w:r w:rsidRPr="00E873B2">
        <w:rPr>
          <w:rFonts w:eastAsia="Calibri"/>
          <w:color w:val="000000" w:themeColor="text1"/>
        </w:rPr>
        <w:t>Physician visits - Family physician visits, Specialist visits</w:t>
      </w:r>
    </w:p>
    <w:p w14:paraId="31EA674B" w14:textId="77777777" w:rsidR="00A41604" w:rsidRPr="00E873B2" w:rsidRDefault="00A41604" w:rsidP="00A41604">
      <w:pPr>
        <w:rPr>
          <w:color w:val="231F20"/>
        </w:rPr>
      </w:pPr>
    </w:p>
    <w:p w14:paraId="0889719B" w14:textId="77777777" w:rsidR="00A41604" w:rsidRPr="00E873B2" w:rsidRDefault="00A41604" w:rsidP="00A41604">
      <w:pPr>
        <w:rPr>
          <w:b/>
          <w:bCs/>
          <w:color w:val="231F20"/>
        </w:rPr>
      </w:pPr>
      <w:r w:rsidRPr="00E873B2">
        <w:rPr>
          <w:b/>
          <w:bCs/>
          <w:color w:val="231F20"/>
        </w:rPr>
        <w:t>Health Economic Evaluation</w:t>
      </w:r>
    </w:p>
    <w:p w14:paraId="67E97069" w14:textId="1BD7F41E" w:rsidR="00A41604" w:rsidRPr="00E873B2" w:rsidRDefault="00A41604" w:rsidP="00A41604">
      <w:pPr>
        <w:rPr>
          <w:b/>
        </w:rPr>
      </w:pPr>
      <w:r w:rsidRPr="00E873B2">
        <w:rPr>
          <w:color w:val="231F20"/>
        </w:rPr>
        <w:t>First, an analysis will be conducted whereby we will assess the expected values for the costs and QALYs gained during the trial duration. Secondly, we will develop a Markov model which will incorporate the incidence of the primary clinical outcomes death, stroke, hospitalization for complications related to the device system and hospitalization for an adverse cardiovascular event and extrapolate from the time duration of the clinical trial to a lifetime time horizon.  The model will incorporate the short-term data on costs, QALYs and clinical outcomes and will further be enhanced with data from the literature. </w:t>
      </w:r>
    </w:p>
    <w:sectPr w:rsidR="00A41604" w:rsidRPr="00E873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KJEDC I+ Futura St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43DB"/>
    <w:multiLevelType w:val="hybridMultilevel"/>
    <w:tmpl w:val="B0BA7CDE"/>
    <w:lvl w:ilvl="0" w:tplc="C854BB02">
      <w:start w:val="1"/>
      <w:numFmt w:val="bullet"/>
      <w:lvlText w:val=""/>
      <w:lvlJc w:val="left"/>
      <w:pPr>
        <w:ind w:left="780" w:hanging="360"/>
      </w:pPr>
      <w:rPr>
        <w:rFonts w:ascii="Symbol" w:hAnsi="Symbol" w:hint="default"/>
        <w:sz w:val="16"/>
        <w:szCs w:val="16"/>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 w15:restartNumberingAfterBreak="0">
    <w:nsid w:val="069773FB"/>
    <w:multiLevelType w:val="hybridMultilevel"/>
    <w:tmpl w:val="748CA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E436CE"/>
    <w:multiLevelType w:val="hybridMultilevel"/>
    <w:tmpl w:val="5E707C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313AA3"/>
    <w:multiLevelType w:val="hybridMultilevel"/>
    <w:tmpl w:val="48507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4268D3"/>
    <w:multiLevelType w:val="hybridMultilevel"/>
    <w:tmpl w:val="7B526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2135F6"/>
    <w:multiLevelType w:val="hybridMultilevel"/>
    <w:tmpl w:val="EBA0F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476FED"/>
    <w:multiLevelType w:val="hybridMultilevel"/>
    <w:tmpl w:val="34283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B0452A"/>
    <w:multiLevelType w:val="hybridMultilevel"/>
    <w:tmpl w:val="7DCED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14716D"/>
    <w:multiLevelType w:val="hybridMultilevel"/>
    <w:tmpl w:val="43CEAF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A287118"/>
    <w:multiLevelType w:val="hybridMultilevel"/>
    <w:tmpl w:val="E79CD4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241BB6"/>
    <w:multiLevelType w:val="hybridMultilevel"/>
    <w:tmpl w:val="89285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F83F1F"/>
    <w:multiLevelType w:val="multilevel"/>
    <w:tmpl w:val="91C6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440B7E"/>
    <w:multiLevelType w:val="hybridMultilevel"/>
    <w:tmpl w:val="513022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759860255">
    <w:abstractNumId w:val="2"/>
  </w:num>
  <w:num w:numId="2" w16cid:durableId="177888452">
    <w:abstractNumId w:val="8"/>
  </w:num>
  <w:num w:numId="3" w16cid:durableId="1887792104">
    <w:abstractNumId w:val="4"/>
  </w:num>
  <w:num w:numId="4" w16cid:durableId="745689931">
    <w:abstractNumId w:val="0"/>
  </w:num>
  <w:num w:numId="5" w16cid:durableId="1734350719">
    <w:abstractNumId w:val="11"/>
  </w:num>
  <w:num w:numId="6" w16cid:durableId="77139354">
    <w:abstractNumId w:val="1"/>
  </w:num>
  <w:num w:numId="7" w16cid:durableId="505902927">
    <w:abstractNumId w:val="9"/>
  </w:num>
  <w:num w:numId="8" w16cid:durableId="354383228">
    <w:abstractNumId w:val="10"/>
  </w:num>
  <w:num w:numId="9" w16cid:durableId="27920808">
    <w:abstractNumId w:val="3"/>
  </w:num>
  <w:num w:numId="10" w16cid:durableId="1327633930">
    <w:abstractNumId w:val="6"/>
  </w:num>
  <w:num w:numId="11" w16cid:durableId="1963219256">
    <w:abstractNumId w:val="5"/>
  </w:num>
  <w:num w:numId="12" w16cid:durableId="1372194764">
    <w:abstractNumId w:val="7"/>
  </w:num>
  <w:num w:numId="13" w16cid:durableId="7687015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A62"/>
    <w:rsid w:val="000225B7"/>
    <w:rsid w:val="0002791E"/>
    <w:rsid w:val="00050219"/>
    <w:rsid w:val="00067643"/>
    <w:rsid w:val="00073166"/>
    <w:rsid w:val="00073F93"/>
    <w:rsid w:val="00091F4F"/>
    <w:rsid w:val="000B77D5"/>
    <w:rsid w:val="000E21B0"/>
    <w:rsid w:val="000E5646"/>
    <w:rsid w:val="00106124"/>
    <w:rsid w:val="001069F7"/>
    <w:rsid w:val="001313EF"/>
    <w:rsid w:val="00146F46"/>
    <w:rsid w:val="00151742"/>
    <w:rsid w:val="0015618F"/>
    <w:rsid w:val="00156B5A"/>
    <w:rsid w:val="00161466"/>
    <w:rsid w:val="0016258B"/>
    <w:rsid w:val="00174ABB"/>
    <w:rsid w:val="001B7AA1"/>
    <w:rsid w:val="001B7C66"/>
    <w:rsid w:val="001C1E3E"/>
    <w:rsid w:val="001C74FE"/>
    <w:rsid w:val="001E79A1"/>
    <w:rsid w:val="001F071D"/>
    <w:rsid w:val="002067A7"/>
    <w:rsid w:val="00211564"/>
    <w:rsid w:val="00242EE2"/>
    <w:rsid w:val="00247DDA"/>
    <w:rsid w:val="00251ECE"/>
    <w:rsid w:val="00255D9F"/>
    <w:rsid w:val="00260DD0"/>
    <w:rsid w:val="00281658"/>
    <w:rsid w:val="00284A15"/>
    <w:rsid w:val="002C169B"/>
    <w:rsid w:val="002C3BBF"/>
    <w:rsid w:val="002C5842"/>
    <w:rsid w:val="002D3238"/>
    <w:rsid w:val="0030204F"/>
    <w:rsid w:val="003200D7"/>
    <w:rsid w:val="003307BE"/>
    <w:rsid w:val="003326B3"/>
    <w:rsid w:val="00333C5E"/>
    <w:rsid w:val="00354BD8"/>
    <w:rsid w:val="00363692"/>
    <w:rsid w:val="00364897"/>
    <w:rsid w:val="00370E73"/>
    <w:rsid w:val="00376BAE"/>
    <w:rsid w:val="0038269C"/>
    <w:rsid w:val="00382CFE"/>
    <w:rsid w:val="003B5745"/>
    <w:rsid w:val="003D031F"/>
    <w:rsid w:val="003D1A62"/>
    <w:rsid w:val="003D3675"/>
    <w:rsid w:val="003F1F2B"/>
    <w:rsid w:val="004136EA"/>
    <w:rsid w:val="00432562"/>
    <w:rsid w:val="0043269D"/>
    <w:rsid w:val="004335FC"/>
    <w:rsid w:val="004347B2"/>
    <w:rsid w:val="00452007"/>
    <w:rsid w:val="00490AF1"/>
    <w:rsid w:val="004912ED"/>
    <w:rsid w:val="004B6DF4"/>
    <w:rsid w:val="00515EE9"/>
    <w:rsid w:val="005472CC"/>
    <w:rsid w:val="005516AE"/>
    <w:rsid w:val="005537A6"/>
    <w:rsid w:val="00566873"/>
    <w:rsid w:val="00576818"/>
    <w:rsid w:val="00592AD7"/>
    <w:rsid w:val="005C4622"/>
    <w:rsid w:val="005D54AC"/>
    <w:rsid w:val="005F0BE1"/>
    <w:rsid w:val="00606307"/>
    <w:rsid w:val="006563F6"/>
    <w:rsid w:val="00671FF9"/>
    <w:rsid w:val="006876EE"/>
    <w:rsid w:val="006932C9"/>
    <w:rsid w:val="006A4E69"/>
    <w:rsid w:val="006B2D38"/>
    <w:rsid w:val="006F581D"/>
    <w:rsid w:val="00714F1B"/>
    <w:rsid w:val="00724268"/>
    <w:rsid w:val="00742B76"/>
    <w:rsid w:val="00752B67"/>
    <w:rsid w:val="00775842"/>
    <w:rsid w:val="00777652"/>
    <w:rsid w:val="00796A07"/>
    <w:rsid w:val="007A6236"/>
    <w:rsid w:val="007B3CFD"/>
    <w:rsid w:val="007B6137"/>
    <w:rsid w:val="007E7C9E"/>
    <w:rsid w:val="007F211A"/>
    <w:rsid w:val="007F401F"/>
    <w:rsid w:val="00805F89"/>
    <w:rsid w:val="008175BA"/>
    <w:rsid w:val="008268DB"/>
    <w:rsid w:val="0085320B"/>
    <w:rsid w:val="00855F73"/>
    <w:rsid w:val="008671CF"/>
    <w:rsid w:val="00880F31"/>
    <w:rsid w:val="008A4316"/>
    <w:rsid w:val="008B0AA8"/>
    <w:rsid w:val="008B703E"/>
    <w:rsid w:val="008D39FA"/>
    <w:rsid w:val="008F2445"/>
    <w:rsid w:val="009050A2"/>
    <w:rsid w:val="0091080F"/>
    <w:rsid w:val="00915449"/>
    <w:rsid w:val="00935E49"/>
    <w:rsid w:val="00970492"/>
    <w:rsid w:val="00971255"/>
    <w:rsid w:val="0097275D"/>
    <w:rsid w:val="0097722A"/>
    <w:rsid w:val="009A1AC9"/>
    <w:rsid w:val="009A3417"/>
    <w:rsid w:val="009D2C59"/>
    <w:rsid w:val="009E6441"/>
    <w:rsid w:val="009E6803"/>
    <w:rsid w:val="009F0EE6"/>
    <w:rsid w:val="009F7A26"/>
    <w:rsid w:val="00A071F6"/>
    <w:rsid w:val="00A145B9"/>
    <w:rsid w:val="00A17A65"/>
    <w:rsid w:val="00A41604"/>
    <w:rsid w:val="00A41EDE"/>
    <w:rsid w:val="00A453FE"/>
    <w:rsid w:val="00A53E9B"/>
    <w:rsid w:val="00A613AA"/>
    <w:rsid w:val="00A64DAF"/>
    <w:rsid w:val="00A650D1"/>
    <w:rsid w:val="00A73DBF"/>
    <w:rsid w:val="00A92719"/>
    <w:rsid w:val="00A9282C"/>
    <w:rsid w:val="00AB35DE"/>
    <w:rsid w:val="00AB431A"/>
    <w:rsid w:val="00AB66D7"/>
    <w:rsid w:val="00AC7B42"/>
    <w:rsid w:val="00AF074D"/>
    <w:rsid w:val="00AF4455"/>
    <w:rsid w:val="00B03ECD"/>
    <w:rsid w:val="00B13FD8"/>
    <w:rsid w:val="00B21A45"/>
    <w:rsid w:val="00B352D7"/>
    <w:rsid w:val="00B4066F"/>
    <w:rsid w:val="00B56011"/>
    <w:rsid w:val="00B6698E"/>
    <w:rsid w:val="00B81854"/>
    <w:rsid w:val="00B84F46"/>
    <w:rsid w:val="00B932C8"/>
    <w:rsid w:val="00BC24CE"/>
    <w:rsid w:val="00BD4D59"/>
    <w:rsid w:val="00BE70D4"/>
    <w:rsid w:val="00BF7C94"/>
    <w:rsid w:val="00C07E10"/>
    <w:rsid w:val="00C117DD"/>
    <w:rsid w:val="00C15866"/>
    <w:rsid w:val="00C16283"/>
    <w:rsid w:val="00C24E32"/>
    <w:rsid w:val="00C53834"/>
    <w:rsid w:val="00C623B1"/>
    <w:rsid w:val="00C643A7"/>
    <w:rsid w:val="00C70798"/>
    <w:rsid w:val="00CA3683"/>
    <w:rsid w:val="00CA7B1A"/>
    <w:rsid w:val="00CE0581"/>
    <w:rsid w:val="00D13CC2"/>
    <w:rsid w:val="00D20199"/>
    <w:rsid w:val="00D260F4"/>
    <w:rsid w:val="00D357AE"/>
    <w:rsid w:val="00D54414"/>
    <w:rsid w:val="00D6439E"/>
    <w:rsid w:val="00DC24B1"/>
    <w:rsid w:val="00DF0B6F"/>
    <w:rsid w:val="00DF444B"/>
    <w:rsid w:val="00E16365"/>
    <w:rsid w:val="00E244CD"/>
    <w:rsid w:val="00E26676"/>
    <w:rsid w:val="00E63EA5"/>
    <w:rsid w:val="00E63F40"/>
    <w:rsid w:val="00E7036D"/>
    <w:rsid w:val="00E73197"/>
    <w:rsid w:val="00E873B2"/>
    <w:rsid w:val="00EC4553"/>
    <w:rsid w:val="00ED371E"/>
    <w:rsid w:val="00ED7E7B"/>
    <w:rsid w:val="00EF782E"/>
    <w:rsid w:val="00F03548"/>
    <w:rsid w:val="00F2661B"/>
    <w:rsid w:val="00F2698C"/>
    <w:rsid w:val="00F269D8"/>
    <w:rsid w:val="00F27892"/>
    <w:rsid w:val="00F50B48"/>
    <w:rsid w:val="00F50C12"/>
    <w:rsid w:val="00F63447"/>
    <w:rsid w:val="00F67727"/>
    <w:rsid w:val="00F72F1C"/>
    <w:rsid w:val="00F748C8"/>
    <w:rsid w:val="00F9347E"/>
    <w:rsid w:val="00FA3224"/>
    <w:rsid w:val="00FB361B"/>
    <w:rsid w:val="00FB5FC3"/>
    <w:rsid w:val="00FC1826"/>
    <w:rsid w:val="00FD2923"/>
    <w:rsid w:val="00FE75F2"/>
    <w:rsid w:val="00FF1B1A"/>
    <w:rsid w:val="00FF227B"/>
    <w:rsid w:val="00FF79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B3AD3"/>
  <w15:docId w15:val="{C2989BDF-11DF-4795-9507-2E941074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B1A"/>
    <w:pPr>
      <w:spacing w:after="0" w:line="240" w:lineRule="auto"/>
    </w:pPr>
    <w:rPr>
      <w:rFonts w:ascii="Times New Roman" w:eastAsia="Times New Roman" w:hAnsi="Times New Roman" w:cs="Times New Roman"/>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D1A62"/>
    <w:rPr>
      <w:sz w:val="16"/>
      <w:szCs w:val="16"/>
    </w:rPr>
  </w:style>
  <w:style w:type="paragraph" w:styleId="CommentText">
    <w:name w:val="annotation text"/>
    <w:basedOn w:val="Normal"/>
    <w:link w:val="CommentTextChar"/>
    <w:uiPriority w:val="99"/>
    <w:unhideWhenUsed/>
    <w:rsid w:val="003D1A62"/>
    <w:rPr>
      <w:sz w:val="20"/>
      <w:szCs w:val="20"/>
    </w:rPr>
  </w:style>
  <w:style w:type="character" w:customStyle="1" w:styleId="CommentTextChar">
    <w:name w:val="Comment Text Char"/>
    <w:basedOn w:val="DefaultParagraphFont"/>
    <w:link w:val="CommentText"/>
    <w:uiPriority w:val="99"/>
    <w:rsid w:val="003D1A62"/>
    <w:rPr>
      <w:sz w:val="20"/>
      <w:szCs w:val="20"/>
    </w:rPr>
  </w:style>
  <w:style w:type="paragraph" w:styleId="CommentSubject">
    <w:name w:val="annotation subject"/>
    <w:basedOn w:val="CommentText"/>
    <w:next w:val="CommentText"/>
    <w:link w:val="CommentSubjectChar"/>
    <w:uiPriority w:val="99"/>
    <w:semiHidden/>
    <w:unhideWhenUsed/>
    <w:rsid w:val="003D1A62"/>
    <w:rPr>
      <w:b/>
      <w:bCs/>
    </w:rPr>
  </w:style>
  <w:style w:type="character" w:customStyle="1" w:styleId="CommentSubjectChar">
    <w:name w:val="Comment Subject Char"/>
    <w:basedOn w:val="CommentTextChar"/>
    <w:link w:val="CommentSubject"/>
    <w:uiPriority w:val="99"/>
    <w:semiHidden/>
    <w:rsid w:val="003D1A62"/>
    <w:rPr>
      <w:b/>
      <w:bCs/>
      <w:sz w:val="20"/>
      <w:szCs w:val="20"/>
    </w:rPr>
  </w:style>
  <w:style w:type="paragraph" w:styleId="BalloonText">
    <w:name w:val="Balloon Text"/>
    <w:basedOn w:val="Normal"/>
    <w:link w:val="BalloonTextChar"/>
    <w:uiPriority w:val="99"/>
    <w:semiHidden/>
    <w:unhideWhenUsed/>
    <w:rsid w:val="003D1A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A62"/>
    <w:rPr>
      <w:rFonts w:ascii="Segoe UI" w:hAnsi="Segoe UI" w:cs="Segoe UI"/>
      <w:sz w:val="18"/>
      <w:szCs w:val="18"/>
    </w:rPr>
  </w:style>
  <w:style w:type="paragraph" w:styleId="NormalWeb">
    <w:name w:val="Normal (Web)"/>
    <w:basedOn w:val="Normal"/>
    <w:link w:val="NormalWebChar"/>
    <w:uiPriority w:val="99"/>
    <w:rsid w:val="003D1A62"/>
    <w:pPr>
      <w:spacing w:before="100" w:beforeAutospacing="1" w:after="100" w:afterAutospacing="1"/>
    </w:pPr>
    <w:rPr>
      <w:rFonts w:eastAsia="MS Mincho"/>
      <w:lang w:val="en-US" w:eastAsia="ja-JP"/>
    </w:rPr>
  </w:style>
  <w:style w:type="paragraph" w:styleId="ListParagraph">
    <w:name w:val="List Paragraph"/>
    <w:basedOn w:val="Normal"/>
    <w:uiPriority w:val="34"/>
    <w:qFormat/>
    <w:rsid w:val="00382CFE"/>
    <w:pPr>
      <w:ind w:left="720"/>
      <w:contextualSpacing/>
    </w:pPr>
  </w:style>
  <w:style w:type="character" w:customStyle="1" w:styleId="NormalWebChar">
    <w:name w:val="Normal (Web) Char"/>
    <w:basedOn w:val="DefaultParagraphFont"/>
    <w:link w:val="NormalWeb"/>
    <w:rsid w:val="009A3417"/>
    <w:rPr>
      <w:rFonts w:ascii="Times New Roman" w:eastAsia="MS Mincho" w:hAnsi="Times New Roman" w:cs="Times New Roman"/>
      <w:sz w:val="24"/>
      <w:szCs w:val="24"/>
      <w:lang w:val="en-US" w:eastAsia="ja-JP"/>
    </w:rPr>
  </w:style>
  <w:style w:type="character" w:styleId="Hyperlink">
    <w:name w:val="Hyperlink"/>
    <w:uiPriority w:val="99"/>
    <w:rsid w:val="0030204F"/>
    <w:rPr>
      <w:color w:val="003063"/>
      <w:u w:val="single"/>
    </w:rPr>
  </w:style>
  <w:style w:type="paragraph" w:styleId="Revision">
    <w:name w:val="Revision"/>
    <w:hidden/>
    <w:uiPriority w:val="99"/>
    <w:semiHidden/>
    <w:rsid w:val="00A73DBF"/>
    <w:pPr>
      <w:spacing w:after="0" w:line="240" w:lineRule="auto"/>
    </w:pPr>
    <w:rPr>
      <w:rFonts w:ascii="Times New Roman" w:eastAsia="Times New Roman" w:hAnsi="Times New Roman" w:cs="Times New Roman"/>
      <w:sz w:val="24"/>
      <w:szCs w:val="24"/>
      <w:lang w:val="en-CA" w:eastAsia="en-CA"/>
    </w:rPr>
  </w:style>
  <w:style w:type="paragraph" w:customStyle="1" w:styleId="Default">
    <w:name w:val="Default"/>
    <w:rsid w:val="008F2445"/>
    <w:pPr>
      <w:autoSpaceDE w:val="0"/>
      <w:autoSpaceDN w:val="0"/>
      <w:adjustRightInd w:val="0"/>
      <w:spacing w:after="0" w:line="240" w:lineRule="auto"/>
    </w:pPr>
    <w:rPr>
      <w:rFonts w:ascii="KJEDC I+ Futura Std" w:hAnsi="KJEDC I+ Futura Std" w:cs="KJEDC I+ Futura Std"/>
      <w:color w:val="000000"/>
      <w:sz w:val="24"/>
      <w:szCs w:val="24"/>
      <w:lang w:val="en-CA"/>
    </w:rPr>
  </w:style>
  <w:style w:type="table" w:styleId="TableGrid">
    <w:name w:val="Table Grid"/>
    <w:basedOn w:val="TableNormal"/>
    <w:uiPriority w:val="59"/>
    <w:rsid w:val="00490AF1"/>
    <w:pPr>
      <w:spacing w:after="240" w:line="480" w:lineRule="auto"/>
      <w:ind w:firstLine="360"/>
    </w:pPr>
    <w:rPr>
      <w:rFonts w:eastAsiaTheme="minorEastAsia" w:cs="Cambr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6637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70352-3506-4B1E-A194-27DC9EFE6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2934</Words>
  <Characters>16726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lizyetisir</dc:creator>
  <cp:keywords/>
  <dc:description/>
  <cp:lastModifiedBy>Parkash, Ratika</cp:lastModifiedBy>
  <cp:revision>3</cp:revision>
  <cp:lastPrinted>2016-03-04T12:46:00Z</cp:lastPrinted>
  <dcterms:created xsi:type="dcterms:W3CDTF">2026-09-22T09:06:00Z</dcterms:created>
  <dcterms:modified xsi:type="dcterms:W3CDTF">2026-09-22T19:23:00Z</dcterms:modified>
</cp:coreProperties>
</file>