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367" w:rsidRDefault="001F7AC8">
      <w:pPr>
        <w:spacing w:after="80"/>
        <w:jc w:val="center"/>
      </w:pPr>
      <w:r>
        <w:rPr>
          <w:b/>
          <w:bCs/>
          <w:sz w:val="30"/>
          <w:szCs w:val="30"/>
        </w:rPr>
        <w:t>Supplementary File S1</w:t>
      </w:r>
    </w:p>
    <w:p w:rsidR="00872367" w:rsidRDefault="001F7AC8">
      <w:pPr>
        <w:spacing w:after="80"/>
        <w:jc w:val="center"/>
      </w:pPr>
      <w:r>
        <w:rPr>
          <w:b/>
          <w:bCs/>
          <w:sz w:val="26"/>
          <w:szCs w:val="26"/>
        </w:rPr>
        <w:t>Reconstructed Survey Questionnaire, Variable Codebook and Analysis Settings</w:t>
      </w:r>
    </w:p>
    <w:p w:rsidR="00872367" w:rsidRDefault="001F7AC8" w:rsidP="00C66A02">
      <w:pPr>
        <w:spacing w:after="240"/>
        <w:jc w:val="center"/>
      </w:pPr>
      <w:r>
        <w:rPr>
          <w:i/>
          <w:iCs/>
        </w:rPr>
        <w:t>Supplement to: “The Nexus between Logistics Management, Competitive Advantage, and Organizational Performance in SMEs: Evidence from the Jordanian Fabric Sector”</w:t>
      </w:r>
    </w:p>
    <w:p w:rsidR="00872367" w:rsidRDefault="001F7AC8">
      <w:pPr>
        <w:pStyle w:val="Heading2"/>
        <w:spacing w:before="200" w:after="100"/>
      </w:pPr>
      <w:r>
        <w:rPr>
          <w:b/>
          <w:bCs/>
          <w:sz w:val="23"/>
          <w:szCs w:val="23"/>
        </w:rPr>
        <w:t>Status labels used throughout this file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8060"/>
      </w:tblGrid>
      <w:tr w:rsidR="00872367">
        <w:tblPrEx>
          <w:tblCellMar>
            <w:top w:w="0" w:type="dxa"/>
            <w:bottom w:w="0" w:type="dxa"/>
          </w:tblCellMar>
        </w:tblPrEx>
        <w:trPr>
          <w:tblHeader/>
        </w:trPr>
        <w:tc>
          <w:tcPr>
            <w:tcW w:w="1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Label</w:t>
            </w:r>
          </w:p>
        </w:tc>
        <w:tc>
          <w:tcPr>
            <w:tcW w:w="80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Meaning</w:t>
            </w:r>
          </w:p>
        </w:tc>
      </w:tr>
      <w:tr w:rsidR="00872367">
        <w:tblPrEx>
          <w:tblCellMar>
            <w:top w:w="0" w:type="dxa"/>
            <w:bottom w:w="0" w:type="dxa"/>
          </w:tblCellMar>
        </w:tblPrEx>
        <w:tc>
          <w:tcPr>
            <w:tcW w:w="13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[D] Documented</w:t>
            </w:r>
          </w:p>
        </w:tc>
        <w:tc>
          <w:tcPr>
            <w:tcW w:w="80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Reported in the article (e.g., construct, indicator name, item code, response scale, source, retention status, loading).</w:t>
            </w:r>
          </w:p>
        </w:tc>
      </w:tr>
      <w:tr w:rsidR="00872367">
        <w:tblPrEx>
          <w:tblCellMar>
            <w:top w:w="0" w:type="dxa"/>
            <w:bottom w:w="0" w:type="dxa"/>
          </w:tblCellMar>
        </w:tblPrEx>
        <w:tc>
          <w:tcPr>
            <w:tcW w:w="13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[R] Reconstructed</w:t>
            </w:r>
          </w:p>
        </w:tc>
        <w:tc>
          <w:tcPr>
            <w:tcW w:w="80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Item wording written for this supplement from the indicator name and construct definition. It is not the original wording.</w:t>
            </w:r>
          </w:p>
        </w:tc>
      </w:tr>
      <w:tr w:rsidR="00872367">
        <w:tblPrEx>
          <w:tblCellMar>
            <w:top w:w="0" w:type="dxa"/>
            <w:bottom w:w="0" w:type="dxa"/>
          </w:tblCellMar>
        </w:tblPrEx>
        <w:tc>
          <w:tcPr>
            <w:tcW w:w="13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[I] Inferred</w:t>
            </w:r>
          </w:p>
        </w:tc>
        <w:tc>
          <w:tcPr>
            <w:tcW w:w="80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 xml:space="preserve">An element whose existence is implied by the article (e.g., consent information, eligibility screening, section order) </w:t>
            </w:r>
            <w:r>
              <w:rPr>
                <w:sz w:val="19"/>
                <w:szCs w:val="19"/>
              </w:rPr>
              <w:t>but whose content or exact form is not reported.</w:t>
            </w:r>
          </w:p>
        </w:tc>
      </w:tr>
    </w:tbl>
    <w:p w:rsidR="00872367" w:rsidRDefault="001F7AC8">
      <w:pPr>
        <w:pStyle w:val="Heading1"/>
        <w:spacing w:before="280" w:after="120"/>
      </w:pPr>
      <w:r>
        <w:rPr>
          <w:b/>
          <w:bCs/>
          <w:sz w:val="26"/>
          <w:szCs w:val="26"/>
        </w:rPr>
        <w:t>Part 1. Reconstructed questionnaire</w:t>
      </w:r>
    </w:p>
    <w:p w:rsidR="00872367" w:rsidRDefault="001F7AC8">
      <w:pPr>
        <w:pStyle w:val="Heading2"/>
        <w:spacing w:before="200" w:after="100"/>
      </w:pPr>
      <w:r>
        <w:rPr>
          <w:b/>
          <w:bCs/>
          <w:sz w:val="23"/>
          <w:szCs w:val="23"/>
        </w:rPr>
        <w:t>Section A. Participant information and consent [I]</w:t>
      </w:r>
    </w:p>
    <w:p w:rsidR="00872367" w:rsidRDefault="001F7AC8">
      <w:pPr>
        <w:spacing w:after="120" w:line="276" w:lineRule="auto"/>
        <w:jc w:val="both"/>
      </w:pPr>
      <w:r>
        <w:rPr>
          <w:i/>
          <w:iCs/>
        </w:rPr>
        <w:t>Status: inferred. The article states that participants were informed electronically about the purpose and procedures of</w:t>
      </w:r>
      <w:r>
        <w:rPr>
          <w:i/>
          <w:iCs/>
        </w:rPr>
        <w:t xml:space="preserve"> the research before taking part, that participation was voluntary, and that confidentiality and anonymity were assured. The text below reconstructs this information; it is not the original wording.</w:t>
      </w:r>
    </w:p>
    <w:p w:rsidR="00872367" w:rsidRDefault="001F7AC8">
      <w:pPr>
        <w:spacing w:after="120" w:line="276" w:lineRule="auto"/>
        <w:jc w:val="both"/>
      </w:pPr>
      <w:r>
        <w:t>Dear participant,</w:t>
      </w:r>
    </w:p>
    <w:p w:rsidR="00872367" w:rsidRDefault="001F7AC8">
      <w:pPr>
        <w:spacing w:after="120" w:line="276" w:lineRule="auto"/>
        <w:jc w:val="both"/>
      </w:pPr>
      <w:r>
        <w:t>You are invited to take part in a resea</w:t>
      </w:r>
      <w:r>
        <w:t>rch study on logistics management, competitive advantage and organizational performance in small and medium-sized enterprises (SMEs) in the fabric and textile sector of Madaba Governorate, Jordan. The questionnaire should be completed by the owner or gener</w:t>
      </w:r>
      <w:r>
        <w:t>al manager of the firm or, if they are unavailable, by the senior employee responsible for logistics or operations.</w:t>
      </w:r>
    </w:p>
    <w:p w:rsidR="00872367" w:rsidRDefault="001F7AC8">
      <w:pPr>
        <w:spacing w:after="120" w:line="276" w:lineRule="auto"/>
        <w:jc w:val="both"/>
      </w:pPr>
      <w:r>
        <w:t>Participation is voluntary, and you may stop at any time without giving a reason. The questionnaire is anonymous: it does not ask for your n</w:t>
      </w:r>
      <w:r>
        <w:t>ame or the name of your firm. Your answers will be treated as confidential, will be analysed only in aggregate form and will be used for research purposes only. There are no right or wrong answers; please answer according to the actual situation of your fi</w:t>
      </w:r>
      <w:r>
        <w:t>rm.</w:t>
      </w:r>
    </w:p>
    <w:p w:rsidR="00872367" w:rsidRDefault="001F7AC8">
      <w:pPr>
        <w:spacing w:after="120" w:line="276" w:lineRule="auto"/>
        <w:jc w:val="both"/>
      </w:pPr>
      <w:r>
        <w:t>By continuing to the questions below, you confirm that you have read this information and agree to take part in the study.</w:t>
      </w:r>
    </w:p>
    <w:p w:rsidR="00872367" w:rsidRDefault="001F7AC8">
      <w:pPr>
        <w:pStyle w:val="Heading2"/>
        <w:spacing w:before="200" w:after="100"/>
      </w:pPr>
      <w:r>
        <w:rPr>
          <w:b/>
          <w:bCs/>
          <w:sz w:val="23"/>
          <w:szCs w:val="23"/>
        </w:rPr>
        <w:t>Section B. Eligibility and respondent role [I]</w:t>
      </w:r>
    </w:p>
    <w:p w:rsidR="00872367" w:rsidRDefault="001F7AC8">
      <w:pPr>
        <w:spacing w:after="120" w:line="276" w:lineRule="auto"/>
        <w:jc w:val="both"/>
      </w:pPr>
      <w:r>
        <w:rPr>
          <w:i/>
          <w:iCs/>
        </w:rPr>
        <w:t>Status: inferred. The article reports that firms had to have operated for at least two years and to employ at least five people, and that one key informant per firm responded. Whether these criteria were checked through questions in the instrument or appli</w:t>
      </w:r>
      <w:r>
        <w:rPr>
          <w:i/>
          <w:iCs/>
        </w:rPr>
        <w:t>ed during sample selection is not reported. The response categories below are reconstructed.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660"/>
        <w:gridCol w:w="4000"/>
      </w:tblGrid>
      <w:tr w:rsidR="00872367">
        <w:tblPrEx>
          <w:tblCellMar>
            <w:top w:w="0" w:type="dxa"/>
            <w:bottom w:w="0" w:type="dxa"/>
          </w:tblCellMar>
        </w:tblPrEx>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Code</w:t>
            </w:r>
          </w:p>
        </w:tc>
        <w:tc>
          <w:tcPr>
            <w:tcW w:w="46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Question</w:t>
            </w:r>
          </w:p>
        </w:tc>
        <w:tc>
          <w:tcPr>
            <w:tcW w:w="4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Response options</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B1</w:t>
            </w:r>
          </w:p>
        </w:tc>
        <w:tc>
          <w:tcPr>
            <w:tcW w:w="4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How many years has your firm been operating?</w:t>
            </w:r>
          </w:p>
        </w:tc>
        <w:tc>
          <w:tcPr>
            <w:tcW w:w="4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 Less than 2 years (not eligible)   ☐ 2 years or more</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B2</w:t>
            </w:r>
          </w:p>
        </w:tc>
        <w:tc>
          <w:tcPr>
            <w:tcW w:w="4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How many people does your firm currently employ?</w:t>
            </w:r>
          </w:p>
        </w:tc>
        <w:tc>
          <w:tcPr>
            <w:tcW w:w="4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 Fewer than 5 (not eligible)   ☐ 5 or more</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B3</w:t>
            </w:r>
          </w:p>
        </w:tc>
        <w:tc>
          <w:tcPr>
            <w:tcW w:w="4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What is your position in the firm?</w:t>
            </w:r>
          </w:p>
        </w:tc>
        <w:tc>
          <w:tcPr>
            <w:tcW w:w="4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 Owner   ☐ General manager   ☐ Senior employee responsible for logistics or operations   ☐ Other (not eligible)</w:t>
            </w:r>
          </w:p>
        </w:tc>
      </w:tr>
    </w:tbl>
    <w:p w:rsidR="00C66A02" w:rsidRDefault="00C66A02">
      <w:pPr>
        <w:pStyle w:val="Heading2"/>
        <w:spacing w:before="200" w:after="100"/>
        <w:rPr>
          <w:b/>
          <w:bCs/>
          <w:sz w:val="23"/>
          <w:szCs w:val="23"/>
          <w:rtl/>
        </w:rPr>
      </w:pPr>
    </w:p>
    <w:p w:rsidR="00872367" w:rsidRDefault="001F7AC8">
      <w:pPr>
        <w:pStyle w:val="Heading2"/>
        <w:spacing w:before="200" w:after="100"/>
      </w:pPr>
      <w:bookmarkStart w:id="0" w:name="_GoBack"/>
      <w:bookmarkEnd w:id="0"/>
      <w:r>
        <w:rPr>
          <w:b/>
          <w:bCs/>
          <w:sz w:val="23"/>
          <w:szCs w:val="23"/>
        </w:rPr>
        <w:lastRenderedPageBreak/>
        <w:t>Response s</w:t>
      </w:r>
      <w:r>
        <w:rPr>
          <w:b/>
          <w:bCs/>
          <w:sz w:val="23"/>
          <w:szCs w:val="23"/>
        </w:rPr>
        <w:t>cale for Sections C–E [D]</w:t>
      </w:r>
    </w:p>
    <w:p w:rsidR="00872367" w:rsidRDefault="001F7AC8">
      <w:pPr>
        <w:spacing w:after="120" w:line="276" w:lineRule="auto"/>
        <w:jc w:val="both"/>
      </w:pPr>
      <w:r>
        <w:t>Please indicate the extent to which you agree or disagree with each statement about your firm by ticking one box: 1 = strongly disagree; 2 = disagree; 3 = neutral; 4 = agree; 5 = strongly agree.</w:t>
      </w:r>
    </w:p>
    <w:p w:rsidR="00872367" w:rsidRDefault="001F7AC8">
      <w:pPr>
        <w:spacing w:after="120" w:line="276" w:lineRule="auto"/>
        <w:jc w:val="both"/>
      </w:pPr>
      <w:r>
        <w:rPr>
          <w:i/>
          <w:iCs/>
          <w:sz w:val="20"/>
          <w:szCs w:val="20"/>
        </w:rPr>
        <w:t>Status: the five-point scale and it</w:t>
      </w:r>
      <w:r>
        <w:rPr>
          <w:i/>
          <w:iCs/>
          <w:sz w:val="20"/>
          <w:szCs w:val="20"/>
        </w:rPr>
        <w:t>s end-point anchors (1 = strongly disagree, 5 = strongly agree) are documented. The labels of points 2–4 are reconstructed. The order of Sections C–E follows the order in which the constructs are presented in the article; the article reports that the const</w:t>
      </w:r>
      <w:r>
        <w:rPr>
          <w:i/>
          <w:iCs/>
          <w:sz w:val="20"/>
          <w:szCs w:val="20"/>
        </w:rPr>
        <w:t>ructs were placed in separate sections, but not their order [I].</w:t>
      </w:r>
    </w:p>
    <w:p w:rsidR="00872367" w:rsidRDefault="001F7AC8">
      <w:pPr>
        <w:pStyle w:val="Heading2"/>
        <w:spacing w:before="200" w:after="100"/>
      </w:pPr>
      <w:r>
        <w:rPr>
          <w:b/>
          <w:bCs/>
          <w:sz w:val="23"/>
          <w:szCs w:val="23"/>
        </w:rPr>
        <w:t>Section C. Logistics management practices</w:t>
      </w:r>
    </w:p>
    <w:p w:rsidR="00872367" w:rsidRDefault="001F7AC8">
      <w:pPr>
        <w:spacing w:after="120" w:line="276" w:lineRule="auto"/>
        <w:jc w:val="both"/>
      </w:pPr>
      <w:r>
        <w:rPr>
          <w:i/>
          <w:iCs/>
          <w:sz w:val="20"/>
          <w:szCs w:val="20"/>
        </w:rPr>
        <w:t>Construct, indicator codes and sources documented [D]; all statement wordings reconstructed [R]. Indicators LM1–LM6 were adapted from Li et al. (2006</w:t>
      </w:r>
      <w:r>
        <w:rPr>
          <w:i/>
          <w:iCs/>
          <w:sz w:val="20"/>
          <w:szCs w:val="20"/>
        </w:rPr>
        <w:t>) and LM7 from Marjan et al. (2022).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560"/>
        <w:gridCol w:w="900"/>
        <w:gridCol w:w="440"/>
        <w:gridCol w:w="440"/>
        <w:gridCol w:w="440"/>
        <w:gridCol w:w="440"/>
        <w:gridCol w:w="440"/>
      </w:tblGrid>
      <w:tr w:rsidR="00872367">
        <w:tblPrEx>
          <w:tblCellMar>
            <w:top w:w="0" w:type="dxa"/>
            <w:bottom w:w="0" w:type="dxa"/>
          </w:tblCellMar>
        </w:tblPrEx>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Code</w:t>
            </w:r>
          </w:p>
        </w:tc>
        <w:tc>
          <w:tcPr>
            <w:tcW w:w="55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Statement</w:t>
            </w:r>
          </w:p>
        </w:tc>
        <w:tc>
          <w:tcPr>
            <w:tcW w:w="9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Status</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1</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2</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3</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4</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5</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LM1</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Our firm works closely with its key suppliers over the long term to plan supplies and solve problems jointly.</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LM2</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Our firm regularly shares information that affects operations (e.g., orders, stock levels and delivery schedules) with its direct suppliers and customers.</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LM3</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The information that our firm exchanges with its suppliers and customers is timely, accurate, complete and reliable.</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LM4</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Our firm systematically manages customer orders, follows up deliveries and responds to customer feedback and complaints.</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LM5</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Our firm works to reduce waste, delays and excess inventory in its internal operations.</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LM6</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Our firm delays the final finishing or customisation of its products until customer orders are received.</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LM7</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Our firm applies consistent quality checks when receiving, processing and dispatching goods in order to prevent defects and delays.</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bl>
    <w:p w:rsidR="00872367" w:rsidRDefault="001F7AC8">
      <w:pPr>
        <w:pStyle w:val="Heading2"/>
        <w:spacing w:before="200" w:after="100"/>
      </w:pPr>
      <w:r>
        <w:rPr>
          <w:b/>
          <w:bCs/>
          <w:sz w:val="23"/>
          <w:szCs w:val="23"/>
        </w:rPr>
        <w:t>Section D. Competitive advantage</w:t>
      </w:r>
    </w:p>
    <w:p w:rsidR="00872367" w:rsidRDefault="001F7AC8">
      <w:pPr>
        <w:spacing w:after="120" w:line="276" w:lineRule="auto"/>
        <w:jc w:val="both"/>
      </w:pPr>
      <w:r>
        <w:rPr>
          <w:i/>
          <w:iCs/>
          <w:sz w:val="20"/>
          <w:szCs w:val="20"/>
        </w:rPr>
        <w:t>Construct, indicator codes and source documented [D]; all statement wordings reconstructed [R]. Indicators adapted from Kamukama (2013).</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560"/>
        <w:gridCol w:w="900"/>
        <w:gridCol w:w="440"/>
        <w:gridCol w:w="440"/>
        <w:gridCol w:w="440"/>
        <w:gridCol w:w="440"/>
        <w:gridCol w:w="440"/>
      </w:tblGrid>
      <w:tr w:rsidR="00872367">
        <w:tblPrEx>
          <w:tblCellMar>
            <w:top w:w="0" w:type="dxa"/>
            <w:bottom w:w="0" w:type="dxa"/>
          </w:tblCellMar>
        </w:tblPrEx>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Code</w:t>
            </w:r>
          </w:p>
        </w:tc>
        <w:tc>
          <w:tcPr>
            <w:tcW w:w="55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Statement</w:t>
            </w:r>
          </w:p>
        </w:tc>
        <w:tc>
          <w:tcPr>
            <w:tcW w:w="9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Status</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1</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2</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3</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4</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5</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CA1</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Customers regard our firm’s products and services as different from, or better than, those of our main competitors.</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CA2</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Our firm is able to operate at lower cost than its main competitors and to offer competitive prices.</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CA3</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Our firm reaches a wider range of customers and markets than its main competitors.</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bl>
    <w:p w:rsidR="00872367" w:rsidRDefault="001F7AC8">
      <w:pPr>
        <w:pStyle w:val="Heading2"/>
        <w:spacing w:before="200" w:after="100"/>
      </w:pPr>
      <w:r>
        <w:rPr>
          <w:b/>
          <w:bCs/>
          <w:sz w:val="23"/>
          <w:szCs w:val="23"/>
        </w:rPr>
        <w:t>Section E. Organizational performance</w:t>
      </w:r>
    </w:p>
    <w:p w:rsidR="00872367" w:rsidRDefault="001F7AC8">
      <w:pPr>
        <w:spacing w:after="120" w:line="276" w:lineRule="auto"/>
        <w:jc w:val="both"/>
      </w:pPr>
      <w:r>
        <w:rPr>
          <w:i/>
          <w:iCs/>
          <w:sz w:val="20"/>
          <w:szCs w:val="20"/>
        </w:rPr>
        <w:t xml:space="preserve">Construct, indicator codes and source documented [D]; all statement wordings reconstructed [R]. Indicators adapted from </w:t>
      </w:r>
      <w:r>
        <w:rPr>
          <w:i/>
          <w:iCs/>
          <w:sz w:val="20"/>
          <w:szCs w:val="20"/>
        </w:rPr>
        <w:t>the Dynamic Multi-dimensional Performance framework of Maltz et al. (2003). All indicators are perceptual; the article does not report a reference period or comparison point for these items.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560"/>
        <w:gridCol w:w="900"/>
        <w:gridCol w:w="440"/>
        <w:gridCol w:w="440"/>
        <w:gridCol w:w="440"/>
        <w:gridCol w:w="440"/>
        <w:gridCol w:w="440"/>
      </w:tblGrid>
      <w:tr w:rsidR="00872367">
        <w:tblPrEx>
          <w:tblCellMar>
            <w:top w:w="0" w:type="dxa"/>
            <w:bottom w:w="0" w:type="dxa"/>
          </w:tblCellMar>
        </w:tblPrEx>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Code</w:t>
            </w:r>
          </w:p>
        </w:tc>
        <w:tc>
          <w:tcPr>
            <w:tcW w:w="55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Statement</w:t>
            </w:r>
          </w:p>
        </w:tc>
        <w:tc>
          <w:tcPr>
            <w:tcW w:w="9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Status</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1</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2</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3</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4</w:t>
            </w:r>
          </w:p>
        </w:tc>
        <w:tc>
          <w:tcPr>
            <w:tcW w:w="4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5</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OP1</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Our firm’s financial results (e.g., sales growth and profitability) have met or exceeded its objectives.</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OP2</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Our firm’s customer satisfaction, customer retention and market share have improved.</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lastRenderedPageBreak/>
              <w:t>OP3</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Our firm’s internal processes (e.g., cycle time, productivity and quality) have improved.</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OP4</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Our firm has developed the skills and capabilities of its employees.</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r w:rsidR="0087236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OP5</w:t>
            </w:r>
          </w:p>
        </w:tc>
        <w:tc>
          <w:tcPr>
            <w:tcW w:w="55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Our firm is well prepared for future changes in its market and in technology.</w:t>
            </w:r>
          </w:p>
        </w:tc>
        <w:tc>
          <w:tcPr>
            <w:tcW w:w="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[R]</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c>
          <w:tcPr>
            <w:tcW w:w="44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pPr>
              <w:jc w:val="center"/>
            </w:pPr>
            <w:r>
              <w:rPr>
                <w:sz w:val="19"/>
                <w:szCs w:val="19"/>
              </w:rPr>
              <w:t>☐</w:t>
            </w:r>
          </w:p>
        </w:tc>
      </w:tr>
    </w:tbl>
    <w:p w:rsidR="00872367" w:rsidRDefault="001F7AC8">
      <w:pPr>
        <w:spacing w:after="120" w:line="276" w:lineRule="auto"/>
        <w:jc w:val="center"/>
      </w:pPr>
      <w:r>
        <w:t>Thank you for your participation.</w:t>
      </w:r>
    </w:p>
    <w:p w:rsidR="00872367" w:rsidRDefault="001F7AC8">
      <w:r>
        <w:br w:type="page"/>
      </w:r>
    </w:p>
    <w:p w:rsidR="00872367" w:rsidRDefault="001F7AC8">
      <w:pPr>
        <w:pStyle w:val="Heading1"/>
        <w:spacing w:before="280" w:after="120"/>
      </w:pPr>
      <w:r>
        <w:rPr>
          <w:b/>
          <w:bCs/>
          <w:sz w:val="26"/>
          <w:szCs w:val="26"/>
        </w:rPr>
        <w:lastRenderedPageBreak/>
        <w:t>Part 2. Variable codebook</w:t>
      </w:r>
    </w:p>
    <w:p w:rsidR="00872367" w:rsidRDefault="001F7AC8">
      <w:pPr>
        <w:pStyle w:val="Heading2"/>
        <w:spacing w:before="200" w:after="100"/>
      </w:pPr>
      <w:r>
        <w:rPr>
          <w:b/>
          <w:bCs/>
          <w:sz w:val="23"/>
          <w:szCs w:val="23"/>
        </w:rPr>
        <w:t>2.1 Construct definitions [D]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5160"/>
        <w:gridCol w:w="2000"/>
      </w:tblGrid>
      <w:tr w:rsidR="00872367">
        <w:tblPrEx>
          <w:tblCellMar>
            <w:top w:w="0" w:type="dxa"/>
            <w:bottom w:w="0" w:type="dxa"/>
          </w:tblCellMar>
        </w:tblPrEx>
        <w:trPr>
          <w:tblHeader/>
        </w:trPr>
        <w:tc>
          <w:tcPr>
            <w:tcW w:w="22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Construct</w:t>
            </w:r>
          </w:p>
        </w:tc>
        <w:tc>
          <w:tcPr>
            <w:tcW w:w="51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Operational definition (as reported in Table 1 of the article)</w:t>
            </w:r>
          </w:p>
        </w:tc>
        <w:tc>
          <w:tcPr>
            <w:tcW w:w="2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Source</w:t>
            </w:r>
          </w:p>
        </w:tc>
      </w:tr>
      <w:tr w:rsidR="00872367">
        <w:tblPrEx>
          <w:tblCellMar>
            <w:top w:w="0" w:type="dxa"/>
            <w:bottom w:w="0" w:type="dxa"/>
          </w:tblCellMar>
        </w:tblPrEx>
        <w:tc>
          <w:tcPr>
            <w:tcW w:w="22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Logistics management (LM)</w:t>
            </w:r>
          </w:p>
        </w:tc>
        <w:tc>
          <w:tcPr>
            <w:tcW w:w="5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The practices through which an SME manages the flow of materials, products and related information between its direct suppliers, its own operations and its customers.</w:t>
            </w:r>
          </w:p>
        </w:tc>
        <w:tc>
          <w:tcPr>
            <w:tcW w:w="2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Li et al. (2006); Marjan et al. (2022)</w:t>
            </w:r>
          </w:p>
        </w:tc>
      </w:tr>
      <w:tr w:rsidR="00872367">
        <w:tblPrEx>
          <w:tblCellMar>
            <w:top w:w="0" w:type="dxa"/>
            <w:bottom w:w="0" w:type="dxa"/>
          </w:tblCellMar>
        </w:tblPrEx>
        <w:tc>
          <w:tcPr>
            <w:tcW w:w="22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Competitive advantage (CA)</w:t>
            </w:r>
          </w:p>
        </w:tc>
        <w:tc>
          <w:tcPr>
            <w:tcW w:w="5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The firm’s ability to achieve a superior and defensible position relative to its competitors through differentiation, lower costs and wider market reach.</w:t>
            </w:r>
          </w:p>
        </w:tc>
        <w:tc>
          <w:tcPr>
            <w:tcW w:w="2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Kamukama (2013)</w:t>
            </w:r>
          </w:p>
        </w:tc>
      </w:tr>
      <w:tr w:rsidR="00872367">
        <w:tblPrEx>
          <w:tblCellMar>
            <w:top w:w="0" w:type="dxa"/>
            <w:bottom w:w="0" w:type="dxa"/>
          </w:tblCellMar>
        </w:tblPrEx>
        <w:tc>
          <w:tcPr>
            <w:tcW w:w="22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Organizational performance (OP)</w:t>
            </w:r>
          </w:p>
        </w:tc>
        <w:tc>
          <w:tcPr>
            <w:tcW w:w="5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The extent to which the firm achieves financial and n</w:t>
            </w:r>
            <w:r>
              <w:rPr>
                <w:sz w:val="19"/>
                <w:szCs w:val="19"/>
              </w:rPr>
              <w:t>on-financial success, assessed along the dimensions of the Dynamic Multi-dimensional Performance framework.</w:t>
            </w:r>
          </w:p>
        </w:tc>
        <w:tc>
          <w:tcPr>
            <w:tcW w:w="2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Maltz et al. (2003)</w:t>
            </w:r>
          </w:p>
        </w:tc>
      </w:tr>
    </w:tbl>
    <w:p w:rsidR="00872367" w:rsidRDefault="001F7AC8">
      <w:pPr>
        <w:pStyle w:val="Heading2"/>
        <w:spacing w:before="200" w:after="100"/>
      </w:pPr>
      <w:r>
        <w:rPr>
          <w:b/>
          <w:bCs/>
          <w:sz w:val="23"/>
          <w:szCs w:val="23"/>
        </w:rPr>
        <w:t>2.2 Indicator-level codebook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0"/>
        <w:gridCol w:w="950"/>
        <w:gridCol w:w="2160"/>
        <w:gridCol w:w="1000"/>
        <w:gridCol w:w="1800"/>
        <w:gridCol w:w="1100"/>
        <w:gridCol w:w="1400"/>
      </w:tblGrid>
      <w:tr w:rsidR="00872367">
        <w:tblPrEx>
          <w:tblCellMar>
            <w:top w:w="0" w:type="dxa"/>
            <w:bottom w:w="0" w:type="dxa"/>
          </w:tblCellMar>
        </w:tblPrEx>
        <w:trPr>
          <w:tblHeader/>
        </w:trPr>
        <w:tc>
          <w:tcPr>
            <w:tcW w:w="95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8"/>
                <w:szCs w:val="18"/>
              </w:rPr>
              <w:t>Variable</w:t>
            </w:r>
          </w:p>
        </w:tc>
        <w:tc>
          <w:tcPr>
            <w:tcW w:w="95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8"/>
                <w:szCs w:val="18"/>
              </w:rPr>
              <w:t>Construct</w:t>
            </w:r>
          </w:p>
        </w:tc>
        <w:tc>
          <w:tcPr>
            <w:tcW w:w="21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8"/>
                <w:szCs w:val="18"/>
              </w:rPr>
              <w:t>Dimension / indicator [D]</w:t>
            </w:r>
          </w:p>
        </w:tc>
        <w:tc>
          <w:tcPr>
            <w:tcW w:w="1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8"/>
                <w:szCs w:val="18"/>
              </w:rPr>
              <w:t>Type and coding [D]</w:t>
            </w:r>
          </w:p>
        </w:tc>
        <w:tc>
          <w:tcPr>
            <w:tcW w:w="18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8"/>
                <w:szCs w:val="18"/>
              </w:rPr>
              <w:t>Source [D]</w:t>
            </w:r>
          </w:p>
        </w:tc>
        <w:tc>
          <w:tcPr>
            <w:tcW w:w="11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8"/>
                <w:szCs w:val="18"/>
              </w:rPr>
              <w:t>Final model [D]</w:t>
            </w:r>
          </w:p>
        </w:tc>
        <w:tc>
          <w:tcPr>
            <w:tcW w:w="14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8"/>
                <w:szCs w:val="18"/>
              </w:rPr>
              <w:t>Outer loading [D]</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LM1</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LM</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Strategic supplier partnership</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Li et al. (2006)</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Retained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0.812</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LM2</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LM</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Level of information sharing</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Li et al. (2006)</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Removed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0.52–0.63†</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LM3</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LM</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Quality of information sharing</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Li et al. (2006)</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Retained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0.773</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LM4</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LM</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Customer relationship management</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Li et al. (2006)</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Retained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0.824</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LM5</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LM</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Internal lean practices</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Li et al. (2006)</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Removed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0.52–0.63†</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LM6</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LM</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Postponement</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Li et al. (2006)</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Removed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0.52–0.63†</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LM7</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LM</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Total quality management</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Marjan et al. (2022)</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Retained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0.798</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CA1</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CA</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Differentiation</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Kamukama (2013)</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Retained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0.804</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CA2</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CA</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Cost leadership</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Kamukama (2013)</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Retained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0.843</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CA3</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CA</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Market outreach</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Kamukama (2013)</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Retained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0.748</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OP1</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OP</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Financial performance</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Maltz et al. (2003)</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Retained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0.858</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OP2</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OP</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Market/customer performance</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Maltz et al. (2003)</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Retained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0.788</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OP3</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OP</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Process performance</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Maltz et al. (2003)</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Removed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0.52–0.63†</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OP4</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OP</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People development</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Maltz et al. (2003)</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Removed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0.52–0.63†</w:t>
            </w:r>
          </w:p>
        </w:tc>
      </w:tr>
      <w:tr w:rsidR="00872367">
        <w:tblPrEx>
          <w:tblCellMar>
            <w:top w:w="0" w:type="dxa"/>
            <w:bottom w:w="0" w:type="dxa"/>
          </w:tblCellMar>
        </w:tblPrEx>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OP5</w:t>
            </w:r>
          </w:p>
        </w:tc>
        <w:tc>
          <w:tcPr>
            <w:tcW w:w="9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OP</w:t>
            </w:r>
          </w:p>
        </w:tc>
        <w:tc>
          <w:tcPr>
            <w:tcW w:w="21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Future orientation</w:t>
            </w:r>
          </w:p>
        </w:tc>
        <w:tc>
          <w:tcPr>
            <w:tcW w:w="1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Ordinal, 1–5</w:t>
            </w:r>
          </w:p>
        </w:tc>
        <w:tc>
          <w:tcPr>
            <w:tcW w:w="18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Maltz et al. (2003)</w:t>
            </w:r>
          </w:p>
        </w:tc>
        <w:tc>
          <w:tcPr>
            <w:tcW w:w="11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Retained</w:t>
            </w:r>
          </w:p>
        </w:tc>
        <w:tc>
          <w:tcPr>
            <w:tcW w:w="14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8"/>
                <w:szCs w:val="18"/>
              </w:rPr>
              <w:t>0.811</w:t>
            </w:r>
          </w:p>
        </w:tc>
      </w:tr>
    </w:tbl>
    <w:p w:rsidR="00872367" w:rsidRDefault="001F7AC8">
      <w:pPr>
        <w:spacing w:after="120" w:line="276" w:lineRule="auto"/>
        <w:jc w:val="both"/>
      </w:pPr>
      <w:r>
        <w:rPr>
          <w:i/>
          <w:iCs/>
          <w:sz w:val="19"/>
          <w:szCs w:val="19"/>
        </w:rPr>
        <w:t>† The article reports that the five removed indicators had loadings between 0.52 and 0.63 but does not report each value separately. Coding: 1 = strongly disagree, 2 = disagree, 3 = neutral, 4 = agree, 5 = strongly agree (labels for points 2–4 reconstructe</w:t>
      </w:r>
      <w:r>
        <w:rPr>
          <w:i/>
          <w:iCs/>
          <w:sz w:val="19"/>
          <w:szCs w:val="19"/>
        </w:rPr>
        <w:t>d). Eligibility variables B1–B3 (Part 1, Section B) are inferred and, if collected, were used for screening only; they were not entered into the model.</w:t>
      </w:r>
    </w:p>
    <w:p w:rsidR="00872367" w:rsidRDefault="001F7AC8">
      <w:pPr>
        <w:pStyle w:val="Heading2"/>
        <w:spacing w:before="200" w:after="100"/>
      </w:pPr>
      <w:r>
        <w:rPr>
          <w:b/>
          <w:bCs/>
          <w:sz w:val="23"/>
          <w:szCs w:val="23"/>
        </w:rPr>
        <w:lastRenderedPageBreak/>
        <w:t>2.3 Data screening and transformations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872367">
        <w:tblPrEx>
          <w:tblCellMar>
            <w:top w:w="0" w:type="dxa"/>
            <w:bottom w:w="0" w:type="dxa"/>
          </w:tblCellMar>
        </w:tblPrEx>
        <w:trPr>
          <w:tblHeader/>
        </w:trPr>
        <w:tc>
          <w:tcPr>
            <w:tcW w:w="3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Step</w:t>
            </w:r>
          </w:p>
        </w:tc>
        <w:tc>
          <w:tcPr>
            <w:tcW w:w="63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Description</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Sample flow [D]</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150 questionnaires distributed; 136 returned (90.7%); 130 retained after data screening (86.7% of those distributed).</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Screening criteria [I]</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Six returned questionnaires were excluded during data screening. The specific exclusion criteria (e.g., incomplete responses, ineligible respondents, straight-lining) are not reported in the article.</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Missing data [I]</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The handling of item-level missing val</w:t>
            </w:r>
            <w:r>
              <w:rPr>
                <w:sz w:val="19"/>
                <w:szCs w:val="19"/>
              </w:rPr>
              <w:t>ues is not reported.</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Recoding [D/I]</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No reverse-coded items or recoding procedures are reported; all indicators were used on their original 1–5 scale.</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Indicator removal [D]</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LM2, LM5, LM6, OP3 and OP4 were removed during the assessment of the measurement m</w:t>
            </w:r>
            <w:r>
              <w:rPr>
                <w:sz w:val="19"/>
                <w:szCs w:val="19"/>
              </w:rPr>
              <w:t>odel on statistical and conceptual grounds (article, Section 5.1).</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Composite scores [D]</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Construct scores were estimated by the PLS-SEM algorithm in SmartPLS 4; no summated or averaged scale scores were used in the structural model.</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Item structure [I]</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The</w:t>
            </w:r>
            <w:r>
              <w:rPr>
                <w:sz w:val="19"/>
                <w:szCs w:val="19"/>
              </w:rPr>
              <w:t xml:space="preserve"> article reports one indicator per dimension (15 indicators in total) and analyses each as a single indicator. Whether each indicator was measured with one questionnaire item, as reconstructed here, or was computed from several items is not reported.</w:t>
            </w:r>
          </w:p>
        </w:tc>
      </w:tr>
    </w:tbl>
    <w:p w:rsidR="00872367" w:rsidRDefault="001F7AC8">
      <w:pPr>
        <w:pStyle w:val="Heading1"/>
        <w:spacing w:before="280" w:after="120"/>
      </w:pPr>
      <w:r>
        <w:rPr>
          <w:b/>
          <w:bCs/>
          <w:sz w:val="26"/>
          <w:szCs w:val="26"/>
        </w:rPr>
        <w:t>Part 3. Analysis settings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872367">
        <w:tblPrEx>
          <w:tblCellMar>
            <w:top w:w="0" w:type="dxa"/>
            <w:bottom w:w="0" w:type="dxa"/>
          </w:tblCellMar>
        </w:tblPrEx>
        <w:trPr>
          <w:tblHeader/>
        </w:trPr>
        <w:tc>
          <w:tcPr>
            <w:tcW w:w="3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Setting</w:t>
            </w:r>
          </w:p>
        </w:tc>
        <w:tc>
          <w:tcPr>
            <w:tcW w:w="63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rsidR="00872367" w:rsidRDefault="001F7AC8">
            <w:r>
              <w:rPr>
                <w:b/>
                <w:bCs/>
                <w:sz w:val="19"/>
                <w:szCs w:val="19"/>
              </w:rPr>
              <w:t>Value</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Screening and descriptive software [D]</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IBM SPSS Statistics, version 24</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Common method bias [D]</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Harman’s single-factor test in SPSS (first factor = 34.2% of variance); full collinearity VIFs in SmartPLS (Kock, 2015), all &lt; 3.3</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Modelling software [D]</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SmartPLS 4 (Ringle et al., 2022)</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Method [D]</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Partial least squares structural equation modelling (PLS</w:t>
            </w:r>
            <w:r>
              <w:rPr>
                <w:sz w:val="19"/>
                <w:szCs w:val="19"/>
              </w:rPr>
              <w:t>-SEM), two-stage assessment: measurement model, then structural model (Hair et al., 2022)</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Measurement mode [I]</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Reflective (Mode A) for LM, CA and OP, as implied by the use of outer loadings, AVE, composite reliability and HTMT</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 xml:space="preserve">Inner weighting scheme and </w:t>
            </w:r>
            <w:r>
              <w:rPr>
                <w:sz w:val="19"/>
                <w:szCs w:val="19"/>
              </w:rPr>
              <w:t>stop criterion [I]</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Not reported in the article</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Significance testing [D]</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Bootstrapping with 5,000 subsamples</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Confidence intervals [D]</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95% bias-corrected bootstrap confidence intervals (indirect effect)</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Test type [I]</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Two-tailed (consistent with the reported t- and p-values)</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Mediation classification [D]</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Zhao et al. (2010)</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Thresholds [D]</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Loadings ≥ 0.70; α, ρA, ρC ≥ 0.70; AVE ≥ 0.50; HTMT &lt; 0.90 (0.85 conservative); inner VIF &lt; 3; f² benchmarks 0.02 / 0.15 / 0.35 (Cohe</w:t>
            </w:r>
            <w:r>
              <w:rPr>
                <w:sz w:val="19"/>
                <w:szCs w:val="19"/>
              </w:rPr>
              <w:t>n, 1988)</w:t>
            </w:r>
          </w:p>
        </w:tc>
      </w:tr>
      <w:tr w:rsidR="0087236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Sample size planning [D]</w:t>
            </w:r>
          </w:p>
        </w:tc>
        <w:tc>
          <w:tcPr>
            <w:tcW w:w="6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rsidR="00872367" w:rsidRDefault="001F7AC8">
            <w:r>
              <w:rPr>
                <w:sz w:val="19"/>
                <w:szCs w:val="19"/>
              </w:rPr>
              <w:t>10-times rule (minimum 20) and power analysis in G*Power (two predictors, f² = 0.15, α = 0.05, power = 0.95; minimum 107)</w:t>
            </w:r>
          </w:p>
        </w:tc>
      </w:tr>
    </w:tbl>
    <w:p w:rsidR="00872367" w:rsidRDefault="001F7AC8">
      <w:pPr>
        <w:pStyle w:val="Heading1"/>
        <w:spacing w:before="280" w:after="120"/>
      </w:pPr>
      <w:r>
        <w:rPr>
          <w:b/>
          <w:bCs/>
          <w:sz w:val="26"/>
          <w:szCs w:val="26"/>
        </w:rPr>
        <w:t>References</w:t>
      </w:r>
    </w:p>
    <w:p w:rsidR="00872367" w:rsidRDefault="001F7AC8">
      <w:pPr>
        <w:spacing w:after="80"/>
        <w:ind w:left="360" w:hanging="360"/>
      </w:pPr>
      <w:r>
        <w:rPr>
          <w:sz w:val="20"/>
          <w:szCs w:val="20"/>
        </w:rPr>
        <w:t>Cohen, J. (1988). Statistical power analysis for the behavioral sciences (2nd ed.). Lawrence Erlbaum Associates.</w:t>
      </w:r>
    </w:p>
    <w:p w:rsidR="00872367" w:rsidRDefault="001F7AC8">
      <w:pPr>
        <w:spacing w:after="80"/>
        <w:ind w:left="360" w:hanging="360"/>
      </w:pPr>
      <w:r>
        <w:rPr>
          <w:sz w:val="20"/>
          <w:szCs w:val="20"/>
        </w:rPr>
        <w:t>Hair, J. F., Hult, G. T. M., Ringle, C. M., &amp; Sarstedt, M. (2022). A primer on partial least squares structural equation modeling (PLS-SEM) (3r</w:t>
      </w:r>
      <w:r>
        <w:rPr>
          <w:sz w:val="20"/>
          <w:szCs w:val="20"/>
        </w:rPr>
        <w:t>d ed.). Sage.</w:t>
      </w:r>
    </w:p>
    <w:p w:rsidR="00872367" w:rsidRDefault="001F7AC8">
      <w:pPr>
        <w:spacing w:after="80"/>
        <w:ind w:left="360" w:hanging="360"/>
      </w:pPr>
      <w:r>
        <w:rPr>
          <w:sz w:val="20"/>
          <w:szCs w:val="20"/>
        </w:rPr>
        <w:t>Kamukama, N. (2013). Intellectual capital: Company’s invisible source of competitive advantage. Competitiveness Review, 23(3), 260–283. https://doi.org/10.1108/10595421311319856</w:t>
      </w:r>
    </w:p>
    <w:p w:rsidR="00872367" w:rsidRDefault="001F7AC8">
      <w:pPr>
        <w:spacing w:after="80"/>
        <w:ind w:left="360" w:hanging="360"/>
      </w:pPr>
      <w:r>
        <w:rPr>
          <w:sz w:val="20"/>
          <w:szCs w:val="20"/>
        </w:rPr>
        <w:lastRenderedPageBreak/>
        <w:t>Kock, N. (2015). Common method bias in PLS-SEM: A full collinear</w:t>
      </w:r>
      <w:r>
        <w:rPr>
          <w:sz w:val="20"/>
          <w:szCs w:val="20"/>
        </w:rPr>
        <w:t>ity assessment approach. International Journal of e-Collaboration, 11(4), 1–10. https://doi.org/10.4018/ijec.2015100101</w:t>
      </w:r>
    </w:p>
    <w:p w:rsidR="00872367" w:rsidRDefault="001F7AC8">
      <w:pPr>
        <w:spacing w:after="80"/>
        <w:ind w:left="360" w:hanging="360"/>
      </w:pPr>
      <w:r>
        <w:rPr>
          <w:sz w:val="20"/>
          <w:szCs w:val="20"/>
        </w:rPr>
        <w:t>Li, S., Ragu-Nathan, B., Ragu-Nathan, T. S., &amp; Subba Rao, S. (2006). The impact of supply chain management practices on competitive adva</w:t>
      </w:r>
      <w:r>
        <w:rPr>
          <w:sz w:val="20"/>
          <w:szCs w:val="20"/>
        </w:rPr>
        <w:t>ntage and organizational performance. Omega, 34(2), 107–124. https://doi.org/10.1016/j.omega.2004.08.002</w:t>
      </w:r>
    </w:p>
    <w:p w:rsidR="00872367" w:rsidRDefault="001F7AC8">
      <w:pPr>
        <w:spacing w:after="80"/>
        <w:ind w:left="360" w:hanging="360"/>
      </w:pPr>
      <w:r>
        <w:rPr>
          <w:sz w:val="20"/>
          <w:szCs w:val="20"/>
        </w:rPr>
        <w:t>Maltz, A. C., Shenhar, A. J., &amp; Reilly, R. R. (2003). Beyond the balanced scorecard: Refining the search for organizational success measures. Long Rang</w:t>
      </w:r>
      <w:r>
        <w:rPr>
          <w:sz w:val="20"/>
          <w:szCs w:val="20"/>
        </w:rPr>
        <w:t>e Planning, 36(2), 187–204. https://doi.org/10.1016/S0024-6301(03)00003-4</w:t>
      </w:r>
    </w:p>
    <w:p w:rsidR="00872367" w:rsidRDefault="001F7AC8">
      <w:pPr>
        <w:spacing w:after="80"/>
        <w:ind w:left="360" w:hanging="360"/>
      </w:pPr>
      <w:r>
        <w:rPr>
          <w:sz w:val="20"/>
          <w:szCs w:val="20"/>
        </w:rPr>
        <w:t xml:space="preserve">Marjan, Y., Hasanah, U., Muliatie, Y. E., &amp; Usman, I. (2022). Logistic capability and total quality management practice on SME’s performance. Journal of Distribution Science, 20(7), </w:t>
      </w:r>
      <w:r>
        <w:rPr>
          <w:sz w:val="20"/>
          <w:szCs w:val="20"/>
        </w:rPr>
        <w:t>97–105.</w:t>
      </w:r>
    </w:p>
    <w:p w:rsidR="00872367" w:rsidRDefault="001F7AC8">
      <w:pPr>
        <w:spacing w:after="80"/>
        <w:ind w:left="360" w:hanging="360"/>
      </w:pPr>
      <w:r>
        <w:rPr>
          <w:sz w:val="20"/>
          <w:szCs w:val="20"/>
        </w:rPr>
        <w:t>Ringle, C. M., Wende, S., &amp; Becker, J.-M. (2022). SmartPLS 4 [Computer software]. SmartPLS GmbH. https://www.smartpls.com</w:t>
      </w:r>
    </w:p>
    <w:p w:rsidR="00872367" w:rsidRDefault="001F7AC8">
      <w:pPr>
        <w:spacing w:after="80"/>
        <w:ind w:left="360" w:hanging="360"/>
      </w:pPr>
      <w:r>
        <w:rPr>
          <w:sz w:val="20"/>
          <w:szCs w:val="20"/>
        </w:rPr>
        <w:t>Zhao, X., Lynch, J. G., &amp; Chen, Q. (2010). Reconsidering Baron and Kenny: Myths and truths about mediation analysis. Journal o</w:t>
      </w:r>
      <w:r>
        <w:rPr>
          <w:sz w:val="20"/>
          <w:szCs w:val="20"/>
        </w:rPr>
        <w:t>f Consumer Research, 37(2), 197–206. https://doi.org/10.1086/651257</w:t>
      </w:r>
    </w:p>
    <w:sectPr w:rsidR="00872367">
      <w:footerReference w:type="default" r:id="rId7"/>
      <w:pgSz w:w="11906" w:h="16838"/>
      <w:pgMar w:top="1270" w:right="1273" w:bottom="1270" w:left="127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AC8" w:rsidRDefault="001F7AC8">
      <w:r>
        <w:separator/>
      </w:r>
    </w:p>
  </w:endnote>
  <w:endnote w:type="continuationSeparator" w:id="0">
    <w:p w:rsidR="001F7AC8" w:rsidRDefault="001F7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367" w:rsidRDefault="001F7AC8">
    <w:pPr>
      <w:jc w:val="center"/>
    </w:pPr>
    <w:r>
      <w:rPr>
        <w:sz w:val="18"/>
        <w:szCs w:val="18"/>
      </w:rPr>
      <w:t xml:space="preserve">S1 – </w:t>
    </w:r>
    <w:r>
      <w:rPr>
        <w:sz w:val="18"/>
        <w:szCs w:val="18"/>
      </w:rPr>
      <w:fldChar w:fldCharType="begin"/>
    </w:r>
    <w:r>
      <w:rPr>
        <w:sz w:val="18"/>
        <w:szCs w:val="18"/>
      </w:rPr>
      <w:instrText>PAGE</w:instrText>
    </w:r>
    <w:r w:rsidR="00C66A02">
      <w:rPr>
        <w:sz w:val="18"/>
        <w:szCs w:val="18"/>
      </w:rPr>
      <w:fldChar w:fldCharType="separate"/>
    </w:r>
    <w:r w:rsidR="00C66A02">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AC8" w:rsidRDefault="001F7AC8">
      <w:r>
        <w:separator/>
      </w:r>
    </w:p>
  </w:footnote>
  <w:footnote w:type="continuationSeparator" w:id="0">
    <w:p w:rsidR="001F7AC8" w:rsidRDefault="001F7AC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4C4FFC"/>
    <w:multiLevelType w:val="hybridMultilevel"/>
    <w:tmpl w:val="606214A6"/>
    <w:lvl w:ilvl="0" w:tplc="A48E5F54">
      <w:start w:val="1"/>
      <w:numFmt w:val="bullet"/>
      <w:lvlText w:val="●"/>
      <w:lvlJc w:val="left"/>
      <w:pPr>
        <w:ind w:left="720" w:hanging="360"/>
      </w:pPr>
    </w:lvl>
    <w:lvl w:ilvl="1" w:tplc="B4DAB03C">
      <w:start w:val="1"/>
      <w:numFmt w:val="bullet"/>
      <w:lvlText w:val="○"/>
      <w:lvlJc w:val="left"/>
      <w:pPr>
        <w:ind w:left="1440" w:hanging="360"/>
      </w:pPr>
    </w:lvl>
    <w:lvl w:ilvl="2" w:tplc="8E225B4A">
      <w:start w:val="1"/>
      <w:numFmt w:val="bullet"/>
      <w:lvlText w:val="■"/>
      <w:lvlJc w:val="left"/>
      <w:pPr>
        <w:ind w:left="2160" w:hanging="360"/>
      </w:pPr>
    </w:lvl>
    <w:lvl w:ilvl="3" w:tplc="BA5CD4A6">
      <w:start w:val="1"/>
      <w:numFmt w:val="bullet"/>
      <w:lvlText w:val="●"/>
      <w:lvlJc w:val="left"/>
      <w:pPr>
        <w:ind w:left="2880" w:hanging="360"/>
      </w:pPr>
    </w:lvl>
    <w:lvl w:ilvl="4" w:tplc="76CCF56E">
      <w:start w:val="1"/>
      <w:numFmt w:val="bullet"/>
      <w:lvlText w:val="○"/>
      <w:lvlJc w:val="left"/>
      <w:pPr>
        <w:ind w:left="3600" w:hanging="360"/>
      </w:pPr>
    </w:lvl>
    <w:lvl w:ilvl="5" w:tplc="06506C7C">
      <w:start w:val="1"/>
      <w:numFmt w:val="bullet"/>
      <w:lvlText w:val="■"/>
      <w:lvlJc w:val="left"/>
      <w:pPr>
        <w:ind w:left="4320" w:hanging="360"/>
      </w:pPr>
    </w:lvl>
    <w:lvl w:ilvl="6" w:tplc="42CE4C96">
      <w:start w:val="1"/>
      <w:numFmt w:val="bullet"/>
      <w:lvlText w:val="●"/>
      <w:lvlJc w:val="left"/>
      <w:pPr>
        <w:ind w:left="5040" w:hanging="360"/>
      </w:pPr>
    </w:lvl>
    <w:lvl w:ilvl="7" w:tplc="856886CE">
      <w:start w:val="1"/>
      <w:numFmt w:val="bullet"/>
      <w:lvlText w:val="●"/>
      <w:lvlJc w:val="left"/>
      <w:pPr>
        <w:ind w:left="5760" w:hanging="360"/>
      </w:pPr>
    </w:lvl>
    <w:lvl w:ilvl="8" w:tplc="FFB211E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367"/>
    <w:rsid w:val="001F7AC8"/>
    <w:rsid w:val="00872367"/>
    <w:rsid w:val="00C66A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C79FB"/>
  <w15:docId w15:val="{00026329-0220-497F-B50F-6B866787C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1918</Words>
  <Characters>10939</Characters>
  <Application>Microsoft Office Word</Application>
  <DocSecurity>0</DocSecurity>
  <Lines>91</Lines>
  <Paragraphs>25</Paragraphs>
  <ScaleCrop>false</ScaleCrop>
  <Company/>
  <LinksUpToDate>false</LinksUpToDate>
  <CharactersWithSpaces>12832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File S1</dc:title>
  <dc:creator>Anonymous</dc:creator>
  <cp:lastModifiedBy>ASUS</cp:lastModifiedBy>
  <cp:revision>3</cp:revision>
  <dcterms:created xsi:type="dcterms:W3CDTF">2026-10-01T17:17:00Z</dcterms:created>
  <dcterms:modified xsi:type="dcterms:W3CDTF">2026-10-01T17:27:00Z</dcterms:modified>
</cp:coreProperties>
</file>