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additional-file-1-supplementary-tables"/>
    <w:p>
      <w:pPr>
        <w:pStyle w:val="Heading1"/>
      </w:pPr>
      <w:r>
        <w:t xml:space="preserve">Additional file 1: Supplementary tables</w:t>
      </w:r>
    </w:p>
    <w:p>
      <w:pPr>
        <w:pStyle w:val="FirstParagraph"/>
      </w:pPr>
      <w:r>
        <w:t xml:space="preserve">Age changes what a risk-factor count tells the referring physician: recorded cardiometabolic burden and obstructive coronary artery disease on CT angiography in a single-centre cross-sectional study</w:t>
      </w:r>
    </w:p>
    <w:p>
      <w:pPr>
        <w:pStyle w:val="BodyText"/>
      </w:pPr>
      <w:r>
        <w:t xml:space="preserve">Main analysis population: 5,225 examinations (no prior coronary revascularisation, complete pre-test laboratory data). Source: analysis/v22_narrow_cc_2026-09-12/tables. Methods as in the main text; no imputation.</w:t>
      </w:r>
    </w:p>
    <w:bookmarkStart w:id="9" w:name="Xe9fe90a28617b65a8eab20fa62f35cea681a3a8"/>
    <w:p>
      <w:pPr>
        <w:pStyle w:val="Heading2"/>
      </w:pPr>
      <w:r>
        <w:t xml:space="preserve">Table S1 Obstructive CAD by age group and risk-factor count (events/examinations, including four factors)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Age group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 factors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factor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 factors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 factors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factors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Below 55 years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1/243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26/477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45/443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29/150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 to 64 years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8/213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50/496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90/506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65/203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6/13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 to 74 years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29/191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89/474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128/490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92/235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10/19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 years or older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25/118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97/358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122/371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89/194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14/27</w:t>
            </w:r>
          </w:p>
        </w:tc>
      </w:tr>
    </w:tbl>
    <w:p>
      <w:pPr>
        <w:pStyle w:val="BodyText"/>
      </w:pPr>
      <w:r>
        <w:t xml:space="preserve">Interaction between continuous age and the risk-factor count: robust Wald P = 7.2 × 10⁻⁵; in the complete-laboratory population including prior revascularisation (5,764 examinations), P = 1.0 × 10⁻⁴.</w:t>
      </w:r>
    </w:p>
    <w:bookmarkEnd w:id="9"/>
    <w:bookmarkStart w:id="10" w:name="Xe42be1f5ccc671611cc80c339075476cf16470b"/>
    <w:p>
      <w:pPr>
        <w:pStyle w:val="Heading2"/>
      </w:pPr>
      <w:r>
        <w:t xml:space="preserve">Table S2 Referral profiles and prevalence by pathway (main analysis population)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50"/>
        <w:gridCol w:w="1667"/>
        <w:gridCol w:w="1667"/>
        <w:gridCol w:w="1667"/>
        <w:gridCol w:w="16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Referral profile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Cardiology, n (%)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Cardiology prevalence, 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General practice, n (%)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General practice prevalence,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Symptomatic record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1,082 (25.2)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161 (17.2)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symptomatic record, multimorbidity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1,676 (39.1)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22.7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405 (43.1)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symptomatic record, fewer than two risk factors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1,528 (35.7)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373 (39.7)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12.3</w:t>
            </w:r>
          </w:p>
        </w:tc>
      </w:tr>
    </w:tbl>
    <w:p>
      <w:pPr>
        <w:pStyle w:val="BodyText"/>
      </w:pPr>
      <w:r>
        <w:t xml:space="preserve">Odds ratio per additional risk factor among patients without a symptomatic record: cardiology 1.65 (95% CI 1.49 to 1.84); general practice 1.75 (1.41 to 2.18).</w:t>
      </w:r>
    </w:p>
    <w:bookmarkEnd w:id="10"/>
    <w:bookmarkStart w:id="11" w:name="Xe71976871fc07d85cc602a6bed9db91aa6d8dd9"/>
    <w:p>
      <w:pPr>
        <w:pStyle w:val="Heading2"/>
      </w:pPr>
      <w:r>
        <w:t xml:space="preserve">Table S3 Sequential adjustment of the cardiology versus general practice difference (main analysis population)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60"/>
        <w:gridCol w:w="2880"/>
        <w:gridCol w:w="28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OR, cardiology vs general practice (95% CI)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Crude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1.12 (0.93 to 1.34)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0.239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Adjusted for age (spline)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1.04 (0.86 to 1.25)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0.685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Adjusted for age and sex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1.05 (0.87 to 1.27)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Adjusted for age, sex and recording period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0.82 (0.64 to 1.05)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Adjusted for age, sex, recording period and risk-factor count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0.83 (0.64 to 1.07)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0.149</w:t>
            </w:r>
          </w:p>
        </w:tc>
      </w:tr>
    </w:tbl>
    <w:p>
      <w:pPr>
        <w:pStyle w:val="BodyText"/>
      </w:pPr>
      <w:r>
        <w:t xml:space="preserve">Odds ratio per additional risk factor by pathway: cardiology 1.705 (1.562 to 1.861); general practice 1.720 (1.408 to 2.099); interaction P = 0.920.</w:t>
      </w:r>
    </w:p>
    <w:bookmarkEnd w:id="11"/>
    <w:bookmarkStart w:id="12" w:name="X15ed6a481b8562d722d1b1e181582b1b7b2e3a9"/>
    <w:p>
      <w:pPr>
        <w:pStyle w:val="Heading2"/>
      </w:pPr>
      <w:r>
        <w:t xml:space="preserve">Table S4 Stratification by symptom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2112"/>
        <w:gridCol w:w="2112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record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Examinations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Obstructive CAD, n (%)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OR per factor (95% 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Absent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3,982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700 (17.6)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1.66 (1.51 to 1.83)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Present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1,243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318 (25.6)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1.90 (1.63 to 2.21)</w:t>
            </w:r>
          </w:p>
        </w:tc>
      </w:tr>
    </w:tbl>
    <w:p>
      <w:pPr>
        <w:pStyle w:val="BodyText"/>
      </w:pPr>
      <w:r>
        <w:t xml:space="preserve">Symptom by count interaction P = 0.125. Adjusted odds ratio for the symptom record itself: 2.06 (1.74 to 2.43).</w:t>
      </w:r>
    </w:p>
    <w:bookmarkEnd w:id="12"/>
    <w:bookmarkStart w:id="13" w:name="table-s5-sensitivity-analyses"/>
    <w:p>
      <w:pPr>
        <w:pStyle w:val="Heading2"/>
      </w:pPr>
      <w:r>
        <w:t xml:space="preserve">Table S5 Sensitivity analyses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60"/>
        <w:gridCol w:w="2880"/>
        <w:gridCol w:w="28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Population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Examinations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OR per factor (95% 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 analysis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5,225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1.703 (1.573 to 1.844)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Including incomplete pre-test laboratory data (unclassifiable factors treated as not recorded)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7,354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1.663 (1.557 to 1.775)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Including prior revascularisation (complete laboratory data)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5,764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1.719 (1.600 to 1.847)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Restricted to 2024 to 2025, adjusted for year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4,741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1.688 (1.555 to 1.832)</w:t>
            </w:r>
          </w:p>
        </w:tc>
      </w:tr>
    </w:tbl>
    <w:bookmarkEnd w:id="13"/>
    <w:bookmarkStart w:id="14" w:name="X20d04bb9157451f72b95f92ebc9245ba946f16c"/>
    <w:p>
      <w:pPr>
        <w:pStyle w:val="Heading2"/>
      </w:pPr>
      <w:r>
        <w:t xml:space="preserve">Table S6 Validation of the outcome classification rule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Validation sample</w:t>
            </w:r>
          </w:p>
        </w:tc>
        <w:tc>
          <w:tcPr/>
          <w:p>
            <w:pPr>
              <w:pStyle w:val="Compact"/>
            </w:pPr>
            <w:r>
              <w:t xml:space="preserve">400 reports drawn at random, stratified by rule result (200 positive, 200 negative), excluding the 200 development reports; 150 (75 and 75) randomly selected for human review; fixed 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Readers</w:t>
            </w:r>
          </w:p>
        </w:tc>
        <w:tc>
          <w:tcPr/>
          <w:p>
            <w:pPr>
              <w:pStyle w:val="Compact"/>
            </w:pPr>
            <w:r>
              <w:t xml:space="preserve">Two general practitioners (XS, HG), each reading the report text independently, blinded to the rule result, without software assistance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Inter-reader agreement</w:t>
            </w:r>
          </w:p>
        </w:tc>
        <w:tc>
          <w:tcPr/>
          <w:p>
            <w:pPr>
              <w:pStyle w:val="Compact"/>
            </w:pPr>
            <w:r>
              <w:t xml:space="preserve">149 reports rated by both: 93.3% agreement (139/149), Cohen’s kappa 0.87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Consensus</w:t>
            </w:r>
          </w:p>
        </w:tc>
        <w:tc>
          <w:tcPr/>
          <w:p>
            <w:pPr>
              <w:pStyle w:val="Compact"/>
            </w:pPr>
            <w:r>
              <w:t xml:space="preserve">10 discordant reports and 1 report unrated by one reader were read jointly; consensus reached on 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vs consensus: agreement</w:t>
            </w:r>
          </w:p>
        </w:tc>
        <w:tc>
          <w:tcPr/>
          <w:p>
            <w:pPr>
              <w:pStyle w:val="Compact"/>
            </w:pPr>
            <w:r>
              <w:t xml:space="preserve">99.3% (149/150), kappa 0.99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Consensus positive, rule positive</w:t>
            </w:r>
          </w:p>
        </w:tc>
        <w:tc>
          <w:tcPr/>
          <w:p>
            <w:pPr>
              <w:pStyle w:val="Compact"/>
            </w:pPr>
            <w:r>
              <w:t xml:space="preserve">74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Consensus positive, rule negative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Consensus negative, rule positive</w:t>
            </w:r>
          </w:p>
        </w:tc>
        <w:tc>
          <w:tcPr/>
          <w:p>
            <w:pPr>
              <w:pStyle w:val="Compact"/>
            </w:pPr>
            <w:r>
              <w:t xml:space="preserve">1 (report described</w:t>
            </w:r>
            <w:r>
              <w:t xml:space="preserve"> </w:t>
            </w:r>
            <w:r>
              <w:t xml:space="preserve">“about 50%”</w:t>
            </w:r>
            <w:r>
              <w:t xml:space="preserve">; rule classified as 50% or more; readers classified as negative)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Consensus negative, rule negative</w:t>
            </w:r>
          </w:p>
        </w:tc>
        <w:tc>
          <w:tcPr/>
          <w:p>
            <w:pPr>
              <w:pStyle w:val="Compact"/>
            </w:pPr>
            <w:r>
              <w:t xml:space="preserve">75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sensitivity</w:t>
            </w:r>
          </w:p>
        </w:tc>
        <w:tc>
          <w:tcPr/>
          <w:p>
            <w:pPr>
              <w:pStyle w:val="Compact"/>
            </w:pPr>
            <w:r>
              <w:t xml:space="preserve">100% (74/74; 95% CI 95.1 to 100%)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specificity</w:t>
            </w:r>
          </w:p>
        </w:tc>
        <w:tc>
          <w:tcPr/>
          <w:p>
            <w:pPr>
              <w:pStyle w:val="Compact"/>
            </w:pPr>
            <w:r>
              <w:t xml:space="preserve">98.7% (75/76; 95% CI 92.9 to 100%)</w:t>
            </w:r>
          </w:p>
        </w:tc>
      </w:tr>
    </w:tbl>
    <w:p>
      <w:pPr>
        <w:pStyle w:val="BodyText"/>
      </w:pPr>
      <w:r>
        <w:t xml:space="preserve">The rule was not modified after validation. Rule-development quality control: of the 200 enriched development reports, 196 were evaluable and agreed with the two attending physicians’ classification of the same text in 99.5% (apparent sensitivity 100%, apparent specificity 99.1%); this sample was used for development and is not independent validation. Of the 38 reports the text rule could not classify, 6 were invalid examinations, 5 described only grafts or stents after prior revascularisation, and 27 were adjudicated as stenosis below 50% (CAD-RADS 0 or 1) and included. As an internal quality check only, a large language model re-read all 400 sampled reports and agreed with the rule in 397 (3 bypass-graft reports unclassified); this was not used as validation evidence.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2026-09-22T16:04:56Z</dcterms:created>
  <dcterms:modified xsi:type="dcterms:W3CDTF">2026-09-22T16:04:56Z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