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67CCA" w14:textId="77777777" w:rsidR="00264DC3" w:rsidRDefault="00264DC3" w:rsidP="00264DC3">
      <w:pPr>
        <w:pStyle w:val="Heading1"/>
      </w:pPr>
      <w:r>
        <w:t>Supplementary Methodological Evidence Matrix</w:t>
      </w:r>
    </w:p>
    <w:p w14:paraId="57BE4333" w14:textId="77777777" w:rsidR="00264DC3" w:rsidRDefault="00264DC3" w:rsidP="00264DC3">
      <w:r>
        <w:t>This matrix records how the four unresolved validation domains were handled in the final manuscript. It is included to distinguish what is directly supported by the archived study outputs from what requires patient-level reanalysis. No numerical value in the rightmost column has been estimated or imputed.</w:t>
      </w:r>
    </w:p>
    <w:tbl>
      <w:tblPr>
        <w:tblStyle w:val="TableGrid"/>
        <w:tblW w:w="0" w:type="auto"/>
        <w:jc w:val="center"/>
        <w:tblLook w:val="04A0" w:firstRow="1" w:lastRow="0" w:firstColumn="1" w:lastColumn="0" w:noHBand="0" w:noVBand="1"/>
      </w:tblPr>
      <w:tblGrid>
        <w:gridCol w:w="2466"/>
        <w:gridCol w:w="2466"/>
        <w:gridCol w:w="2468"/>
        <w:gridCol w:w="2468"/>
      </w:tblGrid>
      <w:tr w:rsidR="00264DC3" w14:paraId="205A4E35" w14:textId="77777777" w:rsidTr="002D02F8">
        <w:trPr>
          <w:cantSplit/>
          <w:tblHeader/>
          <w:jc w:val="center"/>
        </w:trPr>
        <w:tc>
          <w:tcPr>
            <w:tcW w:w="2469" w:type="dxa"/>
            <w:shd w:val="clear" w:color="auto" w:fill="D9EAF7"/>
          </w:tcPr>
          <w:p w14:paraId="3924D212" w14:textId="77777777" w:rsidR="00264DC3" w:rsidRDefault="00264DC3" w:rsidP="002D02F8">
            <w:pPr>
              <w:spacing w:after="0"/>
            </w:pPr>
            <w:r>
              <w:rPr>
                <w:sz w:val="17"/>
              </w:rPr>
              <w:t>Domain</w:t>
            </w:r>
          </w:p>
        </w:tc>
        <w:tc>
          <w:tcPr>
            <w:tcW w:w="2469" w:type="dxa"/>
            <w:shd w:val="clear" w:color="auto" w:fill="D9EAF7"/>
          </w:tcPr>
          <w:p w14:paraId="549BCE82" w14:textId="77777777" w:rsidR="00264DC3" w:rsidRDefault="00264DC3" w:rsidP="002D02F8">
            <w:pPr>
              <w:spacing w:after="0"/>
            </w:pPr>
            <w:r>
              <w:rPr>
                <w:sz w:val="17"/>
              </w:rPr>
              <w:t>Evidence available now</w:t>
            </w:r>
          </w:p>
        </w:tc>
        <w:tc>
          <w:tcPr>
            <w:tcW w:w="2469" w:type="dxa"/>
            <w:shd w:val="clear" w:color="auto" w:fill="D9EAF7"/>
          </w:tcPr>
          <w:p w14:paraId="784E467C" w14:textId="77777777" w:rsidR="00264DC3" w:rsidRDefault="00264DC3" w:rsidP="002D02F8">
            <w:pPr>
              <w:spacing w:after="0"/>
            </w:pPr>
            <w:r>
              <w:rPr>
                <w:sz w:val="17"/>
              </w:rPr>
              <w:t>What is reportable in this manuscript</w:t>
            </w:r>
          </w:p>
        </w:tc>
        <w:tc>
          <w:tcPr>
            <w:tcW w:w="2469" w:type="dxa"/>
            <w:shd w:val="clear" w:color="auto" w:fill="D9EAF7"/>
          </w:tcPr>
          <w:p w14:paraId="6DF30D83" w14:textId="77777777" w:rsidR="00264DC3" w:rsidRDefault="00264DC3" w:rsidP="002D02F8">
            <w:pPr>
              <w:spacing w:after="0"/>
            </w:pPr>
            <w:r>
              <w:rPr>
                <w:sz w:val="17"/>
              </w:rPr>
              <w:t>What remains required</w:t>
            </w:r>
          </w:p>
        </w:tc>
      </w:tr>
      <w:tr w:rsidR="00264DC3" w14:paraId="702E0606" w14:textId="77777777" w:rsidTr="002D02F8">
        <w:trPr>
          <w:cantSplit/>
          <w:jc w:val="center"/>
        </w:trPr>
        <w:tc>
          <w:tcPr>
            <w:tcW w:w="2469" w:type="dxa"/>
          </w:tcPr>
          <w:p w14:paraId="43770538" w14:textId="77777777" w:rsidR="00264DC3" w:rsidRDefault="00264DC3" w:rsidP="002D02F8">
            <w:pPr>
              <w:spacing w:after="0"/>
            </w:pPr>
            <w:r>
              <w:rPr>
                <w:sz w:val="17"/>
              </w:rPr>
              <w:t>Nested / participant-level evaluation</w:t>
            </w:r>
          </w:p>
        </w:tc>
        <w:tc>
          <w:tcPr>
            <w:tcW w:w="2469" w:type="dxa"/>
          </w:tcPr>
          <w:p w14:paraId="48101780" w14:textId="77777777" w:rsidR="00264DC3" w:rsidRDefault="00264DC3" w:rsidP="002D02F8">
            <w:pPr>
              <w:spacing w:after="0"/>
            </w:pPr>
            <w:r>
              <w:rPr>
                <w:sz w:val="17"/>
              </w:rPr>
              <w:t>Source analysis reports five-fold cross-validation and Bayesian hyperparameter optimisation. Patient-level inputs are described, but fold assignments, pooled out-of-fold probabilities and complete preprocessing logs are unavailable.</w:t>
            </w:r>
          </w:p>
        </w:tc>
        <w:tc>
          <w:tcPr>
            <w:tcW w:w="2469" w:type="dxa"/>
          </w:tcPr>
          <w:p w14:paraId="2C626164" w14:textId="77777777" w:rsidR="00264DC3" w:rsidRDefault="00264DC3" w:rsidP="002D02F8">
            <w:pPr>
              <w:spacing w:after="0"/>
            </w:pPr>
            <w:r>
              <w:rPr>
                <w:sz w:val="17"/>
              </w:rPr>
              <w:t>Internal development/classification AUC may be reported. The original workflow is not relabelled as fully nested.</w:t>
            </w:r>
          </w:p>
        </w:tc>
        <w:tc>
          <w:tcPr>
            <w:tcW w:w="2469" w:type="dxa"/>
          </w:tcPr>
          <w:p w14:paraId="553F15A4" w14:textId="77777777" w:rsidR="00264DC3" w:rsidRDefault="00264DC3" w:rsidP="002D02F8">
            <w:pPr>
              <w:spacing w:after="0"/>
            </w:pPr>
            <w:r>
              <w:rPr>
                <w:sz w:val="17"/>
              </w:rPr>
              <w:t>Subject-level outer folds; training-only imputation/scaling/feature construction; inner-loop tuning; one held-out probability per eligible participant.</w:t>
            </w:r>
          </w:p>
        </w:tc>
      </w:tr>
      <w:tr w:rsidR="00264DC3" w14:paraId="5C2B3D05" w14:textId="77777777" w:rsidTr="002D02F8">
        <w:trPr>
          <w:cantSplit/>
          <w:jc w:val="center"/>
        </w:trPr>
        <w:tc>
          <w:tcPr>
            <w:tcW w:w="2469" w:type="dxa"/>
          </w:tcPr>
          <w:p w14:paraId="30A9FF07" w14:textId="77777777" w:rsidR="00264DC3" w:rsidRDefault="00264DC3" w:rsidP="002D02F8">
            <w:pPr>
              <w:spacing w:after="0"/>
            </w:pPr>
            <w:r>
              <w:rPr>
                <w:sz w:val="17"/>
              </w:rPr>
              <w:t>Calibration</w:t>
            </w:r>
          </w:p>
        </w:tc>
        <w:tc>
          <w:tcPr>
            <w:tcW w:w="2469" w:type="dxa"/>
          </w:tcPr>
          <w:p w14:paraId="04A98A49" w14:textId="77777777" w:rsidR="00264DC3" w:rsidRDefault="00264DC3" w:rsidP="002D02F8">
            <w:pPr>
              <w:spacing w:after="0"/>
            </w:pPr>
            <w:r>
              <w:rPr>
                <w:sz w:val="17"/>
              </w:rPr>
              <w:t>Full-model Brier score 0.076; cohort recurrence prevalence 51/428 (11.9%).</w:t>
            </w:r>
          </w:p>
        </w:tc>
        <w:tc>
          <w:tcPr>
            <w:tcW w:w="2469" w:type="dxa"/>
          </w:tcPr>
          <w:p w14:paraId="772AC4B8" w14:textId="77777777" w:rsidR="00264DC3" w:rsidRDefault="00264DC3" w:rsidP="002D02F8">
            <w:pPr>
              <w:spacing w:after="0"/>
            </w:pPr>
            <w:r>
              <w:rPr>
                <w:sz w:val="17"/>
              </w:rPr>
              <w:t>Prevalence-only Brier reference 0.105 and descriptive Brier skill 27.6%. These contextualise probability error but do not establish calibration.</w:t>
            </w:r>
          </w:p>
        </w:tc>
        <w:tc>
          <w:tcPr>
            <w:tcW w:w="2469" w:type="dxa"/>
          </w:tcPr>
          <w:p w14:paraId="3EC9BB82" w14:textId="77777777" w:rsidR="00264DC3" w:rsidRDefault="00264DC3" w:rsidP="002D02F8">
            <w:pPr>
              <w:spacing w:after="0"/>
            </w:pPr>
            <w:r>
              <w:rPr>
                <w:sz w:val="17"/>
              </w:rPr>
              <w:t>OOF calibration-in-the-large/intercept, calibration slope with uncertainty, and calibration plot.</w:t>
            </w:r>
          </w:p>
        </w:tc>
      </w:tr>
      <w:tr w:rsidR="00264DC3" w14:paraId="79DA5BD5" w14:textId="77777777" w:rsidTr="002D02F8">
        <w:trPr>
          <w:cantSplit/>
          <w:jc w:val="center"/>
        </w:trPr>
        <w:tc>
          <w:tcPr>
            <w:tcW w:w="2469" w:type="dxa"/>
          </w:tcPr>
          <w:p w14:paraId="01D0DE02" w14:textId="77777777" w:rsidR="00264DC3" w:rsidRDefault="00264DC3" w:rsidP="002D02F8">
            <w:pPr>
              <w:spacing w:after="0"/>
            </w:pPr>
            <w:r>
              <w:rPr>
                <w:sz w:val="17"/>
              </w:rPr>
              <w:t>Incremental value / paired ΔAUC</w:t>
            </w:r>
          </w:p>
        </w:tc>
        <w:tc>
          <w:tcPr>
            <w:tcW w:w="2469" w:type="dxa"/>
          </w:tcPr>
          <w:p w14:paraId="44E1A980" w14:textId="77777777" w:rsidR="00264DC3" w:rsidRDefault="00264DC3" w:rsidP="002D02F8">
            <w:pPr>
              <w:spacing w:after="0"/>
            </w:pPr>
            <w:r>
              <w:rPr>
                <w:sz w:val="17"/>
              </w:rPr>
              <w:t>Reported AUCs: full 0.91, without EEG 0.87, metabolomics only 0.85.</w:t>
            </w:r>
          </w:p>
        </w:tc>
        <w:tc>
          <w:tcPr>
            <w:tcW w:w="2469" w:type="dxa"/>
          </w:tcPr>
          <w:p w14:paraId="203064E0" w14:textId="77777777" w:rsidR="00264DC3" w:rsidRDefault="00264DC3" w:rsidP="002D02F8">
            <w:pPr>
              <w:spacing w:after="0"/>
            </w:pPr>
            <w:r>
              <w:rPr>
                <w:sz w:val="17"/>
              </w:rPr>
              <w:t>Nominal point-estimate differences: +0.04 full vs no-EEG; +0.06 full vs metabolomics; +0.02 no-EEG vs metabolomics. No significance claim.</w:t>
            </w:r>
          </w:p>
        </w:tc>
        <w:tc>
          <w:tcPr>
            <w:tcW w:w="2469" w:type="dxa"/>
          </w:tcPr>
          <w:p w14:paraId="7B9AB9E4" w14:textId="77777777" w:rsidR="00264DC3" w:rsidRDefault="00264DC3" w:rsidP="002D02F8">
            <w:pPr>
              <w:spacing w:after="0"/>
            </w:pPr>
            <w:r>
              <w:rPr>
                <w:sz w:val="17"/>
              </w:rPr>
              <w:t>Identical outer folds and paired OOF predictions; ΔAUC with confidence interval and, if prespecified, correlated-ROC or paired bootstrap testing.</w:t>
            </w:r>
          </w:p>
        </w:tc>
      </w:tr>
      <w:tr w:rsidR="00264DC3" w14:paraId="0C0B413A" w14:textId="77777777" w:rsidTr="002D02F8">
        <w:trPr>
          <w:cantSplit/>
          <w:jc w:val="center"/>
        </w:trPr>
        <w:tc>
          <w:tcPr>
            <w:tcW w:w="2469" w:type="dxa"/>
          </w:tcPr>
          <w:p w14:paraId="4901EBE5" w14:textId="77777777" w:rsidR="00264DC3" w:rsidRDefault="00264DC3" w:rsidP="002D02F8">
            <w:pPr>
              <w:spacing w:after="0"/>
            </w:pPr>
            <w:r>
              <w:rPr>
                <w:sz w:val="17"/>
              </w:rPr>
              <w:t>T0–T3 completion and recurrence timing</w:t>
            </w:r>
          </w:p>
        </w:tc>
        <w:tc>
          <w:tcPr>
            <w:tcW w:w="2469" w:type="dxa"/>
          </w:tcPr>
          <w:p w14:paraId="69C39139" w14:textId="77777777" w:rsidR="00264DC3" w:rsidRDefault="00264DC3" w:rsidP="002D02F8">
            <w:pPr>
              <w:spacing w:after="0"/>
            </w:pPr>
            <w:r>
              <w:rPr>
                <w:sz w:val="17"/>
              </w:rPr>
              <w:t>Four study time points were scheduled; source-reported multimodal missingness approximately 5–11%. Exact time-point denominators and complete event-by-visit chronology were not preserved in the accessible archive.</w:t>
            </w:r>
          </w:p>
        </w:tc>
        <w:tc>
          <w:tcPr>
            <w:tcW w:w="2469" w:type="dxa"/>
          </w:tcPr>
          <w:p w14:paraId="0EA71A2B" w14:textId="77777777" w:rsidR="00264DC3" w:rsidRDefault="00264DC3" w:rsidP="002D02F8">
            <w:pPr>
              <w:spacing w:after="0"/>
            </w:pPr>
            <w:r>
              <w:rPr>
                <w:sz w:val="17"/>
              </w:rPr>
              <w:t>Scheduled T0–T3 framework and known cohort totals are reported without assuming complete sampling. Current analysis is framed as retrospective recurrence-status classification.</w:t>
            </w:r>
          </w:p>
        </w:tc>
        <w:tc>
          <w:tcPr>
            <w:tcW w:w="2469" w:type="dxa"/>
          </w:tcPr>
          <w:p w14:paraId="3BA38AA9" w14:textId="77777777" w:rsidR="00264DC3" w:rsidRDefault="00264DC3" w:rsidP="002D02F8">
            <w:pPr>
              <w:spacing w:after="0"/>
            </w:pPr>
            <w:r>
              <w:rPr>
                <w:sz w:val="17"/>
              </w:rPr>
              <w:t>Exact eligible/acquired/QC-passed/model-used counts by modality and time point; recurrence date; pre-event eligibility flag for every longitudinal observation.</w:t>
            </w:r>
          </w:p>
        </w:tc>
      </w:tr>
    </w:tbl>
    <w:p w14:paraId="26D1FAA8" w14:textId="77777777" w:rsidR="00264DC3" w:rsidRDefault="00264DC3" w:rsidP="00264DC3">
      <w:r>
        <w:rPr>
          <w:b/>
        </w:rPr>
        <w:t xml:space="preserve">Interpretive rule: </w:t>
      </w:r>
      <w:r>
        <w:t>The manuscript uses the maximum information supported by the archived evidence. Missing calibration parameters, paired uncertainty and T0–T3 denominators are not replaced by plausible values because doing so would convert a reporting gap into an unverifiable result.</w:t>
      </w:r>
    </w:p>
    <w:p w14:paraId="78307D29" w14:textId="77777777" w:rsidR="00DC2479" w:rsidRDefault="00DC2479"/>
    <w:sectPr w:rsidR="00DC2479" w:rsidSect="00264DC3">
      <w:footerReference w:type="default" r:id="rId4"/>
      <w:pgSz w:w="12240" w:h="15840"/>
      <w:pgMar w:top="1123" w:right="1181" w:bottom="103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B56D" w14:textId="77777777" w:rsidR="00264DC3" w:rsidRDefault="00264DC3">
    <w:pPr>
      <w:pStyle w:val="Footer"/>
      <w:jc w:val="center"/>
    </w:pPr>
    <w:r>
      <w:t xml:space="preserve">Page </w:t>
    </w: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C3"/>
    <w:rsid w:val="00264DC3"/>
    <w:rsid w:val="005B6877"/>
    <w:rsid w:val="00AA0C39"/>
    <w:rsid w:val="00DC2479"/>
    <w:rsid w:val="00FD15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AB27"/>
  <w15:chartTrackingRefBased/>
  <w15:docId w15:val="{DA594049-820F-49F6-9C5C-5140E2C1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C3"/>
    <w:pPr>
      <w:spacing w:after="100" w:line="293" w:lineRule="auto"/>
    </w:pPr>
    <w:rPr>
      <w:rFonts w:ascii="Times New Roman" w:eastAsia="Times New Roman" w:hAnsi="Times New Roman"/>
      <w:kern w:val="0"/>
      <w:sz w:val="22"/>
      <w:szCs w:val="22"/>
      <w:lang w:val="en-US"/>
      <w14:ligatures w14:val="none"/>
    </w:rPr>
  </w:style>
  <w:style w:type="paragraph" w:styleId="Heading1">
    <w:name w:val="heading 1"/>
    <w:basedOn w:val="Normal"/>
    <w:next w:val="Normal"/>
    <w:link w:val="Heading1Char"/>
    <w:uiPriority w:val="9"/>
    <w:qFormat/>
    <w:rsid w:val="00264D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264D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264DC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264DC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264DC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264DC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264DC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264DC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264DC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64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DC3"/>
    <w:rPr>
      <w:rFonts w:eastAsiaTheme="majorEastAsia" w:cstheme="majorBidi"/>
      <w:color w:val="272727" w:themeColor="text1" w:themeTint="D8"/>
    </w:rPr>
  </w:style>
  <w:style w:type="paragraph" w:styleId="Title">
    <w:name w:val="Title"/>
    <w:basedOn w:val="Normal"/>
    <w:next w:val="Normal"/>
    <w:link w:val="TitleChar"/>
    <w:uiPriority w:val="10"/>
    <w:qFormat/>
    <w:rsid w:val="00264DC3"/>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264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DC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264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DC3"/>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264DC3"/>
    <w:rPr>
      <w:i/>
      <w:iCs/>
      <w:color w:val="404040" w:themeColor="text1" w:themeTint="BF"/>
    </w:rPr>
  </w:style>
  <w:style w:type="paragraph" w:styleId="ListParagraph">
    <w:name w:val="List Paragraph"/>
    <w:basedOn w:val="Normal"/>
    <w:uiPriority w:val="34"/>
    <w:qFormat/>
    <w:rsid w:val="00264DC3"/>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264DC3"/>
    <w:rPr>
      <w:i/>
      <w:iCs/>
      <w:color w:val="0F4761" w:themeColor="accent1" w:themeShade="BF"/>
    </w:rPr>
  </w:style>
  <w:style w:type="paragraph" w:styleId="IntenseQuote">
    <w:name w:val="Intense Quote"/>
    <w:basedOn w:val="Normal"/>
    <w:next w:val="Normal"/>
    <w:link w:val="IntenseQuoteChar"/>
    <w:uiPriority w:val="30"/>
    <w:qFormat/>
    <w:rsid w:val="00264DC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264DC3"/>
    <w:rPr>
      <w:i/>
      <w:iCs/>
      <w:color w:val="0F4761" w:themeColor="accent1" w:themeShade="BF"/>
    </w:rPr>
  </w:style>
  <w:style w:type="character" w:styleId="IntenseReference">
    <w:name w:val="Intense Reference"/>
    <w:basedOn w:val="DefaultParagraphFont"/>
    <w:uiPriority w:val="32"/>
    <w:qFormat/>
    <w:rsid w:val="00264DC3"/>
    <w:rPr>
      <w:b/>
      <w:bCs/>
      <w:smallCaps/>
      <w:color w:val="0F4761" w:themeColor="accent1" w:themeShade="BF"/>
      <w:spacing w:val="5"/>
    </w:rPr>
  </w:style>
  <w:style w:type="paragraph" w:styleId="Footer">
    <w:name w:val="footer"/>
    <w:basedOn w:val="Normal"/>
    <w:link w:val="FooterChar"/>
    <w:uiPriority w:val="99"/>
    <w:unhideWhenUsed/>
    <w:qFormat/>
    <w:rsid w:val="00264DC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264DC3"/>
    <w:rPr>
      <w:rFonts w:ascii="Times New Roman" w:eastAsia="Times New Roman" w:hAnsi="Times New Roman"/>
      <w:kern w:val="0"/>
      <w:sz w:val="22"/>
      <w:szCs w:val="22"/>
      <w:lang w:val="en-US"/>
      <w14:ligatures w14:val="none"/>
    </w:rPr>
  </w:style>
  <w:style w:type="table" w:styleId="TableGrid">
    <w:name w:val="Table Grid"/>
    <w:basedOn w:val="TableNormal"/>
    <w:uiPriority w:val="59"/>
    <w:qFormat/>
    <w:rsid w:val="00264DC3"/>
    <w:pPr>
      <w:spacing w:after="0" w:line="240" w:lineRule="auto"/>
    </w:pPr>
    <w:rPr>
      <w:rFonts w:ascii="Times New Roman" w:eastAsia="SimSun" w:hAnsi="Times New Roman" w:cs="Times New Roman"/>
      <w:kern w:val="0"/>
      <w:sz w:val="20"/>
      <w:szCs w:val="20"/>
      <w:lang w:val="en-US"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2026-10-06T08:18:00Z</dcterms:created>
  <dcterms:modified xsi:type="dcterms:W3CDTF">2026-10-06T08:18:00Z</dcterms:modified>
</cp:coreProperties>
</file>