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44DC6" w14:textId="77777777" w:rsidR="00E513A4" w:rsidRDefault="00000000">
      <w:pPr>
        <w:jc w:val="center"/>
      </w:pPr>
      <w:r>
        <w:rPr>
          <w:b/>
          <w:color w:val="000000"/>
          <w:sz w:val="32"/>
        </w:rPr>
        <w:t>Supplementary Information</w:t>
      </w:r>
    </w:p>
    <w:p w14:paraId="128876C1" w14:textId="77777777" w:rsidR="00E513A4" w:rsidRDefault="00000000">
      <w:pPr>
        <w:pStyle w:val="ac"/>
        <w:jc w:val="center"/>
      </w:pPr>
      <w:r>
        <w:rPr>
          <w:rFonts w:ascii="Times New Roman" w:eastAsia="Times New Roman" w:hAnsi="Times New Roman"/>
          <w:color w:val="000000"/>
        </w:rPr>
        <w:t>An anesthesia-related gene signature is associated with prognosis and immune phenotypes in colorectal cancer: a retrospective multi-cohort bioinformatics study</w:t>
      </w:r>
    </w:p>
    <w:p w14:paraId="18408B14" w14:textId="77777777" w:rsidR="00E513A4" w:rsidRDefault="00000000">
      <w:pPr>
        <w:spacing w:after="120"/>
        <w:jc w:val="both"/>
      </w:pPr>
      <w:r>
        <w:rPr>
          <w:color w:val="000000"/>
        </w:rPr>
        <w:t>This section provides the supplementary tables and figures referenced in the main text. Supplementary Figures S1–S30 and Supplementary Tables S1–S7 are presented in this file; additional supplementary figures (S22-S30) and all supplementary tables (S1–S7) are presented below. Note that Supplementary Figures S22 and S23 provide extended pathway enrichment visualizations complementary to Figure 1H (which shows a condensed volcano/bar plot), offering readers additional analytical depth rather than duplicative content. Supplementary Figures S24 and S25 present normalization-strategy comparisons for GSE39582 that inform the cross-platform performance discussion.</w:t>
      </w:r>
    </w:p>
    <w:p w14:paraId="7F24443F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4DC39170" wp14:editId="62AF62C8">
            <wp:extent cx="4572000" cy="28300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SSO_CV_curv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3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B17C1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S1. LASSO regression cross-validation curve for selection of the optimal penalty parameter (λ).</w:t>
      </w:r>
    </w:p>
    <w:p w14:paraId="1AAB0C20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7D6D7E7A" wp14:editId="6C99F6C5">
            <wp:extent cx="6400800" cy="449531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_S2_lasso_coefficients_v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9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CE644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S2. LASSO Cox coefficients for the final 15-gene prognostic signature (cross-validated, TCGA training cohort). Bars show absolute coefficient magnitudes; red = risk gene (β &gt; 0, HR &gt; 1), blue = protective gene (β &lt; 0, HR &lt; 1). Numeric β values are annotated. Genes are sorted by descending |β|.</w:t>
      </w:r>
    </w:p>
    <w:p w14:paraId="371A92D9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699CC57F" wp14:editId="3E518290">
            <wp:extent cx="5029200" cy="233011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5_KM_curves_all_endpoint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3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06800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 xml:space="preserve">Supplementary Figure S3. Kaplan–Meier survival curves for the 15-gene signature across multiple cohorts, endpoints, and normalisations. Panels (top row, left→right): (A) TCGA </w:t>
      </w:r>
      <w:r>
        <w:rPr>
          <w:color w:val="000000"/>
          <w:sz w:val="24"/>
        </w:rPr>
        <w:lastRenderedPageBreak/>
        <w:t>Train (OS, n=590); (B) TCGA Full (OS, n=590); (C) GSE39582 (RFS, n=536); (D) GSE39582 (OS). Panels (bottom row): (E) GSE17536 (DFS, n=122); (F) GSE17536 (DSS, n=122); (G) GSE17536 (OS); (H) GSE17536 (rank-based normalisation, OS). Risk groups are defined by the median risk score. Reported C-index values are per-panel.</w:t>
      </w:r>
    </w:p>
    <w:p w14:paraId="06228153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580A9797" wp14:editId="29666E6C">
            <wp:extent cx="5029200" cy="357664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1_forest_plo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57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7FEE7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S4. Multivariate Cox regression forest plot for the TCGA-CRC cohort, demonstrating risk score as an independent prognostic factor (HR = 2.27, 95% CI 1.51–3.43, P = 9.3 × 10⁻⁵) after adjustment for age, sex, TNM stage, T, N, and M classifications. Reference categories for T, N, and M are indicated in the figure; ns = not significant. The univariate Cox screening results are summarised in the Methods and Results sections of the main manuscript.</w:t>
      </w:r>
    </w:p>
    <w:p w14:paraId="378AD523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59A6F4A8" wp14:editId="7504BF8C">
            <wp:extent cx="4572000" cy="458529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3_time_dependent_RO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85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F64DF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S5. Time-dependent ROC curves at 1, 3, and 5 years.</w:t>
      </w:r>
    </w:p>
    <w:p w14:paraId="236DB1F4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52355AFD" wp14:editId="63F082EF">
            <wp:extent cx="4572000" cy="63397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1_nomogram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3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0A98B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S6. Nomogram integrating the 15-gene risk score with clinicopathological variables (TNM stage, T, N, M categories) for predicting 1-, 3-, and 5-year overall survival in the TCGA-CRC cohort. The figure is provided as a high-resolution PDF/PNG in the supplementary archive; at the rendered size shown here, the point scales, gene labels, and survival-time labels should be read in conjunction with the original high-resolution file. Calibration and discrimination of the nomogram are reported in the main text (C-index = 0.715/0.707/0.758 at 1/3/5 years; see also Supplementary Figure S8 for 3-year calibration).</w:t>
      </w:r>
    </w:p>
    <w:p w14:paraId="2B851369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1CDC01AA" wp14:editId="3F388D62">
            <wp:extent cx="4572000" cy="325306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3_DC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5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67BC9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S7. Decision curve analysis for the risk-score model in the development cohort.</w:t>
      </w:r>
    </w:p>
    <w:p w14:paraId="4A07A34A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7794AC09" wp14:editId="1D98C165">
            <wp:extent cx="4572000" cy="458495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3_calibration_curv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8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01C7C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S8. Calibration curve for 3-year overall survival in the TCGA-CRC training cohort. Observed vs. predicted 3-year survival probabilities are plotted using 10-fold cross-validated predictions; shaded band denotes 95% CI. The 1- and 5-year calibration plots for the development cohort and additional time-points for the external evaluation cohort are presented alongside this figure in the source archive (Supplementary_Data_Calibration_1y_5y.pdf).</w:t>
      </w:r>
    </w:p>
    <w:p w14:paraId="5F218947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083FF75E" wp14:editId="1901830E">
            <wp:extent cx="5029200" cy="367295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2_clinical_correlat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7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C4688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S9. Association between risk score and clinicopathological features. Box plots show risk score distributions stratified by TNM stage (A), T (B), N (C), and M (D).</w:t>
      </w:r>
    </w:p>
    <w:p w14:paraId="1A4A8BCD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6A0D6283" wp14:editId="1E891ECC">
            <wp:extent cx="5029200" cy="192623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5_immune_infiltration_boxplo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92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1FA62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S10. Immune cell infiltration (ssGSEA enrichment scores) across 22 leukocyte subsets, comparing high- vs. low-risk groups in the TCGA-CRC cohort. Box plots show per-cell-type ssGSEA scores; asterisks (*) denote nominal P &lt; 0.05 (Wilcoxon rank-sum). The corresponding CIBERSORT LM22 analysis is reported numerically in the main text (Figure 3A and Supplementary Table S6).</w:t>
      </w:r>
    </w:p>
    <w:p w14:paraId="504F634F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0D6F3E78" wp14:editId="7FBC4A92">
            <wp:extent cx="4572000" cy="157958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5_ESTIMATE_score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7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1A226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S11. ESTIMATE analysis of immune, stromal, and ESTIMATE scores between high- and low-risk groups.</w:t>
      </w:r>
    </w:p>
    <w:p w14:paraId="23D6341E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7585C017" wp14:editId="272738B4">
            <wp:extent cx="5029200" cy="321075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DE_improved_analysi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1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A3218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S12. TIDE-derived immune-response proxy analysis for the TCGA-CRC cohort. Panels show (top): CD8+ T cell infiltration score, T cell dysfunction score, T cell exclusion score; (bottom): IFN-γ signature score, overall TIDE score, and a threshold-derived proxy response classification. The “responder/non-responder” bar is a TIDE-predicted proxy class, not an observed treatment outcome; clinical interpretation should retain proxy terminology throughout. p-values are Wilcoxon rank-sum.</w:t>
      </w:r>
    </w:p>
    <w:p w14:paraId="1580C2B3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26B71F18" wp14:editId="5A309D0E">
            <wp:extent cx="5029200" cy="345207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CIA_IPS_analysi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45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A09CC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S13. TCIA Immunophenoscore (IPS) analysis between risk groups. Panels: (A) Total IPS comparison; (B) IPS component Z-scores (MHC, immunomodulator, effector cell, suppressor cell); (C) IPS-derived CTLA-4 and PD-1 proxy classification rates; (D) IPS vs. risk score correlation; (E, F) CTLA-4 and PD-1 component score distributions. IPS-derived categorical assignments in panel C are computational proxies, not observed treatment responses; the difference in CTLA-4 proxy-response rate between risk groups reflects IPS algorithm output (low risk ≈ 61% vs. high risk ≈ 39%, P = 1.4 × 10⁻⁷).</w:t>
      </w:r>
    </w:p>
    <w:p w14:paraId="07169681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16060AEA" wp14:editId="00DD6AE9">
            <wp:extent cx="5029200" cy="402846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EA_bubble_plot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02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8799B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S14. GSEA bubble plot of significantly enriched pathways (FDR &lt; 0.25) across Hallmark, KEGG, and Reactome gene set collections.</w:t>
      </w:r>
    </w:p>
    <w:p w14:paraId="5C7DDF43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495B0D17" wp14:editId="4511F7C9">
            <wp:extent cx="5029200" cy="99731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EA_hallmark_top5_enrichmen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9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AF0C5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S15. Hallmark GSEA reference panels for the top five Hallmark pathways enriched in the high-risk group. The rendered layout shows pathway identifiers and Normalised Enrichment Scores (NES) plus nominal P-values; the running-enrichment score curves and leading-edge subsets are provided numerically in Supplementary Table S4 and the source archive (Supplementary_Data_GSEA_running_ES.pdf). The bubble plot in Supplementary Figure S14 displays the full pathway-level FDR summary across Hallmark, KEGG, and Reactome.</w:t>
      </w:r>
    </w:p>
    <w:p w14:paraId="472390D4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5D5BA373" wp14:editId="1F9A4CEB">
            <wp:extent cx="4572000" cy="318500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ug_sensitivity_volcano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8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7F7FF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S16. Drug sensitivity volcano plot. X-axis: log₂FC of predicted IC₅₀ (high vs. low risk). Y-axis: −log₁₀(</w:t>
      </w:r>
      <w:r>
        <w:rPr>
          <w:i/>
          <w:color w:val="000000"/>
          <w:sz w:val="24"/>
        </w:rPr>
        <w:t>P</w:t>
      </w:r>
      <w:r>
        <w:rPr>
          <w:color w:val="000000"/>
          <w:sz w:val="24"/>
        </w:rPr>
        <w:t>).</w:t>
      </w:r>
    </w:p>
    <w:p w14:paraId="2771C974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7D859A8D" wp14:editId="0987027F">
            <wp:extent cx="5029200" cy="301377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nical_drugs_barplot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1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3C7C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S17. Predicted IC50 values for selected anticancer agents across risk groups. These in-silico estimates do not establish treatment sensitivity in patients.</w:t>
      </w:r>
    </w:p>
    <w:p w14:paraId="61FF369D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1B776B93" wp14:editId="4F66AB09">
            <wp:extent cx="5029200" cy="18617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_immune_correlation_heatmap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6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F0F83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S18. Spearman correlation heatmap between 15 model genes and 22 immune cell types. Asterisks indicate FDR-corrected significance.</w:t>
      </w:r>
    </w:p>
    <w:p w14:paraId="0662CC57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30BC60CC" wp14:editId="45DA347F">
            <wp:extent cx="5029200" cy="213910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_genes_celltype_heatmap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3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5DE7B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S19. Model-gene expression differences (Δ expression) between samples with high vs. low immune-cell infiltration (top vs. bottom quartile). Rows: 22 immune-cell subsets (ssGSEA). Columns: 15 model genes. Cell colour denotes mean expression difference (red = higher in high-infiltration samples; blue = lower). This figure characterises how model-gene expression tracks with overall infiltration level; the complementary direction (cell-type abundance stratified by model-gene expression) is shown in Supplementary Figure S20.</w:t>
      </w:r>
    </w:p>
    <w:p w14:paraId="6E74C2FD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5F1CC36D" wp14:editId="6D821DE3">
            <wp:extent cx="5029200" cy="213859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_genes_dotplot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3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477E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lastRenderedPageBreak/>
        <w:t>Supplementary Figure S20. Model-gene expression profile across 22 immune-cell subsets (dot plot). Columns: 15 model genes; rows: 22 immune-cell subsets. Dot size encodes the percentage of samples expressing the gene above the per-sample median; dot colour encodes expression difference magnitude. The figure summarises which cell-type contexts each model gene is expressed in, complementing the infiltration-vs-gene direction shown in Supplementary Figure S19.</w:t>
      </w:r>
    </w:p>
    <w:p w14:paraId="31E86FB0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33C17FE2" wp14:editId="2153C2AB">
            <wp:extent cx="5029200" cy="124729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_genes_violin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24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16E48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S21. Model-gene expression (log2(TPM+1)) split by CD8+ T cell infiltration status (Low vs. High CD8+, median cutoff). For display clarity, six representative model genes are shown (VEGFA, CDKN2A, CCNE1, AQP1, EPHX2, CACNA1D), selected to span the coefficient range and biological categories (vascular, cell-cycle, ion channel, water channel, metabolic, neuronal). The selection rule is described in the caption; equivalent plots for the remaining nine model genes are provided in the source archive (Supplementary_Data_S21_all_genes.pdf).</w:t>
      </w:r>
    </w:p>
    <w:p w14:paraId="60C09499" w14:textId="77777777" w:rsidR="00E513A4" w:rsidRDefault="00000000">
      <w:pPr>
        <w:pStyle w:val="af7"/>
        <w:spacing w:before="240" w:after="80"/>
      </w:pPr>
      <w:r>
        <w:rPr>
          <w:color w:val="000000"/>
          <w:sz w:val="24"/>
        </w:rPr>
        <w:t>Supplementary Table S1. Differentially expressed anesthesia-related genes (DEARGs) in TCGA-CRC (top 20 of 78 shown; full list available in source data).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68"/>
        <w:gridCol w:w="1867"/>
        <w:gridCol w:w="1870"/>
        <w:gridCol w:w="1870"/>
        <w:gridCol w:w="1875"/>
      </w:tblGrid>
      <w:tr w:rsidR="00E513A4" w14:paraId="33663707" w14:textId="77777777">
        <w:trPr>
          <w:cantSplit/>
          <w:tblHeader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11A69E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Gene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1F0F6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log₂FC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5E6FC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P (adjusted)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AB0E50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Regulation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0F8D0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Functional Category</w:t>
            </w:r>
          </w:p>
        </w:tc>
      </w:tr>
      <w:tr w:rsidR="00E513A4" w14:paraId="39518F09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9DDEF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GABRA3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4043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2.201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42D5D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2.51e-05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2C93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D0AB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GABA₊ receptor</w:t>
            </w:r>
          </w:p>
        </w:tc>
      </w:tr>
      <w:tr w:rsidR="00E513A4" w14:paraId="39B6D9D0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923B7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DRD4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BD5F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1.009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CE85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1.28e-07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AD3B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9A39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Dopamine receptor</w:t>
            </w:r>
          </w:p>
        </w:tc>
      </w:tr>
      <w:tr w:rsidR="00E513A4" w14:paraId="28C2650B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ECC3E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CHRNA3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E2B8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-2.063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8E56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2.19e-17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65C14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50D0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0A86240F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AB2F1D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GABRP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3B366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3.018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25F6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8.99e-20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332B4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0FADA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GABA₊ receptor</w:t>
            </w:r>
          </w:p>
        </w:tc>
      </w:tr>
      <w:tr w:rsidR="00E513A4" w14:paraId="7F692193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209FF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HMOX1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E65E7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-1.585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C2EB7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7.57e-34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05E8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7CF5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1A982951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A0BB8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GABRE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E093D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2.389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94A50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2.83e-40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AE19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FE448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GABA₊ receptor</w:t>
            </w:r>
          </w:p>
        </w:tc>
      </w:tr>
      <w:tr w:rsidR="00E513A4" w14:paraId="40DFB725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5D154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SLC6A2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C799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-1.170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01ECF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0.0446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CF92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022B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72624F73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1CDEC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CCNE1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5BB8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1.611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7763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7.14e-43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E1B5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B442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Cell cycle</w:t>
            </w:r>
          </w:p>
        </w:tc>
      </w:tr>
      <w:tr w:rsidR="00E513A4" w14:paraId="30958752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EF353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GRIN2D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99D6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5.007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B95C7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9.79e-211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D942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9823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50722E00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51A9F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GABRA4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8B2AB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1.243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1958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0.0017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03268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AD17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4D1A517E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B8E31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GLRB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ABFA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-1.003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61E1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2.56e-06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FD1E5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1BC1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Glycine receptor</w:t>
            </w:r>
          </w:p>
        </w:tc>
      </w:tr>
      <w:tr w:rsidR="00E513A4" w14:paraId="6469C319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B52804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CCND1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CE1B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1.655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D0A0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4.95e-71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62D0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AE6E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5660FE81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6E8E57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VEGFA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578DE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1.526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B98C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1.68e-51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0FD8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B322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Pro-angiogenic</w:t>
            </w:r>
          </w:p>
        </w:tc>
      </w:tr>
      <w:tr w:rsidR="00E513A4" w14:paraId="643D3B45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07500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GABRG2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656E8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-2.683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EB9C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2.58e-08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963E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BB5F2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2DD812A3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17AE72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EPAS1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BFFD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-1.225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3A0D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5.07e-39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9D627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768B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43433153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FC3DE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lastRenderedPageBreak/>
              <w:t>GRIN3B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9EE8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1.694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03A1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2.89e-13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21D4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96C0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733C327B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807A3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CHRNB4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99A7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-1.779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754B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9.74e-18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9E4F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E2CF6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3A44F112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98720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NR4A3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71CCF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-1.784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FE5C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4.20e-15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E23C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9EB2F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0216BB6B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107A0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EPHX2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EE2E9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-1.511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D0EF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8.51e-26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3597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B23B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Epoxyhydrolase</w:t>
            </w:r>
          </w:p>
        </w:tc>
      </w:tr>
      <w:tr w:rsidR="00E513A4" w14:paraId="668DDB5C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209C5D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CDKN1A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B60E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-1.164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60279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1.16e-17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CEC1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Down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59BBF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</w:tbl>
    <w:p w14:paraId="6B253B53" w14:textId="77777777" w:rsidR="00E513A4" w:rsidRDefault="00E513A4"/>
    <w:p w14:paraId="0E61D65E" w14:textId="77777777" w:rsidR="00E513A4" w:rsidRDefault="00000000">
      <w:pPr>
        <w:pStyle w:val="af7"/>
        <w:spacing w:before="240" w:after="80"/>
      </w:pPr>
      <w:r>
        <w:rPr>
          <w:color w:val="000000"/>
          <w:sz w:val="24"/>
        </w:rPr>
        <w:t>Supplementary Table S2. KEGG pathway enrichment analysis of 78 DEARGs (top 15 pathways shown).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76"/>
        <w:gridCol w:w="1868"/>
        <w:gridCol w:w="1869"/>
        <w:gridCol w:w="1867"/>
        <w:gridCol w:w="1870"/>
      </w:tblGrid>
      <w:tr w:rsidR="00E513A4" w14:paraId="3DCEF881" w14:textId="77777777">
        <w:trPr>
          <w:cantSplit/>
          <w:tblHeader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98753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Pathway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795751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Overlap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781EF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Adjusted P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E0A0EA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Odds Ratio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A0ADA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Combined Score</w:t>
            </w:r>
          </w:p>
        </w:tc>
      </w:tr>
      <w:tr w:rsidR="00E513A4" w14:paraId="6721C7F2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204641" w14:textId="77777777" w:rsidR="00E513A4" w:rsidRDefault="00000000">
            <w:r>
              <w:rPr>
                <w:color w:val="000000"/>
                <w:sz w:val="18"/>
              </w:rPr>
              <w:t>Nicotine addiction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3F9D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15/40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478D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1.03e-24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D5BE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189.50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B679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11425.18</w:t>
            </w:r>
          </w:p>
        </w:tc>
      </w:tr>
      <w:tr w:rsidR="00E513A4" w14:paraId="170F1963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0082AE" w14:textId="77777777" w:rsidR="00E513A4" w:rsidRDefault="00000000">
            <w:r>
              <w:rPr>
                <w:color w:val="000000"/>
                <w:sz w:val="18"/>
              </w:rPr>
              <w:t>Neuroactive ligand-receptor interaction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2190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25/341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A7679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1.52e-23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D758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29.27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290F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1665.37</w:t>
            </w:r>
          </w:p>
        </w:tc>
      </w:tr>
      <w:tr w:rsidR="00E513A4" w14:paraId="460E35F5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DA868" w14:textId="77777777" w:rsidR="00E513A4" w:rsidRDefault="00000000">
            <w:r>
              <w:rPr>
                <w:color w:val="000000"/>
                <w:sz w:val="18"/>
              </w:rPr>
              <w:t>GABAergic synapse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2758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11/89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3640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2.28e-12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246E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41.77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7C3C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1284.92</w:t>
            </w:r>
          </w:p>
        </w:tc>
      </w:tr>
      <w:tr w:rsidR="00E513A4" w14:paraId="50F93758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8C63B" w14:textId="77777777" w:rsidR="00E513A4" w:rsidRDefault="00000000">
            <w:r>
              <w:rPr>
                <w:color w:val="000000"/>
                <w:sz w:val="18"/>
              </w:rPr>
              <w:t>Calcium signaling pathway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9912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13/240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E3AA6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3.35e-10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0D856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17.35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321E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442.25</w:t>
            </w:r>
          </w:p>
        </w:tc>
      </w:tr>
      <w:tr w:rsidR="00E513A4" w14:paraId="3B85CA35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D184B" w14:textId="77777777" w:rsidR="00E513A4" w:rsidRDefault="00000000">
            <w:r>
              <w:rPr>
                <w:color w:val="000000"/>
                <w:sz w:val="18"/>
              </w:rPr>
              <w:t>Retrograde endocannabinoid signaling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29A93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11/148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EB1F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3.84e-10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E807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23.71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62208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594.82</w:t>
            </w:r>
          </w:p>
        </w:tc>
      </w:tr>
      <w:tr w:rsidR="00E513A4" w14:paraId="2E7D6E8F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AB28D3" w14:textId="77777777" w:rsidR="00E513A4" w:rsidRDefault="00000000">
            <w:r>
              <w:rPr>
                <w:color w:val="000000"/>
                <w:sz w:val="18"/>
              </w:rPr>
              <w:t>Cocaine addiction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9EAC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8/49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018F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3.84e-10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8A018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55.42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8D34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1382.39</w:t>
            </w:r>
          </w:p>
        </w:tc>
      </w:tr>
      <w:tr w:rsidR="00E513A4" w14:paraId="4D8087A4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726DD" w14:textId="77777777" w:rsidR="00E513A4" w:rsidRDefault="00000000">
            <w:r>
              <w:rPr>
                <w:color w:val="000000"/>
                <w:sz w:val="18"/>
              </w:rPr>
              <w:t>Morphine addiction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AA7A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9/91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D9FE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1.76e-09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D628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31.56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897B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734.27</w:t>
            </w:r>
          </w:p>
        </w:tc>
      </w:tr>
      <w:tr w:rsidR="00E513A4" w14:paraId="2722D65B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081B5" w14:textId="77777777" w:rsidR="00E513A4" w:rsidRDefault="00000000">
            <w:r>
              <w:rPr>
                <w:color w:val="000000"/>
                <w:sz w:val="18"/>
              </w:rPr>
              <w:t>Amphetamine addiction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DCE28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8/69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A625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5.02e-09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B06E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37.21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4DCA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821.88</w:t>
            </w:r>
          </w:p>
        </w:tc>
      </w:tr>
      <w:tr w:rsidR="00E513A4" w14:paraId="10FD7F0D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61E0C" w14:textId="77777777" w:rsidR="00E513A4" w:rsidRDefault="00000000">
            <w:r>
              <w:rPr>
                <w:color w:val="000000"/>
                <w:sz w:val="18"/>
              </w:rPr>
              <w:t>Taste transduction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BAD0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8/86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959A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2.68e-08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053F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29.08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2532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590.02</w:t>
            </w:r>
          </w:p>
        </w:tc>
      </w:tr>
      <w:tr w:rsidR="00E513A4" w14:paraId="067F2FDF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FD4CF" w14:textId="77777777" w:rsidR="00E513A4" w:rsidRDefault="00000000">
            <w:r>
              <w:rPr>
                <w:color w:val="000000"/>
                <w:sz w:val="18"/>
              </w:rPr>
              <w:t>Dopaminergic synapse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4072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9/132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349F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3.52e-08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9910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21.00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D7C8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418.17</w:t>
            </w:r>
          </w:p>
        </w:tc>
      </w:tr>
      <w:tr w:rsidR="00E513A4" w14:paraId="36FB401E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C35FB" w14:textId="77777777" w:rsidR="00E513A4" w:rsidRDefault="00000000">
            <w:r>
              <w:rPr>
                <w:color w:val="000000"/>
                <w:sz w:val="18"/>
              </w:rPr>
              <w:t>cAMP signaling pathway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8FD25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10/216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84827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1.66e-07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8DA73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14.07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547AE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257.15</w:t>
            </w:r>
          </w:p>
        </w:tc>
      </w:tr>
      <w:tr w:rsidR="00E513A4" w14:paraId="036990AA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D78DB9" w14:textId="77777777" w:rsidR="00E513A4" w:rsidRDefault="00000000">
            <w:r>
              <w:rPr>
                <w:color w:val="000000"/>
                <w:sz w:val="18"/>
              </w:rPr>
              <w:t>Glutamatergic synapse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4CF5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8/114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73345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1.91e-07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BD1A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21.36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96207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385.44</w:t>
            </w:r>
          </w:p>
        </w:tc>
      </w:tr>
      <w:tr w:rsidR="00E513A4" w14:paraId="7DE73AD6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F8C39" w14:textId="77777777" w:rsidR="00E513A4" w:rsidRDefault="00000000">
            <w:r>
              <w:rPr>
                <w:color w:val="000000"/>
                <w:sz w:val="18"/>
              </w:rPr>
              <w:t>Chemical carcinogenesis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31E9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10/239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89E71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3.67e-07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4365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12.65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4F27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218.90</w:t>
            </w:r>
          </w:p>
        </w:tc>
      </w:tr>
      <w:tr w:rsidR="00E513A4" w14:paraId="3E69CC0F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921FF" w14:textId="77777777" w:rsidR="00E513A4" w:rsidRDefault="00000000">
            <w:r>
              <w:rPr>
                <w:color w:val="000000"/>
                <w:sz w:val="18"/>
              </w:rPr>
              <w:t>Cushing syndrome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A100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8/155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58E9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1.80e-06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C43F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15.37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7815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240.50</w:t>
            </w:r>
          </w:p>
        </w:tc>
      </w:tr>
      <w:tr w:rsidR="00E513A4" w14:paraId="0EFC3B4D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C63330" w14:textId="77777777" w:rsidR="00E513A4" w:rsidRDefault="00000000">
            <w:r>
              <w:rPr>
                <w:color w:val="000000"/>
                <w:sz w:val="18"/>
              </w:rPr>
              <w:t>Serotonergic synapse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A6AD2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7/113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4E712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2.84e-06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59103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18.43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EBB8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277.50</w:t>
            </w:r>
          </w:p>
        </w:tc>
      </w:tr>
    </w:tbl>
    <w:p w14:paraId="7D7BC0FA" w14:textId="77777777" w:rsidR="00E513A4" w:rsidRDefault="00E513A4"/>
    <w:p w14:paraId="0FA72604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255FCB20" wp14:editId="67005C85">
            <wp:extent cx="5029200" cy="3139924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richment_KEGG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3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A3036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S22. KEGG pathway enrichment bubble plot for the 78 DEARGs (TCGA-CRC vs normal, |log2FC| &gt; 1, FDR &lt; 0.05). Bubble horizontal position = −log₁₀(P-value); bubble size = gene-set size; bubble colour = −log₁₀(P). The dashed vertical line denotes P = 0.05. Numeric gene counts (e.g., 15/40 for nicotine addiction) are annotated next to each bubble. The full ordered list of enriched KEGG pathways is provided in Supplementary Table S2.</w:t>
      </w:r>
    </w:p>
    <w:p w14:paraId="76C84967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13EA489D" wp14:editId="1DF070E6">
            <wp:extent cx="5029200" cy="20823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richment_combined_GO_KEGG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8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4E0B0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S23. Functional enrichment analysis of 78 DEARGs showing two panels: GO Biological Process (left) and KEGG pathway (right). Bubble horizontal position = −log₁₀(P-value); bubble colour encodes significance. The complementary GO Cellular Component and Molecular Function panels are provided in Supplementary Figure S26 and the source archive (Supplementary_Data_S23_CC_MF.pdf).</w:t>
      </w:r>
    </w:p>
    <w:p w14:paraId="421CABE9" w14:textId="77777777" w:rsidR="00E513A4" w:rsidRDefault="00000000">
      <w:pPr>
        <w:pStyle w:val="af7"/>
        <w:spacing w:before="240" w:after="80"/>
      </w:pPr>
      <w:r>
        <w:rPr>
          <w:color w:val="000000"/>
          <w:sz w:val="24"/>
        </w:rPr>
        <w:t>Supplementary Table S3. Stratified survival analysis by disease stage in the GSE39582 evaluation cohort.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338"/>
        <w:gridCol w:w="2336"/>
        <w:gridCol w:w="2338"/>
        <w:gridCol w:w="2338"/>
      </w:tblGrid>
      <w:tr w:rsidR="00E513A4" w14:paraId="16528CF7" w14:textId="77777777">
        <w:trPr>
          <w:cantSplit/>
          <w:tblHeader/>
          <w:jc w:val="center"/>
        </w:trPr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FBD9BE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Stage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DD2E88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N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EEF73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C-index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44D2AA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Log-rank P</w:t>
            </w:r>
          </w:p>
        </w:tc>
      </w:tr>
      <w:tr w:rsidR="00E513A4" w14:paraId="502A9C4F" w14:textId="77777777">
        <w:trPr>
          <w:cantSplit/>
          <w:jc w:val="center"/>
        </w:trPr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6A4F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lastRenderedPageBreak/>
              <w:t>Stage 1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36B4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D74AA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7A39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0.3026</w:t>
            </w:r>
          </w:p>
        </w:tc>
      </w:tr>
      <w:tr w:rsidR="00E513A4" w14:paraId="2E7EA727" w14:textId="77777777">
        <w:trPr>
          <w:cantSplit/>
          <w:jc w:val="center"/>
        </w:trPr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BB6A1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Stage 2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E2346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267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0F57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0.5374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48F0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0.4137</w:t>
            </w:r>
          </w:p>
        </w:tc>
      </w:tr>
      <w:tr w:rsidR="00E513A4" w14:paraId="1762061C" w14:textId="77777777">
        <w:trPr>
          <w:cantSplit/>
          <w:jc w:val="center"/>
        </w:trPr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DF46D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Stage 3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D0DA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206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F29DC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0.5271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9CE09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0.7357</w:t>
            </w:r>
          </w:p>
        </w:tc>
      </w:tr>
      <w:tr w:rsidR="00E513A4" w14:paraId="15D981EF" w14:textId="77777777">
        <w:trPr>
          <w:cantSplit/>
          <w:jc w:val="center"/>
        </w:trPr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12B8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Stage 4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408FB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60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67B5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0.3833</w:t>
            </w:r>
          </w:p>
        </w:tc>
        <w:tc>
          <w:tcPr>
            <w:tcW w:w="23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463E8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0.7590</w:t>
            </w:r>
          </w:p>
        </w:tc>
      </w:tr>
    </w:tbl>
    <w:p w14:paraId="545A6CD7" w14:textId="77777777" w:rsidR="00E513A4" w:rsidRDefault="00E513A4"/>
    <w:p w14:paraId="2C0E44BB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2C27F46F" wp14:editId="13D907BD">
            <wp:extent cx="4572000" cy="226365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_GSE39582_cindex_comparison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6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F7E7E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S24. C-index comparison across four risk-score normalisation methods in the GSE39582 external evaluation cohort (RFS endpoint): Z-score, Rank-based, Quantile, and Min-Max. All four normalisations were applied to the same 15 genes with the locked LASSO coefficients. C-index values and significance vs. random (0.5) are annotated above each bar; ns = not significant at α = 0.05. The prespecified normalisation for the primary external evaluation was Z-score.</w:t>
      </w:r>
    </w:p>
    <w:p w14:paraId="62548954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080AA718" wp14:editId="1BB8F77F">
            <wp:extent cx="6400800" cy="2582642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_S25_GSE39582_KM_v2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58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54863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 xml:space="preserve">Supplementary Figure S25. Kaplan–Meier curves for RFS in the GSE39582 external evaluation cohort under two risk-score normalisation approaches (Z-score, left; rank-based, right). Risk groups are defined by the median risk score (prespecified, no cutoff </w:t>
      </w:r>
      <w:r>
        <w:rPr>
          <w:color w:val="000000"/>
          <w:sz w:val="24"/>
        </w:rPr>
        <w:lastRenderedPageBreak/>
        <w:t>optimisation on the evaluation cohort); C-index and log-rank P are annotated above each panel. Both normalisations yield a significant separation between high- and low-risk groups (Z-score: C-index = 0.568, P = 9.1 × 10⁻³; rank-based: C-index = 0.565, P = 4.8 × 10⁻³).</w:t>
      </w:r>
    </w:p>
    <w:p w14:paraId="1156D4E3" w14:textId="77777777" w:rsidR="00E513A4" w:rsidRDefault="00000000">
      <w:pPr>
        <w:pStyle w:val="af7"/>
        <w:spacing w:before="240" w:after="80"/>
      </w:pPr>
      <w:r>
        <w:rPr>
          <w:color w:val="000000"/>
          <w:sz w:val="24"/>
        </w:rPr>
        <w:t>Supplementary Table S4. GSEA significantly enriched pathways (FDR &lt; 0.05; top 16 shown of 434 total at FDR &lt; 0.25).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534"/>
        <w:gridCol w:w="1397"/>
        <w:gridCol w:w="1403"/>
        <w:gridCol w:w="1413"/>
        <w:gridCol w:w="2150"/>
        <w:gridCol w:w="1453"/>
      </w:tblGrid>
      <w:tr w:rsidR="00E513A4" w14:paraId="08451B4F" w14:textId="77777777">
        <w:trPr>
          <w:cantSplit/>
          <w:tblHeader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31B08D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Pathway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EF1E1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NES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22AB8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NOM P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D907C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FDR Q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CD55E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Gene Set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23556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Direction</w:t>
            </w:r>
          </w:p>
        </w:tc>
      </w:tr>
      <w:tr w:rsidR="00E513A4" w14:paraId="0E77B04C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354AF0" w14:textId="77777777" w:rsidR="00E513A4" w:rsidRDefault="00000000">
            <w:r>
              <w:rPr>
                <w:color w:val="000000"/>
                <w:sz w:val="18"/>
              </w:rPr>
              <w:t>Mitochondrial Protein Degradation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8BD9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2.330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E32F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569AF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0.0165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835F5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Reactome_Pathways_2024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ECE77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4B9B48B1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309B6" w14:textId="77777777" w:rsidR="00E513A4" w:rsidRDefault="00000000">
            <w:r>
              <w:rPr>
                <w:color w:val="000000"/>
                <w:sz w:val="18"/>
              </w:rPr>
              <w:t>Myc Targets V1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8442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2.022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AD55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6862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0.0209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1463A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MSigDB_Hallmark_2020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FB1F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796B4478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4080B9" w14:textId="77777777" w:rsidR="00E513A4" w:rsidRDefault="00000000">
            <w:r>
              <w:rPr>
                <w:color w:val="000000"/>
                <w:sz w:val="18"/>
              </w:rPr>
              <w:t>Aminoacyl-tRNA biosynthesis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70B8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2.135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311F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5003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0.0253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6A69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08E9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70629950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EA070" w14:textId="77777777" w:rsidR="00E513A4" w:rsidRDefault="00000000">
            <w:r>
              <w:rPr>
                <w:color w:val="000000"/>
                <w:sz w:val="18"/>
              </w:rPr>
              <w:t>Peroxisome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DB17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2.045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D243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2A4C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0.0275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9120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B49FC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512E57CF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09437" w14:textId="77777777" w:rsidR="00E513A4" w:rsidRDefault="00000000">
            <w:r>
              <w:rPr>
                <w:color w:val="000000"/>
                <w:sz w:val="18"/>
              </w:rPr>
              <w:t>Oxidative Phosphorylation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2C91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2.058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9394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0.017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A7C61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0.0291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7440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MSigDB_Hallmark_2020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8F0E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6B0193E3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B7923" w14:textId="77777777" w:rsidR="00E513A4" w:rsidRDefault="00000000">
            <w:r>
              <w:rPr>
                <w:color w:val="000000"/>
                <w:sz w:val="18"/>
              </w:rPr>
              <w:t>Pyruvate metabolism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324D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2.019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9CA2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E6B1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0.0312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FB25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A858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285D6F9F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3515E" w14:textId="77777777" w:rsidR="00E513A4" w:rsidRDefault="00000000">
            <w:r>
              <w:rPr>
                <w:color w:val="000000"/>
                <w:sz w:val="18"/>
              </w:rPr>
              <w:t>Citrate cycle (TCA cycle)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A55E3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1.996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1B258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AF6C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0.0322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9B7D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F5A0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6869356E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FFFB4" w14:textId="77777777" w:rsidR="00E513A4" w:rsidRDefault="00000000">
            <w:r>
              <w:rPr>
                <w:color w:val="000000"/>
                <w:sz w:val="18"/>
              </w:rPr>
              <w:t>E2F Targets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51672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1.931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FC11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FCC2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0.0330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8AA0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MSigDB_Hallmark_2020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E78B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3BA72BE4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3A4F7" w14:textId="77777777" w:rsidR="00E513A4" w:rsidRDefault="00000000">
            <w:r>
              <w:rPr>
                <w:color w:val="000000"/>
                <w:sz w:val="18"/>
              </w:rPr>
              <w:t>Fatty acid degradation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C4FB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1.943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A7A2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D8BE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0.0339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DFEC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4FA6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08ED26A5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BA7F1" w14:textId="77777777" w:rsidR="00E513A4" w:rsidRDefault="00000000">
            <w:r>
              <w:rPr>
                <w:color w:val="000000"/>
                <w:sz w:val="18"/>
              </w:rPr>
              <w:t>Valine, leucine and isoleucine degradation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6816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1.952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4FE0E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73E18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0.0346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EAE6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95D3D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1F12EEAF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03042" w14:textId="77777777" w:rsidR="00E513A4" w:rsidRDefault="00000000">
            <w:r>
              <w:rPr>
                <w:color w:val="000000"/>
                <w:sz w:val="18"/>
              </w:rPr>
              <w:t>Propanoate metabolism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7FCC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1.973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2A912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104E7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0.0370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F841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A9A0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655B5849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B6CA4" w14:textId="77777777" w:rsidR="00E513A4" w:rsidRDefault="00000000">
            <w:r>
              <w:rPr>
                <w:color w:val="000000"/>
                <w:sz w:val="18"/>
              </w:rPr>
              <w:t>RNA transport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3AAD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2.054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DDD1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76CC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0.0376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6168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BA81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06426368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6C6A0" w14:textId="77777777" w:rsidR="00E513A4" w:rsidRDefault="00000000">
            <w:r>
              <w:rPr>
                <w:color w:val="000000"/>
                <w:sz w:val="18"/>
              </w:rPr>
              <w:t>Ribosome biogenesis in eukaryotes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EEDB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1.957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2A6F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BA2D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0.0384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25DB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02AA0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5C1F3B82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EC467A" w14:textId="77777777" w:rsidR="00E513A4" w:rsidRDefault="00000000">
            <w:r>
              <w:rPr>
                <w:color w:val="000000"/>
                <w:sz w:val="18"/>
              </w:rPr>
              <w:t>Terpenoid backbone biosynthesis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88AE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1.901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60F9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20DB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0.0435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5263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79B5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7E793A74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AE170" w14:textId="77777777" w:rsidR="00E513A4" w:rsidRDefault="00000000">
            <w:r>
              <w:rPr>
                <w:color w:val="000000"/>
                <w:sz w:val="18"/>
              </w:rPr>
              <w:t>RNA degradation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75F2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1.907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A305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5E276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0.0458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B003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4681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  <w:tr w:rsidR="00E513A4" w14:paraId="41D04D0E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462AA" w14:textId="77777777" w:rsidR="00E513A4" w:rsidRDefault="00000000">
            <w:r>
              <w:rPr>
                <w:color w:val="000000"/>
                <w:sz w:val="18"/>
              </w:rPr>
              <w:t>Basal transcription factors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9C43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1.882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BA1FA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CBB5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0.0488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C77B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KEGG_2021_Human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DA53D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 ↑</w:t>
            </w:r>
          </w:p>
        </w:tc>
      </w:tr>
    </w:tbl>
    <w:p w14:paraId="6F28F104" w14:textId="77777777" w:rsidR="00E513A4" w:rsidRDefault="00E513A4"/>
    <w:p w14:paraId="10B32BFB" w14:textId="77777777" w:rsidR="00E513A4" w:rsidRDefault="00000000">
      <w:pPr>
        <w:pStyle w:val="af7"/>
        <w:spacing w:before="240" w:after="80"/>
      </w:pPr>
      <w:r>
        <w:rPr>
          <w:color w:val="000000"/>
          <w:sz w:val="24"/>
        </w:rPr>
        <w:t>Supplementary Table S5. Drug sensitivity analysis: compounds with significant IC₅₀ differences between risk groups (top 20 of 117 significant drugs shown).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090"/>
        <w:gridCol w:w="1448"/>
        <w:gridCol w:w="1448"/>
        <w:gridCol w:w="1448"/>
        <w:gridCol w:w="1442"/>
        <w:gridCol w:w="1474"/>
      </w:tblGrid>
      <w:tr w:rsidR="00E513A4" w14:paraId="085EF751" w14:textId="77777777">
        <w:trPr>
          <w:cantSplit/>
          <w:tblHeader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AAE3AC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lastRenderedPageBreak/>
              <w:t>Drug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D0CC2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IC₅₀ High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0F4F10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IC₅₀ Low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58D189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Diff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6B3B80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P value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68952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More Sensitive</w:t>
            </w:r>
          </w:p>
        </w:tc>
      </w:tr>
      <w:tr w:rsidR="00E513A4" w14:paraId="601816B2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2A0E3" w14:textId="77777777" w:rsidR="00E513A4" w:rsidRDefault="00000000">
            <w:r>
              <w:rPr>
                <w:color w:val="000000"/>
                <w:sz w:val="18"/>
              </w:rPr>
              <w:t>KRAS (G12C) Inhibitor-12_1855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2302B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8.2374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2C606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7.6271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A35A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0.6102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699F1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1.15e-18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8F12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520BEE16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2B86FB" w14:textId="77777777" w:rsidR="00E513A4" w:rsidRDefault="00000000">
            <w:r>
              <w:rPr>
                <w:color w:val="000000"/>
                <w:sz w:val="18"/>
              </w:rPr>
              <w:t>Gallibiscoquinazole_1830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5F64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5.3419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5798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4.8763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4F0F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0.4655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CE5E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5.33e-16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DD04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1F5AE913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9A7F9" w14:textId="77777777" w:rsidR="00E513A4" w:rsidRDefault="00000000">
            <w:r>
              <w:rPr>
                <w:color w:val="000000"/>
                <w:sz w:val="18"/>
              </w:rPr>
              <w:t>EPZ5676_1563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6DB71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8.0116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62A6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7.6257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56F9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0.3859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7846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6.74e-15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1DFC0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4388330F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AC356C" w14:textId="77777777" w:rsidR="00E513A4" w:rsidRDefault="00000000">
            <w:r>
              <w:rPr>
                <w:color w:val="000000"/>
                <w:sz w:val="18"/>
              </w:rPr>
              <w:t>Sinularin_1838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A60E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3.5612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5452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3.1232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9E57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0.4380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413D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2.35e-13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904C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025D1580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BA336" w14:textId="77777777" w:rsidR="00E513A4" w:rsidRDefault="00000000">
            <w:r>
              <w:rPr>
                <w:color w:val="000000"/>
                <w:sz w:val="18"/>
              </w:rPr>
              <w:t>Leflunomide_1578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51238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6.5312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C2AB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6.2753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F64F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0.2559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0C08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3.30e-11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5E2D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18CE4CDC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E817A" w14:textId="77777777" w:rsidR="00E513A4" w:rsidRDefault="00000000">
            <w:r>
              <w:rPr>
                <w:color w:val="000000"/>
                <w:sz w:val="18"/>
              </w:rPr>
              <w:t>VE821_2111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A051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7.8579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F1C65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7.3323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34EB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0.5256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FFBD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3.59e-11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DC29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52441A41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674407" w14:textId="77777777" w:rsidR="00E513A4" w:rsidRDefault="00000000">
            <w:r>
              <w:rPr>
                <w:color w:val="000000"/>
                <w:sz w:val="18"/>
              </w:rPr>
              <w:t>IGF1R_3801_1738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A98B8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-0.1094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B4CE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0.5351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1377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-0.6445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9C75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4.74e-11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233A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</w:t>
            </w:r>
          </w:p>
        </w:tc>
      </w:tr>
      <w:tr w:rsidR="00E513A4" w14:paraId="7FCED5A5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01D3C" w14:textId="77777777" w:rsidR="00E513A4" w:rsidRDefault="00000000">
            <w:r>
              <w:rPr>
                <w:color w:val="000000"/>
                <w:sz w:val="18"/>
              </w:rPr>
              <w:t>LY2109761_1852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E56A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9.5407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FD01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9.1722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EC06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0.3685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37CBD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8.69e-11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92FBB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095954CD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7100E" w14:textId="77777777" w:rsidR="00E513A4" w:rsidRDefault="00000000">
            <w:r>
              <w:rPr>
                <w:color w:val="000000"/>
                <w:sz w:val="18"/>
              </w:rPr>
              <w:t>Fulvestrant_1816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5FBF5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8.4258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BD5F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8.0373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CB73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0.3886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D289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1.26e-10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A4B5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1F1BDB3D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6EA41" w14:textId="77777777" w:rsidR="00E513A4" w:rsidRDefault="00000000">
            <w:r>
              <w:rPr>
                <w:color w:val="000000"/>
                <w:sz w:val="18"/>
              </w:rPr>
              <w:t>ML323_1629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598C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7.2575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2E9F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6.8836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6F3F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0.3740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9090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1.38e-10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CB01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4F987903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68330" w14:textId="77777777" w:rsidR="00E513A4" w:rsidRDefault="00000000">
            <w:r>
              <w:rPr>
                <w:color w:val="000000"/>
                <w:sz w:val="18"/>
              </w:rPr>
              <w:t>Dactinomycin_1811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37B9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1.6988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A123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1.2232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8F20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0.4756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CA365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5.11e-10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4414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70A3578F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67417B" w14:textId="77777777" w:rsidR="00E513A4" w:rsidRDefault="00000000">
            <w:r>
              <w:rPr>
                <w:color w:val="000000"/>
                <w:sz w:val="18"/>
              </w:rPr>
              <w:t>BMS-345541_1249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7D9E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6.2336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F8B6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5.8059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3940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0.4276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2D7C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5.55e-10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BD34E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383D52DF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2FA64" w14:textId="77777777" w:rsidR="00E513A4" w:rsidRDefault="00000000">
            <w:r>
              <w:rPr>
                <w:color w:val="000000"/>
                <w:sz w:val="18"/>
              </w:rPr>
              <w:t>Cytarabine_1006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CA87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5.2147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7CAC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4.5093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AFD3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0.7054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1068C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6.09e-10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8F806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76638B0E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106FC" w14:textId="77777777" w:rsidR="00E513A4" w:rsidRDefault="00000000">
            <w:r>
              <w:rPr>
                <w:color w:val="000000"/>
                <w:sz w:val="18"/>
              </w:rPr>
              <w:t>Dasatinib_1079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5C07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3.6997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4B98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4.2732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DF09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-0.5735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2CEE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7.29e-10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95BC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</w:t>
            </w:r>
          </w:p>
        </w:tc>
      </w:tr>
      <w:tr w:rsidR="00E513A4" w14:paraId="7A207D74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A9224" w14:textId="77777777" w:rsidR="00E513A4" w:rsidRDefault="00000000">
            <w:r>
              <w:rPr>
                <w:color w:val="000000"/>
                <w:sz w:val="18"/>
              </w:rPr>
              <w:t>BMS-536924_1091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56B3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-4.3537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FB5C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-3.8510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EBE4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-0.5027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7BD0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2.37e-09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CB2B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High Risk</w:t>
            </w:r>
          </w:p>
        </w:tc>
      </w:tr>
      <w:tr w:rsidR="00E513A4" w14:paraId="03C4DC20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9B1DE" w14:textId="77777777" w:rsidR="00E513A4" w:rsidRDefault="00000000">
            <w:r>
              <w:rPr>
                <w:color w:val="000000"/>
                <w:sz w:val="18"/>
              </w:rPr>
              <w:t>OF-1_1853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A96CB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9.0169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BB6A0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8.6261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ED94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0.3907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2005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2.69e-09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4B08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059245AC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3D6A21" w14:textId="77777777" w:rsidR="00E513A4" w:rsidRDefault="00000000">
            <w:r>
              <w:rPr>
                <w:color w:val="000000"/>
                <w:sz w:val="18"/>
              </w:rPr>
              <w:t>LCL161_1557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D37C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5.4442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275B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5.1231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A907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0.3211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5453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1.13e-08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CAE2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2B0B2D73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784BD" w14:textId="77777777" w:rsidR="00E513A4" w:rsidRDefault="00000000">
            <w:r>
              <w:rPr>
                <w:color w:val="000000"/>
                <w:sz w:val="18"/>
              </w:rPr>
              <w:t>Ulixertinib_2047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FC3BC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5.6884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DF11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5.2597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7219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0.4287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7FE7E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2.15e-08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0918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4D6EB247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B6CF7" w14:textId="77777777" w:rsidR="00E513A4" w:rsidRDefault="00000000">
            <w:r>
              <w:rPr>
                <w:color w:val="000000"/>
                <w:sz w:val="18"/>
              </w:rPr>
              <w:t>Carmustine_1807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037E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7.8705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DF35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7.5863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CF03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0.2842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8AD9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2.54e-08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7A55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  <w:tr w:rsidR="00E513A4" w14:paraId="30640002" w14:textId="77777777">
        <w:trPr>
          <w:cantSplit/>
          <w:jc w:val="center"/>
        </w:trPr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BA260F" w14:textId="77777777" w:rsidR="00E513A4" w:rsidRDefault="00000000">
            <w:r>
              <w:rPr>
                <w:color w:val="000000"/>
                <w:sz w:val="18"/>
              </w:rPr>
              <w:t>GSK2578215A_1927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2E63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9.4525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7955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9.1615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9FD8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0.2910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F2D3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3.16e-08</w:t>
            </w:r>
          </w:p>
        </w:tc>
        <w:tc>
          <w:tcPr>
            <w:tcW w:w="15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62C7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Low Risk</w:t>
            </w:r>
          </w:p>
        </w:tc>
      </w:tr>
    </w:tbl>
    <w:p w14:paraId="07612A77" w14:textId="77777777" w:rsidR="00E513A4" w:rsidRDefault="00E513A4"/>
    <w:p w14:paraId="35A6D3A0" w14:textId="77777777" w:rsidR="00E513A4" w:rsidRDefault="00000000">
      <w:pPr>
        <w:pStyle w:val="af7"/>
        <w:spacing w:before="240" w:after="80"/>
      </w:pPr>
      <w:r>
        <w:rPr>
          <w:color w:val="000000"/>
          <w:sz w:val="24"/>
        </w:rPr>
        <w:t xml:space="preserve">Supplementary Table S6. Spearman correlation between 15 model genes and key immune cell types (ρ values shown; </w:t>
      </w:r>
      <w:r>
        <w:rPr>
          <w:i/>
          <w:color w:val="000000"/>
          <w:sz w:val="24"/>
        </w:rPr>
        <w:t>P</w:t>
      </w:r>
      <w:r>
        <w:rPr>
          <w:color w:val="000000"/>
          <w:sz w:val="24"/>
        </w:rPr>
        <w:t xml:space="preserve"> &lt; 0.05, *</w:t>
      </w:r>
      <w:r>
        <w:rPr>
          <w:i/>
          <w:color w:val="000000"/>
          <w:sz w:val="24"/>
        </w:rPr>
        <w:t>P</w:t>
      </w:r>
      <w:r>
        <w:rPr>
          <w:color w:val="000000"/>
          <w:sz w:val="24"/>
        </w:rPr>
        <w:t xml:space="preserve"> &lt; 0.01 after FDR correction).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174"/>
        <w:gridCol w:w="1168"/>
        <w:gridCol w:w="1168"/>
        <w:gridCol w:w="1168"/>
        <w:gridCol w:w="1168"/>
        <w:gridCol w:w="1168"/>
        <w:gridCol w:w="1168"/>
        <w:gridCol w:w="1168"/>
      </w:tblGrid>
      <w:tr w:rsidR="00E513A4" w14:paraId="1E9DD3C8" w14:textId="77777777">
        <w:trPr>
          <w:cantSplit/>
          <w:tblHeader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16409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Gene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78EFA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M2 Macro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4E144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Tregs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F2BC61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Mono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1A46F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M0 Macro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E364E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Mast Act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F60B1A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NK Act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4CA33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CD8 T</w:t>
            </w:r>
          </w:p>
        </w:tc>
      </w:tr>
      <w:tr w:rsidR="00E513A4" w14:paraId="37129643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D25D8C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AQP1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B9F0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0.367**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F16B5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0.257**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0F77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0.353**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1CBD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0.345**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5175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0.356**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D85E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0.175**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7BD3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0.147**</w:t>
            </w:r>
          </w:p>
        </w:tc>
      </w:tr>
      <w:tr w:rsidR="00E513A4" w14:paraId="4D9B7D2E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B536B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CACNA1C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C09D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0.086*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F31C8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0.049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A5E8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0.074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2A3C8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0.086*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62250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0.194**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3205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-0.065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B5B5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-0.099*</w:t>
            </w:r>
          </w:p>
        </w:tc>
      </w:tr>
      <w:tr w:rsidR="00E513A4" w14:paraId="1A38B29A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E3B7B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CACNA1D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DCBB7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-0.211**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1BA8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-0.262**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C7F4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-0.218**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C1BF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-0.170**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9A3B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-0.162**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AFDF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-0.301**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E066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-0.283**</w:t>
            </w:r>
          </w:p>
        </w:tc>
      </w:tr>
      <w:tr w:rsidR="00E513A4" w14:paraId="3C74B893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88A3A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CCNE1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B831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-0.099*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1407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-0.039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385D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-0.077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1D30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-0.085*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8C82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-0.165**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E40EA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-0.012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1338B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0.013</w:t>
            </w:r>
          </w:p>
        </w:tc>
      </w:tr>
      <w:tr w:rsidR="00E513A4" w14:paraId="50599DE2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9BA4A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CDKN2A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C8F6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0.160**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58F0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0.077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CACA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0.147**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8437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0.130**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B1A41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0.142**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1017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0.072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20D6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0.097*</w:t>
            </w:r>
          </w:p>
        </w:tc>
      </w:tr>
      <w:tr w:rsidR="00E513A4" w14:paraId="2D8B9655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AC30B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CHRNA1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92B9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0.170**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A8C0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0.126**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B0DF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0.158**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458C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0.136**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EE18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0.204**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DB41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0.036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34A0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-0.013</w:t>
            </w:r>
          </w:p>
        </w:tc>
      </w:tr>
      <w:tr w:rsidR="00E513A4" w14:paraId="0FF65EBB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2FFAA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DRD4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E6F85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-0.169**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2AA4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-0.113**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A485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-0.108*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7264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-0.004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51DE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-0.120**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F82CA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-0.153**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5324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-0.103*</w:t>
            </w:r>
          </w:p>
        </w:tc>
      </w:tr>
      <w:tr w:rsidR="00E513A4" w14:paraId="56492ED8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CE181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EPHX2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40D3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-0.204**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B106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-0.122**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B1261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-0.191**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E54B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-0.123**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396B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-0.013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4AB05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-0.081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5BF81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-0.059</w:t>
            </w:r>
          </w:p>
        </w:tc>
      </w:tr>
      <w:tr w:rsidR="00E513A4" w14:paraId="445FDF14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6FFEA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lastRenderedPageBreak/>
              <w:t>GABRD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49FF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0.078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A303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0.078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83AC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0.143**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459E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0.200**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A034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0.125**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4DA1F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-0.046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4CAB9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-0.057</w:t>
            </w:r>
          </w:p>
        </w:tc>
      </w:tr>
      <w:tr w:rsidR="00E513A4" w14:paraId="0B477091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DDB95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GABRE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DDAA6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-0.163**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E67D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-0.207**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26EB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-0.179**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9DFA2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-0.092*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92B9A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-0.055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935C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-0.219**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1D64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-0.183**</w:t>
            </w:r>
          </w:p>
        </w:tc>
      </w:tr>
      <w:tr w:rsidR="00E513A4" w14:paraId="433DCEE5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61250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GLRB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E96446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0.440**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B8A9C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0.320**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5CA5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0.365**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FB13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0.322**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F37E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0.422**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9011A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0.178**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1F5C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0.115**</w:t>
            </w:r>
          </w:p>
        </w:tc>
      </w:tr>
      <w:tr w:rsidR="00E513A4" w14:paraId="7E465D71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7029B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ITPKB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BCA5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0.335**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DC01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0.311**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E5E4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0.315**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3F80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0.285**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DFDE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0.232**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261F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0.207**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74C21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0.154**</w:t>
            </w:r>
          </w:p>
        </w:tc>
      </w:tr>
      <w:tr w:rsidR="00E513A4" w14:paraId="50C6EA9F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7BB2A2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KCNMA1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0D0F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0.474**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E2F2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0.381**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4FD8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0.420**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F33F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0.387**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9FB6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0.420**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EE626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0.313**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0F36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0.275**</w:t>
            </w:r>
          </w:p>
        </w:tc>
      </w:tr>
      <w:tr w:rsidR="00E513A4" w14:paraId="0399FA68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23A9AE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PHKG1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3162D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0.106*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9718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0.066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4197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0.101*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1952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0.097*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4492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0.052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37D97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0.002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9E010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0.007</w:t>
            </w:r>
          </w:p>
        </w:tc>
      </w:tr>
      <w:tr w:rsidR="00E513A4" w14:paraId="0086E8E3" w14:textId="77777777">
        <w:trPr>
          <w:cantSplit/>
          <w:jc w:val="center"/>
        </w:trPr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81650" w14:textId="77777777" w:rsidR="00E513A4" w:rsidRDefault="00000000">
            <w:pPr>
              <w:jc w:val="center"/>
            </w:pPr>
            <w:r>
              <w:rPr>
                <w:i/>
                <w:color w:val="000000"/>
                <w:sz w:val="18"/>
              </w:rPr>
              <w:t>VEGFA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CCD2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-0.150**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860E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-0.136**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FAA68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-0.121**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2976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-0.069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06290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-0.254**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609B4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-0.181**</w:t>
            </w:r>
          </w:p>
        </w:tc>
        <w:tc>
          <w:tcPr>
            <w:tcW w:w="11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1D36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-0.150**</w:t>
            </w:r>
          </w:p>
        </w:tc>
      </w:tr>
    </w:tbl>
    <w:p w14:paraId="52A10C3A" w14:textId="77777777" w:rsidR="00E513A4" w:rsidRDefault="00E513A4"/>
    <w:p w14:paraId="075EFD05" w14:textId="77777777" w:rsidR="00E513A4" w:rsidRDefault="00000000">
      <w:pPr>
        <w:pStyle w:val="af7"/>
        <w:spacing w:before="240" w:after="80"/>
      </w:pPr>
      <w:r>
        <w:rPr>
          <w:color w:val="000000"/>
          <w:sz w:val="24"/>
        </w:rPr>
        <w:t>Supplementary Table S7. Human Protein Atlas immunohistochemistry data for 15 model genes in colorectal cancer tissue.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51"/>
        <w:gridCol w:w="1852"/>
        <w:gridCol w:w="1940"/>
        <w:gridCol w:w="1853"/>
        <w:gridCol w:w="1854"/>
      </w:tblGrid>
      <w:tr w:rsidR="00E513A4" w14:paraId="3CC94F40" w14:textId="77777777">
        <w:trPr>
          <w:cantSplit/>
          <w:tblHeader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D4FA1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Gene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4B0C7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IHC Expression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E7B3E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Staining Pattern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AAECD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Prognostic Annotation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0A791" w14:textId="77777777" w:rsidR="00E513A4" w:rsidRDefault="00000000">
            <w:pPr>
              <w:jc w:val="center"/>
            </w:pPr>
            <w:r>
              <w:rPr>
                <w:b/>
                <w:color w:val="000000"/>
                <w:sz w:val="18"/>
              </w:rPr>
              <w:t>Prognostic Direction</w:t>
            </w:r>
          </w:p>
        </w:tc>
      </w:tr>
      <w:tr w:rsidR="00E513A4" w14:paraId="45B1FC71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22178" w14:textId="77777777" w:rsidR="00E513A4" w:rsidRDefault="00000000">
            <w:r>
              <w:rPr>
                <w:i/>
                <w:color w:val="000000"/>
                <w:sz w:val="18"/>
              </w:rPr>
              <w:t>CACNA1D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ABC8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Weak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063C1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Cytoplasmic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9FF0F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B94A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3B8B64C7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E62FA" w14:textId="77777777" w:rsidR="00E513A4" w:rsidRDefault="00000000">
            <w:r>
              <w:rPr>
                <w:i/>
                <w:color w:val="000000"/>
                <w:sz w:val="18"/>
              </w:rPr>
              <w:t>CCNE1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7FF3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Weak–Moderate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25C3A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Nuclear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CEE69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71B07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604AA00A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5EBD3" w14:textId="77777777" w:rsidR="00E513A4" w:rsidRDefault="00000000">
            <w:r>
              <w:rPr>
                <w:i/>
                <w:color w:val="000000"/>
                <w:sz w:val="18"/>
              </w:rPr>
              <w:t>DRD4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54ED1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detected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7A94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5C52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2A855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5D4EA52D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A9160" w14:textId="77777777" w:rsidR="00E513A4" w:rsidRDefault="00000000">
            <w:r>
              <w:rPr>
                <w:i/>
                <w:color w:val="000000"/>
                <w:sz w:val="18"/>
              </w:rPr>
              <w:t>GABRD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D7DF6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Weak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1350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Cytoplasmic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B13A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D883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3204E10C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23A656" w14:textId="77777777" w:rsidR="00E513A4" w:rsidRDefault="00000000">
            <w:r>
              <w:rPr>
                <w:i/>
                <w:color w:val="000000"/>
                <w:sz w:val="18"/>
              </w:rPr>
              <w:t>VEGFA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0F5C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Moderate–Strong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29B0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Cytoplasmic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2486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F0E16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Favorable</w:t>
            </w:r>
          </w:p>
        </w:tc>
      </w:tr>
      <w:tr w:rsidR="00E513A4" w14:paraId="451672B7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3A6A05" w14:textId="77777777" w:rsidR="00E513A4" w:rsidRDefault="00000000">
            <w:r>
              <w:rPr>
                <w:i/>
                <w:color w:val="000000"/>
                <w:sz w:val="18"/>
              </w:rPr>
              <w:t>EPHX2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2016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Moderate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DBAF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Cytoplasmic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A946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1D461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136006B0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3B9D4B" w14:textId="77777777" w:rsidR="00E513A4" w:rsidRDefault="00000000">
            <w:r>
              <w:rPr>
                <w:i/>
                <w:color w:val="000000"/>
                <w:sz w:val="18"/>
              </w:rPr>
              <w:t>CHRNA1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DEC4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detected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F770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629B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AA8FE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295A169E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ED3905" w14:textId="77777777" w:rsidR="00E513A4" w:rsidRDefault="00000000">
            <w:r>
              <w:rPr>
                <w:i/>
                <w:color w:val="000000"/>
                <w:sz w:val="18"/>
              </w:rPr>
              <w:t>GABRE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15FAA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detected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FD75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53BF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A22E9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4E1D5D25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227A4D" w14:textId="77777777" w:rsidR="00E513A4" w:rsidRDefault="00000000">
            <w:r>
              <w:rPr>
                <w:i/>
                <w:color w:val="000000"/>
                <w:sz w:val="18"/>
              </w:rPr>
              <w:t>KCNMA1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A99B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Weak–Moderate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A7CEB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Cytoplasmic/Membrane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2CE9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BB3C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2DC14508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B2B95" w14:textId="77777777" w:rsidR="00E513A4" w:rsidRDefault="00000000">
            <w:r>
              <w:rPr>
                <w:i/>
                <w:color w:val="000000"/>
                <w:sz w:val="18"/>
              </w:rPr>
              <w:t>CDKN2A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3D67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Weak–Moderate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8275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Nuclear/Cytoplasmic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AA1BB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COAD: P &lt; 0.001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5C63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Unfavorable</w:t>
            </w:r>
          </w:p>
        </w:tc>
      </w:tr>
      <w:tr w:rsidR="00E513A4" w14:paraId="170AEC57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207B7" w14:textId="77777777" w:rsidR="00E513A4" w:rsidRDefault="00000000">
            <w:r>
              <w:rPr>
                <w:i/>
                <w:color w:val="000000"/>
                <w:sz w:val="18"/>
              </w:rPr>
              <w:t>AQP1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EE01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Moderate–Strong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74EF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Cytoplasmic/Membrane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DECB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F1A2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0F2360DA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9727D" w14:textId="77777777" w:rsidR="00E513A4" w:rsidRDefault="00000000">
            <w:r>
              <w:rPr>
                <w:i/>
                <w:color w:val="000000"/>
                <w:sz w:val="18"/>
              </w:rPr>
              <w:t>PHKG1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9F7B0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Weak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FB8FC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Cytoplasmic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86F2B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ADA1C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5ACC0F71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748B6" w14:textId="77777777" w:rsidR="00E513A4" w:rsidRDefault="00000000">
            <w:r>
              <w:rPr>
                <w:i/>
                <w:color w:val="000000"/>
                <w:sz w:val="18"/>
              </w:rPr>
              <w:t>GLRB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D4CD3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detected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392B44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DD022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6668B8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54345092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94F85" w14:textId="77777777" w:rsidR="00E513A4" w:rsidRDefault="00000000">
            <w:r>
              <w:rPr>
                <w:i/>
                <w:color w:val="000000"/>
                <w:sz w:val="18"/>
              </w:rPr>
              <w:t>CACNA1C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EC899F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detected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8463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5B9C2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35A85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  <w:tr w:rsidR="00E513A4" w14:paraId="0F9780D6" w14:textId="77777777">
        <w:trPr>
          <w:cantSplit/>
          <w:jc w:val="center"/>
        </w:trPr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03C9FA" w14:textId="77777777" w:rsidR="00E513A4" w:rsidRDefault="00000000">
            <w:r>
              <w:rPr>
                <w:i/>
                <w:color w:val="000000"/>
                <w:sz w:val="18"/>
              </w:rPr>
              <w:t>ITPKB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86CF7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Moderate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28FDF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Cytoplasmic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4F74E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Not available</w:t>
            </w:r>
          </w:p>
        </w:tc>
        <w:tc>
          <w:tcPr>
            <w:tcW w:w="18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032BD" w14:textId="77777777" w:rsidR="00E513A4" w:rsidRDefault="00000000">
            <w:pPr>
              <w:jc w:val="center"/>
            </w:pPr>
            <w:r>
              <w:rPr>
                <w:color w:val="000000"/>
                <w:sz w:val="18"/>
              </w:rPr>
              <w:t>—</w:t>
            </w:r>
          </w:p>
        </w:tc>
      </w:tr>
    </w:tbl>
    <w:p w14:paraId="4236551A" w14:textId="77777777" w:rsidR="00E513A4" w:rsidRDefault="00E513A4"/>
    <w:p w14:paraId="396BAB99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21FB8A52" wp14:editId="49F634B2">
            <wp:extent cx="5029200" cy="315774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richment_GO_Biological_Process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5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2EEA9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S26. GO Biological Process enrichment analysis of 78 DEARGs.</w:t>
      </w:r>
    </w:p>
    <w:p w14:paraId="6FAAC0AE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05506064" wp14:editId="778E99FE">
            <wp:extent cx="5029200" cy="3128887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richment_Reactom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2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EB3A6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S27. Reactome pathway enrichment analysis of 78 DEARGs.</w:t>
      </w:r>
    </w:p>
    <w:p w14:paraId="3D2E9217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34B691EC" wp14:editId="5B08CCE5">
            <wp:extent cx="5029200" cy="215918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EA_combined_barplot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5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74B55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S28. GSEA combined bar plot showing normalized enrichment scores (NES) across Hallmark, KEGG, and Reactome gene set collections.</w:t>
      </w:r>
    </w:p>
    <w:p w14:paraId="3301C097" w14:textId="77777777" w:rsidR="00E513A4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7BA955F0" wp14:editId="2A52D5D8">
            <wp:extent cx="5029200" cy="3888502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_drugs_boxplot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8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629FC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S29. Box plots of predicted IC₅₀ values for the top 12 compounds showing the most significant differences between high- and low-risk groups.</w:t>
      </w:r>
    </w:p>
    <w:p w14:paraId="4FC58D2D" w14:textId="77777777" w:rsidR="00E513A4" w:rsidRDefault="00000000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46E28A79" wp14:editId="7BE716F9">
            <wp:extent cx="4572000" cy="325213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_GSE39582_OS_KM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5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5CF03" w14:textId="77777777" w:rsidR="00E513A4" w:rsidRDefault="00000000">
      <w:pPr>
        <w:pStyle w:val="af7"/>
        <w:spacing w:before="80" w:after="240"/>
      </w:pPr>
      <w:r>
        <w:rPr>
          <w:color w:val="000000"/>
          <w:sz w:val="24"/>
        </w:rPr>
        <w:t>Supplementary Figure S30. GSE39582 overall survival Kaplan–Meier curves stratified by risk score.</w:t>
      </w:r>
    </w:p>
    <w:p w14:paraId="07A393DD" w14:textId="77777777" w:rsidR="00E513A4" w:rsidRDefault="00E513A4"/>
    <w:p w14:paraId="296C3CBC" w14:textId="77777777" w:rsidR="00E513A4" w:rsidRDefault="00000000">
      <w:pPr>
        <w:spacing w:before="240" w:after="80"/>
      </w:pPr>
      <w:r>
        <w:rPr>
          <w:color w:val="000000"/>
        </w:rPr>
        <w:t>Summary of Supplementary Information.</w:t>
      </w:r>
    </w:p>
    <w:p w14:paraId="3862BBA8" w14:textId="77777777" w:rsidR="00E513A4" w:rsidRDefault="00000000">
      <w:pPr>
        <w:pStyle w:val="af7"/>
        <w:spacing w:after="60"/>
      </w:pPr>
      <w:r>
        <w:rPr>
          <w:color w:val="000000"/>
          <w:sz w:val="24"/>
        </w:rPr>
        <w:t>Table S1. 78 DEARGs (top 20 shown; full list in source data).</w:t>
      </w:r>
    </w:p>
    <w:p w14:paraId="3EC6012F" w14:textId="77777777" w:rsidR="00E513A4" w:rsidRDefault="00000000">
      <w:pPr>
        <w:pStyle w:val="af7"/>
        <w:spacing w:after="60"/>
      </w:pPr>
      <w:r>
        <w:rPr>
          <w:color w:val="000000"/>
          <w:sz w:val="24"/>
        </w:rPr>
        <w:t>Table S2. KEGG pathway enrichment (top 15 of 158 pathways).</w:t>
      </w:r>
    </w:p>
    <w:p w14:paraId="4D284A28" w14:textId="77777777" w:rsidR="00E513A4" w:rsidRDefault="00000000">
      <w:pPr>
        <w:pStyle w:val="af7"/>
        <w:spacing w:after="60"/>
      </w:pPr>
      <w:r>
        <w:rPr>
          <w:color w:val="000000"/>
          <w:sz w:val="24"/>
        </w:rPr>
        <w:t>Table S3. GSE39582 stratified survival analysis by disease stage.</w:t>
      </w:r>
    </w:p>
    <w:p w14:paraId="1DB1B175" w14:textId="77777777" w:rsidR="00E513A4" w:rsidRDefault="00000000">
      <w:pPr>
        <w:pStyle w:val="af7"/>
        <w:spacing w:after="60"/>
      </w:pPr>
      <w:r>
        <w:rPr>
          <w:color w:val="000000"/>
          <w:sz w:val="24"/>
        </w:rPr>
        <w:t>Table S4. GSEA significant pathways (16 at FDR &lt; 0.05; 434 at FDR &lt; 0.25).</w:t>
      </w:r>
    </w:p>
    <w:p w14:paraId="44F18F93" w14:textId="77777777" w:rsidR="00E513A4" w:rsidRDefault="00000000">
      <w:pPr>
        <w:pStyle w:val="af7"/>
        <w:spacing w:after="60"/>
      </w:pPr>
      <w:r>
        <w:rPr>
          <w:color w:val="000000"/>
          <w:sz w:val="24"/>
        </w:rPr>
        <w:t>Table S5. Drug sensitivity analysis (top 20 of 117 significant compounds).</w:t>
      </w:r>
    </w:p>
    <w:p w14:paraId="021DCB7B" w14:textId="77777777" w:rsidR="00E513A4" w:rsidRDefault="00000000">
      <w:pPr>
        <w:pStyle w:val="af7"/>
        <w:spacing w:after="60"/>
      </w:pPr>
      <w:r>
        <w:rPr>
          <w:color w:val="000000"/>
          <w:sz w:val="24"/>
        </w:rPr>
        <w:t>Table S6. Spearman correlations between 15 model genes and 7 key immune cell types.</w:t>
      </w:r>
    </w:p>
    <w:p w14:paraId="4C13CF53" w14:textId="77777777" w:rsidR="00E513A4" w:rsidRDefault="00000000">
      <w:pPr>
        <w:pStyle w:val="af7"/>
        <w:spacing w:after="60"/>
      </w:pPr>
      <w:r>
        <w:rPr>
          <w:color w:val="000000"/>
          <w:sz w:val="24"/>
        </w:rPr>
        <w:t>Table S7. HPA immunohistochemistry data for 15 model genes in CRC tissue.</w:t>
      </w:r>
    </w:p>
    <w:p w14:paraId="2F05925A" w14:textId="77777777" w:rsidR="00E513A4" w:rsidRDefault="00000000">
      <w:pPr>
        <w:spacing w:after="60"/>
      </w:pPr>
      <w:r>
        <w:rPr>
          <w:color w:val="000000"/>
        </w:rPr>
        <w:t>Figures S1-S21. Presented in the preceding pages (LASSO CV, model coefficients, KM curves, forest plot, ROC, nomogram, DCA, calibration, clinical correlation, immune infiltration, ESTIMATE, TIDE, IPS, GSEA, drug-sensitivity, and gene-immune association analyses).</w:t>
      </w:r>
    </w:p>
    <w:p w14:paraId="03CC4018" w14:textId="77777777" w:rsidR="00E513A4" w:rsidRDefault="00000000">
      <w:pPr>
        <w:spacing w:after="60"/>
      </w:pPr>
      <w:r>
        <w:rPr>
          <w:color w:val="000000"/>
        </w:rPr>
        <w:t>Figures S22-S30. Presented in the preceding pages (functional enrichment, GSE39582 performance checks, GSEA, and predicted drug-sensitivity analyses).</w:t>
      </w:r>
    </w:p>
    <w:sectPr w:rsidR="00E513A4" w:rsidSect="00034616">
      <w:footerReference w:type="default" r:id="rId38"/>
      <w:pgSz w:w="12240" w:h="15840"/>
      <w:pgMar w:top="1440" w:right="1440" w:bottom="1440" w:left="1440" w:header="720" w:footer="720" w:gutter="0"/>
      <w:lnNumType w:countBy="1" w:start="1" w:distance="360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B12C" w14:textId="77777777" w:rsidR="00344690" w:rsidRDefault="00344690">
      <w:r>
        <w:separator/>
      </w:r>
    </w:p>
  </w:endnote>
  <w:endnote w:type="continuationSeparator" w:id="0">
    <w:p w14:paraId="60284163" w14:textId="77777777" w:rsidR="00344690" w:rsidRDefault="00344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903C" w14:textId="77777777" w:rsidR="00E513A4" w:rsidRDefault="00000000">
    <w:pPr>
      <w:pStyle w:val="a7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F0E2" w14:textId="77777777" w:rsidR="00344690" w:rsidRDefault="00344690">
      <w:r>
        <w:separator/>
      </w:r>
    </w:p>
  </w:footnote>
  <w:footnote w:type="continuationSeparator" w:id="0">
    <w:p w14:paraId="7463EAC6" w14:textId="77777777" w:rsidR="00344690" w:rsidRDefault="00344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2942097">
    <w:abstractNumId w:val="8"/>
  </w:num>
  <w:num w:numId="2" w16cid:durableId="825976719">
    <w:abstractNumId w:val="6"/>
  </w:num>
  <w:num w:numId="3" w16cid:durableId="135463182">
    <w:abstractNumId w:val="5"/>
  </w:num>
  <w:num w:numId="4" w16cid:durableId="1267693493">
    <w:abstractNumId w:val="4"/>
  </w:num>
  <w:num w:numId="5" w16cid:durableId="1711763178">
    <w:abstractNumId w:val="7"/>
  </w:num>
  <w:num w:numId="6" w16cid:durableId="804663519">
    <w:abstractNumId w:val="3"/>
  </w:num>
  <w:num w:numId="7" w16cid:durableId="706684107">
    <w:abstractNumId w:val="2"/>
  </w:num>
  <w:num w:numId="8" w16cid:durableId="847404869">
    <w:abstractNumId w:val="1"/>
  </w:num>
  <w:num w:numId="9" w16cid:durableId="163127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690"/>
    <w:rsid w:val="007C537D"/>
    <w:rsid w:val="008B13F3"/>
    <w:rsid w:val="00AA1D8D"/>
    <w:rsid w:val="00B47730"/>
    <w:rsid w:val="00CB0664"/>
    <w:rsid w:val="00E513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262ABD"/>
  <w14:defaultImageDpi w14:val="300"/>
  <w15:docId w15:val="{29D01F01-4BD7-4EDD-95C1-955DFDC7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before="60" w:after="120"/>
    </w:pPr>
    <w:rPr>
      <w:b/>
      <w:bCs/>
      <w:color w:val="4F81BD" w:themeColor="accent1"/>
      <w:sz w:val="20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line number"/>
    <w:basedOn w:val="a2"/>
    <w:uiPriority w:val="99"/>
    <w:semiHidden/>
    <w:unhideWhenUsed/>
    <w:rsid w:val="008B1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2513</Words>
  <Characters>15736</Characters>
  <Application>Microsoft Office Word</Application>
  <DocSecurity>0</DocSecurity>
  <Lines>925</Lines>
  <Paragraphs>760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xieweixian</cp:lastModifiedBy>
  <cp:revision>1</cp:revision>
  <dcterms:created xsi:type="dcterms:W3CDTF">2013-12-23T23:15:00Z</dcterms:created>
  <dcterms:modified xsi:type="dcterms:W3CDTF">2026-09-07T13:45:00Z</dcterms:modified>
  <cp:category/>
</cp:coreProperties>
</file>