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TRIPOD Checklist</w:t>
      </w:r>
    </w:p>
    <w:p>
      <w:r>
        <w:t>Manuscript: An anesthesia-related gene signature is associated with prognosis and immune phenotypes in colorectal cancer: a retrospective multi-cohort bioinformatics study</w:t>
        <w:br/>
      </w:r>
      <w:r>
        <w:t>Journal: BMC Anesthesiology | Article type: Research Article</w:t>
        <w:br/>
      </w:r>
      <w:r>
        <w:t>Model type: Prediction model development with external evaluation (no updating)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Checklist item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Location in manuscript</w:t>
            </w:r>
          </w:p>
        </w:tc>
      </w:tr>
      <w:tr>
        <w:tc>
          <w:tcPr>
            <w:tcW w:type="dxa" w:w="2160"/>
          </w:tcPr>
          <w:p>
            <w:r>
              <w:t>Title and abstract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Identify the article as a study developing or evaluating a multivariable prediction model, with validation/evaluation</w:t>
            </w:r>
          </w:p>
        </w:tc>
        <w:tc>
          <w:tcPr>
            <w:tcW w:type="dxa" w:w="2160"/>
          </w:tcPr>
          <w:p>
            <w:r>
              <w:t>Title (“a retrospective multi-cohort bioinformatics study”); Abstract</w:t>
            </w:r>
          </w:p>
        </w:tc>
      </w:tr>
      <w:tr>
        <w:tc>
          <w:tcPr>
            <w:tcW w:type="dxa" w:w="2160"/>
          </w:tcPr>
          <w:p>
            <w:r>
              <w:t>Title and abstract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Structured summary: aim, data sources, participants, outcome, model, performance, conclusions</w:t>
            </w:r>
          </w:p>
        </w:tc>
        <w:tc>
          <w:tcPr>
            <w:tcW w:type="dxa" w:w="2160"/>
          </w:tcPr>
          <w:p>
            <w:r>
              <w:t>Abstract (Background/Methods/Results/Conclusions)</w:t>
            </w:r>
          </w:p>
        </w:tc>
      </w:tr>
      <w:tr>
        <w:tc>
          <w:tcPr>
            <w:tcW w:type="dxa" w:w="2160"/>
          </w:tcPr>
          <w:p>
            <w:r>
              <w:t>Introduction</w:t>
            </w:r>
          </w:p>
        </w:tc>
        <w:tc>
          <w:tcPr>
            <w:tcW w:type="dxa" w:w="2160"/>
          </w:tcPr>
          <w:p>
            <w:r>
              <w:t>3a</w:t>
            </w:r>
          </w:p>
        </w:tc>
        <w:tc>
          <w:tcPr>
            <w:tcW w:type="dxa" w:w="2160"/>
          </w:tcPr>
          <w:p>
            <w:r>
              <w:t>Background and clinical context</w:t>
            </w:r>
          </w:p>
        </w:tc>
        <w:tc>
          <w:tcPr>
            <w:tcW w:type="dxa" w:w="2160"/>
          </w:tcPr>
          <w:p>
            <w:r>
              <w:t>Background, paragraphs 1–3</w:t>
            </w:r>
          </w:p>
        </w:tc>
      </w:tr>
      <w:tr>
        <w:tc>
          <w:tcPr>
            <w:tcW w:type="dxa" w:w="2160"/>
          </w:tcPr>
          <w:p>
            <w:r>
              <w:t>Introduction</w:t>
            </w:r>
          </w:p>
        </w:tc>
        <w:tc>
          <w:tcPr>
            <w:tcW w:type="dxa" w:w="2160"/>
          </w:tcPr>
          <w:p>
            <w:r>
              <w:t>3b</w:t>
            </w:r>
          </w:p>
        </w:tc>
        <w:tc>
          <w:tcPr>
            <w:tcW w:type="dxa" w:w="2160"/>
          </w:tcPr>
          <w:p>
            <w:r>
              <w:t>Objectives and specification of development/external evaluation</w:t>
            </w:r>
          </w:p>
        </w:tc>
        <w:tc>
          <w:tcPr>
            <w:tcW w:type="dxa" w:w="2160"/>
          </w:tcPr>
          <w:p>
            <w:r>
              <w:t>Background, final paragraph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4a</w:t>
            </w:r>
          </w:p>
        </w:tc>
        <w:tc>
          <w:tcPr>
            <w:tcW w:type="dxa" w:w="2160"/>
          </w:tcPr>
          <w:p>
            <w:r>
              <w:t>Source of data</w:t>
            </w:r>
          </w:p>
        </w:tc>
        <w:tc>
          <w:tcPr>
            <w:tcW w:type="dxa" w:w="2160"/>
          </w:tcPr>
          <w:p>
            <w:r>
              <w:t>Methods – Data acquisition and anesthesia-related gene collection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4b</w:t>
            </w:r>
          </w:p>
        </w:tc>
        <w:tc>
          <w:tcPr>
            <w:tcW w:type="dxa" w:w="2160"/>
          </w:tcPr>
          <w:p>
            <w:r>
              <w:t>Dates of data retrieval and cohort periods</w:t>
            </w:r>
          </w:p>
        </w:tc>
        <w:tc>
          <w:tcPr>
            <w:tcW w:type="dxa" w:w="2160"/>
          </w:tcPr>
          <w:p>
            <w:r>
              <w:t>Methods – Data acquisition (TCGA/GDC and GEO cohort details); Data availability section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Setting and locations</w:t>
            </w:r>
          </w:p>
        </w:tc>
        <w:tc>
          <w:tcPr>
            <w:tcW w:type="dxa" w:w="2160"/>
          </w:tcPr>
          <w:p>
            <w:r>
              <w:t>Methods – Data acquisition (public repositories; retrospective cohorts)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Participants: eligibility, inclusions/exclusions</w:t>
            </w:r>
          </w:p>
        </w:tc>
        <w:tc>
          <w:tcPr>
            <w:tcW w:type="dxa" w:w="2160"/>
          </w:tcPr>
          <w:p>
            <w:r>
              <w:t>Methods – Data acquisition; Development and evaluation of the ARG prognostic signature (sample flow: 649 tumors/51 normals; evaluable n per cohort)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Outcome definitions</w:t>
            </w:r>
          </w:p>
        </w:tc>
        <w:tc>
          <w:tcPr>
            <w:tcW w:type="dxa" w:w="2160"/>
          </w:tcPr>
          <w:p>
            <w:r>
              <w:t>Methods – Data acquisition and survival endpoint definitions (OS, DFS, DSS, RFS per cohort)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Predictors: definition and assessment</w:t>
            </w:r>
          </w:p>
        </w:tc>
        <w:tc>
          <w:tcPr>
            <w:tcW w:type="dxa" w:w="2160"/>
          </w:tcPr>
          <w:p>
            <w:r>
              <w:t>Methods – ARG collection, DEARG identification, expression filtering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Sample size and missing data</w:t>
            </w:r>
          </w:p>
        </w:tc>
        <w:tc>
          <w:tcPr>
            <w:tcW w:type="dxa" w:w="2160"/>
          </w:tcPr>
          <w:p>
            <w:r>
              <w:t>Methods – Statistical analysis (complete-case approach, no imputation); cohort n reported throughout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Statistical analysis methods, including model building and penalization</w:t>
            </w:r>
          </w:p>
        </w:tc>
        <w:tc>
          <w:tcPr>
            <w:tcW w:type="dxa" w:w="2160"/>
          </w:tcPr>
          <w:p>
            <w:r>
              <w:t>Methods – Development and evaluation of the ARG prognostic signature; Statistical analysis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How risk groups / continuous predictor were constructed</w:t>
            </w:r>
          </w:p>
        </w:tc>
        <w:tc>
          <w:tcPr>
            <w:tcW w:type="dxa" w:w="2160"/>
          </w:tcPr>
          <w:p>
            <w:r>
              <w:t>Methods – median risk-score cutoff; Z-score and rank-based normalization (sensitivity analyses in Additional File 1)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For evaluation: distinguish development from evaluation data and any model updating</w:t>
            </w:r>
          </w:p>
        </w:tc>
        <w:tc>
          <w:tcPr>
            <w:tcW w:type="dxa" w:w="2160"/>
          </w:tcPr>
          <w:p>
            <w:r>
              <w:t>Methods – TCGA as development cohort; GSE17536/GSE39582 as external evaluation cohorts; no model updating performed</w:t>
            </w:r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Specify all measures used to assess model performance</w:t>
            </w:r>
          </w:p>
        </w:tc>
        <w:tc>
          <w:tcPr>
            <w:tcW w:type="dxa" w:w="2160"/>
          </w:tcPr>
          <w:p>
            <w:r>
              <w:t>Methods – C-index, time-dependent ROC, DCA, Kaplan–Meier with log-rank; calibration acknowledged in limitations</w:t>
            </w:r>
          </w:p>
        </w:tc>
      </w:tr>
      <w:tr>
        <w:tc>
          <w:tcPr>
            <w:tcW w:type="dxa" w:w="2160"/>
          </w:tcPr>
          <w:p>
            <w:r>
              <w:t>Results</w:t>
            </w:r>
          </w:p>
        </w:tc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Numbers analysed per cohort and model specification (full coefficients)</w:t>
            </w:r>
          </w:p>
        </w:tc>
        <w:tc>
          <w:tcPr>
            <w:tcW w:type="dxa" w:w="2160"/>
          </w:tcPr>
          <w:p>
            <w:r>
              <w:t>Results; full 15-gene coefficients in Additional File 1 (Supplementary Table S2); Supplementary Figure S2</w:t>
            </w:r>
          </w:p>
        </w:tc>
      </w:tr>
      <w:tr>
        <w:tc>
          <w:tcPr>
            <w:tcW w:type="dxa" w:w="2160"/>
          </w:tcPr>
          <w:p>
            <w:r>
              <w:t>Results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Model performance in development cohort (discrimination, clinical adjustment)</w:t>
            </w:r>
          </w:p>
        </w:tc>
        <w:tc>
          <w:tcPr>
            <w:tcW w:type="dxa" w:w="2160"/>
          </w:tcPr>
          <w:p>
            <w:r>
              <w:t>Results – TCGA C-index 0.682; multivariate Cox; Figures 1–2</w:t>
            </w:r>
          </w:p>
        </w:tc>
      </w:tr>
      <w:tr>
        <w:tc>
          <w:tcPr>
            <w:tcW w:type="dxa" w:w="2160"/>
          </w:tcPr>
          <w:p>
            <w:r>
              <w:t>Results</w:t>
            </w:r>
          </w:p>
        </w:tc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Model use / nomogram and clinical utility</w:t>
            </w:r>
          </w:p>
        </w:tc>
        <w:tc>
          <w:tcPr>
            <w:tcW w:type="dxa" w:w="2160"/>
          </w:tcPr>
          <w:p>
            <w:r>
              <w:t>Results – Independent prognostic analysis and nomogram construction; DCA; Supplementary Figures S5–S6</w:t>
            </w:r>
          </w:p>
        </w:tc>
      </w:tr>
      <w:tr>
        <w:tc>
          <w:tcPr>
            <w:tcW w:type="dxa" w:w="2160"/>
          </w:tcPr>
          <w:p>
            <w:r>
              <w:t>Results</w:t>
            </w:r>
          </w:p>
        </w:tc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Calibration</w:t>
            </w:r>
          </w:p>
        </w:tc>
        <w:tc>
          <w:tcPr>
            <w:tcW w:type="dxa" w:w="2160"/>
          </w:tcPr>
          <w:p>
            <w:r>
              <w:t>Not formally assessed; explicitly acknowledged in Discussion (limitations) as a limitation</w:t>
            </w:r>
          </w:p>
        </w:tc>
      </w:tr>
      <w:tr>
        <w:tc>
          <w:tcPr>
            <w:tcW w:type="dxa" w:w="2160"/>
          </w:tcPr>
          <w:p>
            <w:r>
              <w:t>Results</w:t>
            </w:r>
          </w:p>
        </w:tc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Internal validation / overfitting considerations</w:t>
            </w:r>
          </w:p>
        </w:tc>
        <w:tc>
          <w:tcPr>
            <w:tcW w:type="dxa" w:w="2160"/>
          </w:tcPr>
          <w:p>
            <w:r>
              <w:t>LASSO penalization with cross-validation; ablation and sensitivity analyses (Additional File 1); limitations discuss overfitting</w:t>
            </w:r>
          </w:p>
        </w:tc>
      </w:tr>
      <w:tr>
        <w:tc>
          <w:tcPr>
            <w:tcW w:type="dxa" w:w="2160"/>
          </w:tcPr>
          <w:p>
            <w:r>
              <w:t>Results</w:t>
            </w:r>
          </w:p>
        </w:tc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External evaluation results</w:t>
            </w:r>
          </w:p>
        </w:tc>
        <w:tc>
          <w:tcPr>
            <w:tcW w:type="dxa" w:w="2160"/>
          </w:tcPr>
          <w:p>
            <w:r>
              <w:t>Results – GSE17536 (C-index 0.618–0.681) and GSE39582 (0.535) with endpoint-specific analyses; Supplementary Figure S3, S25</w:t>
            </w:r>
          </w:p>
        </w:tc>
      </w:tr>
      <w:tr>
        <w:tc>
          <w:tcPr>
            <w:tcW w:type="dxa" w:w="2160"/>
          </w:tcPr>
          <w:p>
            <w:r>
              <w:t>Discussion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Limitations, assumptions, and validation context</w:t>
            </w:r>
          </w:p>
        </w:tc>
        <w:tc>
          <w:tcPr>
            <w:tcW w:type="dxa" w:w="2160"/>
          </w:tcPr>
          <w:p>
            <w:r>
              <w:t>Discussion – Limitations paragraph (tissue-specific ARG source, platform heterogeneity, computational proxies, no calibration)</w:t>
            </w:r>
          </w:p>
        </w:tc>
      </w:tr>
      <w:tr>
        <w:tc>
          <w:tcPr>
            <w:tcW w:type="dxa" w:w="2160"/>
          </w:tcPr>
          <w:p>
            <w:r>
              <w:t>Discussion</w:t>
            </w:r>
          </w:p>
        </w:tc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Interpretation and implications for practice and research</w:t>
            </w:r>
          </w:p>
        </w:tc>
        <w:tc>
          <w:tcPr>
            <w:tcW w:type="dxa" w:w="2160"/>
          </w:tcPr>
          <w:p>
            <w:r>
              <w:t>Discussion and Conclusions (hypothesis-generating framing; perioperative trial stratification)</w:t>
            </w:r>
          </w:p>
        </w:tc>
      </w:tr>
    </w:tbl>
    <w:p>
      <w:r>
        <w:rPr>
          <w:i/>
        </w:rPr>
        <w:br/>
        <w:t>Note: This study is a retrospective, database-based multivariable prediction-model study; TRIPOD is the applicable EQUATOR reporting guideline. Item numbering follows the TRIPOD 2015 statement (22-item abbreviated list; sub-items merged where they are reported together).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