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3B5A8">
      <w:pPr>
        <w:spacing w:before="0" w:after="12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8"/>
        </w:rPr>
        <w:t>Supplementary Codebook (File S7) for Data File S5</w:t>
      </w:r>
    </w:p>
    <w:p w14:paraId="1EBD2F9F">
      <w:pPr>
        <w:spacing w:before="0" w:after="24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22"/>
        </w:rPr>
        <w:t>PDAP case–control analysis dataset: 170 observations × 66 variables</w:t>
      </w:r>
    </w:p>
    <w:p w14:paraId="23CB50E1">
      <w:pPr>
        <w:spacing w:before="12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1. Dataset overview</w:t>
      </w:r>
    </w:p>
    <w:p w14:paraId="2B469437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2"/>
        </w:rPr>
        <w:t>Data File S5 contains the de-identified analysis dataset for the retrospective case–control study of total Kt/V and presentation-day serum iron in peritoneal dialysis-associated peritonitis (PDAP). Each row is one observation: 90 case observations (PDAP episodes) from 59 patients (17 patients contributed more than one episode, maximum 5), and 80 control observations from 79 patients; 138 unique patients in total. For cases, serum iron is measured on the day of PDAP presentation; other variables reflect the most recent available assessment as described in the Manuscript (Methods, Index date and measurement timing). Values are as recorded, except for the corrections described in Section 6; no imputation has been applied (missing values are blank).</w:t>
      </w:r>
    </w:p>
    <w:p w14:paraId="40940EB0">
      <w:pPr>
        <w:spacing w:before="16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2. Identifier and design variables</w:t>
      </w:r>
    </w:p>
    <w:tbl>
      <w:tblPr>
        <w:tblStyle w:val="33"/>
        <w:tblW w:w="0" w:type="auto"/>
        <w:tblInd w:w="-109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 w14:paraId="6FC5EE7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c>
          <w:tcPr>
            <w:tcW w:w="4986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9BA3CF">
            <w:pPr>
              <w:rPr>
                <w:rFonts w:hint="default" w:ascii="Times New Roman" w:hAnsi="Times New Roman" w:cs="Times New Roman"/>
              </w:rPr>
            </w:pPr>
            <w:bookmarkStart w:id="0" w:name="_GoBack" w:colFirst="0" w:colLast="1"/>
            <w:r>
              <w:rPr>
                <w:rFonts w:hint="default"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4986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4669B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Definition</w:t>
            </w:r>
          </w:p>
        </w:tc>
      </w:tr>
      <w:tr w14:paraId="20FDF2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DEE5E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obs_id</w:t>
            </w:r>
          </w:p>
        </w:tc>
        <w:tc>
          <w:tcPr>
            <w:tcW w:w="498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28259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Sequential observation identifier (1–170)</w:t>
            </w:r>
          </w:p>
        </w:tc>
      </w:tr>
      <w:tr w14:paraId="4FD94BB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DCF1F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patient_code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76FF3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De-identified patient code (P001–P138)</w:t>
            </w:r>
          </w:p>
        </w:tc>
      </w:tr>
      <w:tr w14:paraId="0170E61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DE3CF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group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E4C90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“case” = PDAP episode; “ctrl” = control</w:t>
            </w:r>
          </w:p>
        </w:tc>
      </w:tr>
      <w:tr w14:paraId="36281C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65098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is_case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522F7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Case indicator, 1 = case, 0 = control (duplicate of group)</w:t>
            </w:r>
          </w:p>
        </w:tc>
      </w:tr>
      <w:tr w14:paraId="161CE09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FD980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group_binary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E4ECC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Case indicator, 1 = case, 0 = control (numeric duplicate of group)</w:t>
            </w:r>
          </w:p>
        </w:tc>
      </w:tr>
      <w:tr w14:paraId="0F5FC0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C90A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sex</w:t>
            </w:r>
          </w:p>
        </w:tc>
        <w:tc>
          <w:tcPr>
            <w:tcW w:w="498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891BB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0 = female, 1 = male</w:t>
            </w:r>
          </w:p>
        </w:tc>
      </w:tr>
      <w:bookmarkEnd w:id="0"/>
    </w:tbl>
    <w:p w14:paraId="6EF0C6F5">
      <w:pPr>
        <w:spacing w:before="20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3. Original variables</w:t>
      </w:r>
    </w:p>
    <w:p w14:paraId="71F094BC">
      <w:pPr>
        <w:spacing w:before="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20"/>
        </w:rPr>
        <w:t>Units follow Table 1 of the manuscript where the variable appears there. “Range” gives observed min–max over non-missing values (n = 170 unless stated in the Notes column).</w:t>
      </w:r>
    </w:p>
    <w:tbl>
      <w:tblPr>
        <w:tblStyle w:val="33"/>
        <w:tblW w:w="0" w:type="auto"/>
        <w:tblInd w:w="-109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3108"/>
        <w:gridCol w:w="1356"/>
        <w:gridCol w:w="958"/>
        <w:gridCol w:w="1066"/>
        <w:gridCol w:w="1902"/>
      </w:tblGrid>
      <w:tr w14:paraId="3F155C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2F148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Variable</w:t>
            </w:r>
          </w:p>
        </w:tc>
        <w:tc>
          <w:tcPr>
            <w:tcW w:w="317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6DE79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Description</w:t>
            </w:r>
          </w:p>
        </w:tc>
        <w:tc>
          <w:tcPr>
            <w:tcW w:w="136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D59F8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Unit</w:t>
            </w:r>
          </w:p>
        </w:tc>
        <w:tc>
          <w:tcPr>
            <w:tcW w:w="96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F49B1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Type</w:t>
            </w:r>
          </w:p>
        </w:tc>
        <w:tc>
          <w:tcPr>
            <w:tcW w:w="107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3B9C9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Non-missing</w:t>
            </w:r>
          </w:p>
        </w:tc>
        <w:tc>
          <w:tcPr>
            <w:tcW w:w="19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5273F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</w:rPr>
              <w:t>Range / values</w:t>
            </w:r>
          </w:p>
        </w:tc>
      </w:tr>
      <w:tr w14:paraId="3EAE9F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04950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age</w:t>
            </w:r>
          </w:p>
        </w:tc>
        <w:tc>
          <w:tcPr>
            <w:tcW w:w="317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C7D1C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Age at the observation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0C16B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years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8157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FAC09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168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F9008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28–91</w:t>
            </w:r>
          </w:p>
        </w:tc>
      </w:tr>
      <w:tr w14:paraId="1E8875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0929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hemoglobin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BE78E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Haemoglobin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1095A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EAFC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F9EB5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F2062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55–163</w:t>
            </w:r>
          </w:p>
        </w:tc>
      </w:tr>
      <w:tr w14:paraId="4AC915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7B725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WBC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A0BA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White blood cell count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399D9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×10⁹/L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76366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BD97E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B41EE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2.33–110</w:t>
            </w:r>
          </w:p>
        </w:tc>
      </w:tr>
      <w:tr w14:paraId="25DD27B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33F9C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RBC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3FA08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Red blood cell count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B3DB5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×10¹²/L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CAD3C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654FD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5A1FA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1.79–7.13</w:t>
            </w:r>
          </w:p>
        </w:tc>
      </w:tr>
      <w:tr w14:paraId="1AA5F9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77AD2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platelet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B42C0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Platelet count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5E1E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×10⁹/L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659D70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5081F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1BF02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51–491</w:t>
            </w:r>
          </w:p>
        </w:tc>
      </w:tr>
      <w:tr w14:paraId="0CF269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6DBCF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neutrophil_pct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29F26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Neutrophil differential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0E77A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B885A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78DB6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F9E1D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25.9–94.7</w:t>
            </w:r>
          </w:p>
        </w:tc>
      </w:tr>
      <w:tr w14:paraId="431D0D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04E34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eosinophil_pct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AB889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Eosinophil differential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3FE94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5BAE4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18C1F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85CDB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0–19</w:t>
            </w:r>
          </w:p>
        </w:tc>
      </w:tr>
      <w:tr w14:paraId="4675DF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03399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monocyte_pct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72804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Monocyte differential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2B753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AC656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E057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AA0B4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0.49–42.2</w:t>
            </w:r>
          </w:p>
        </w:tc>
      </w:tr>
      <w:tr w14:paraId="2036F3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72F05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basophil_pct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98148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Basophil differential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09A53F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AF8600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D84D4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C0A86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0–2.6</w:t>
            </w:r>
          </w:p>
        </w:tc>
      </w:tr>
      <w:tr w14:paraId="0034C8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85DF5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CRP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C7B5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C-reactive protein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32344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C6B81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B5FB3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73169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0.499–261.8</w:t>
            </w:r>
          </w:p>
        </w:tc>
      </w:tr>
      <w:tr w14:paraId="7C1070A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E30C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PCT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A9E4A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Procalcitonin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5C252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ng/mL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C4A35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AE9A1E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FA6B0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0.08–100</w:t>
            </w:r>
          </w:p>
        </w:tc>
      </w:tr>
      <w:tr w14:paraId="72C625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1D5E2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calcium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16E7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calcium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05874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6359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7C971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04839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1.63–2.69</w:t>
            </w:r>
          </w:p>
        </w:tc>
      </w:tr>
      <w:tr w14:paraId="5EEFA26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F3021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phosphorus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A18A0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phosphorus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53ED2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8ACF9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43577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C901B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0.47–4.13</w:t>
            </w:r>
          </w:p>
        </w:tc>
      </w:tr>
      <w:tr w14:paraId="07E346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82BC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PTH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2556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Parathyroid hormone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C7EA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pg/mL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165B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0D7A5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C4BE7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5.35–1390</w:t>
            </w:r>
          </w:p>
        </w:tc>
      </w:tr>
      <w:tr w14:paraId="0DB7C9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5F0C7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ALP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4E06A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Alkaline phosphatase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60E0A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U/L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3BB22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1B1807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7CCDD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25–998</w:t>
            </w:r>
          </w:p>
        </w:tc>
      </w:tr>
      <w:tr w14:paraId="1023CA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193A2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iron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2083D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iron (presentation day for cases)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8D68D6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D24D9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B041F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99481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0.68–39.04</w:t>
            </w:r>
          </w:p>
        </w:tc>
      </w:tr>
      <w:tr w14:paraId="48934EA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47E14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TIBC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CA92A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 iron-binding capacity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356A7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0AE0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D9DF1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0FF03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17.18–85.24</w:t>
            </w:r>
          </w:p>
        </w:tc>
      </w:tr>
      <w:tr w14:paraId="5749F08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D192F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TSAT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09127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Transferrin saturation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E4019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DC693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88332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782C3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4.6–97.9</w:t>
            </w:r>
          </w:p>
        </w:tc>
      </w:tr>
      <w:tr w14:paraId="2BFB49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43FF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ferritin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13B70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ferritin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C88D0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ng/mL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0ADF9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773F2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1178E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14.72–1463</w:t>
            </w:r>
          </w:p>
        </w:tc>
      </w:tr>
      <w:tr w14:paraId="182927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9E2F8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uric_acid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20378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uric acid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DBE40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B874A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E173C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1AD8C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12.6–2307</w:t>
            </w:r>
          </w:p>
        </w:tc>
      </w:tr>
      <w:tr w14:paraId="279A56B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201B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prealbumin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D4EBB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prealbumin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AD06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1B5C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F532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B3A8D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40–416</w:t>
            </w:r>
          </w:p>
        </w:tc>
      </w:tr>
      <w:tr w14:paraId="531861B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9C4D6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albumin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91697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albumin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8F0F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05E1F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6CD5C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27C21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14–43.06</w:t>
            </w:r>
          </w:p>
        </w:tc>
      </w:tr>
      <w:tr w14:paraId="0171DF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265D9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AST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B63B5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Aspartate aminotransferase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C1A6C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U/L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8B1B6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72D47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EB7AD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3–72</w:t>
            </w:r>
          </w:p>
        </w:tc>
      </w:tr>
      <w:tr w14:paraId="4C13C4B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BE325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ALT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BBCC3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Alanine aminotransferase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39467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U/L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19917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8D763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1EAB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3–229</w:t>
            </w:r>
          </w:p>
        </w:tc>
      </w:tr>
      <w:tr w14:paraId="1A3231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414B4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total_bilirubin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66242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 bilirubin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6AA27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98E6E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1F73C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78C1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1.5–66</w:t>
            </w:r>
          </w:p>
        </w:tc>
      </w:tr>
      <w:tr w14:paraId="6DE634D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50A1D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triglycerides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2E648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Triglycerides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EA3B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10B4C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86A16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0572C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0.29–5.69</w:t>
            </w:r>
          </w:p>
        </w:tc>
      </w:tr>
      <w:tr w14:paraId="2C247C5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80B31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total_cholesterol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62017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 cholesterol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08326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A39F8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FCF83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09E1C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0.98–7.5</w:t>
            </w:r>
          </w:p>
        </w:tc>
      </w:tr>
      <w:tr w14:paraId="33C4FB4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5A319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HDL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13D41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High-density lipoprotein cholesterol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DCF2A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4A1B5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C08B6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83B56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0.16–1.45</w:t>
            </w:r>
          </w:p>
        </w:tc>
      </w:tr>
      <w:tr w14:paraId="29E398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5EC8D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LDL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D802D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Low-density lipoprotein cholesterol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04C2C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7FE9B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5A25F4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BEF48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0.66–4.33</w:t>
            </w:r>
          </w:p>
        </w:tc>
      </w:tr>
      <w:tr w14:paraId="3D57A18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00B14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sdLDL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760D2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Small dense LDL cholesterol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EF54A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see note 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0D386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A9576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BD84E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13.05–977.32</w:t>
            </w:r>
          </w:p>
        </w:tc>
      </w:tr>
      <w:tr w14:paraId="56B5447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65303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Lpa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19658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Lipoprotein(a)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400EC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BA554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C3874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34AD0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0.3–121.4</w:t>
            </w:r>
          </w:p>
        </w:tc>
      </w:tr>
      <w:tr w14:paraId="234376C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D46B5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ApoA1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C08A8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Apolipoprotein A1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093BA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B6CEB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456ED3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86300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0.24–1.36</w:t>
            </w:r>
          </w:p>
        </w:tc>
      </w:tr>
      <w:tr w14:paraId="5CD4D7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9EC1B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ApoB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223A1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Apolipoprotein 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97F00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9E3DA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6DC25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492D9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0.29–1.52</w:t>
            </w:r>
          </w:p>
        </w:tc>
      </w:tr>
      <w:tr w14:paraId="7EC5D1C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03D92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ApoE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AA38C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Apolipoprotein 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4E4B6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E2F1E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147EE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1AD1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13–77</w:t>
            </w:r>
          </w:p>
        </w:tc>
      </w:tr>
      <w:tr w14:paraId="15131C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41717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potassium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A65A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potassium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BE3CB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65876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C1829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0562E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2.1–6</w:t>
            </w:r>
          </w:p>
        </w:tc>
      </w:tr>
      <w:tr w14:paraId="48ECBE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01BA3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sodium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D10ED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sodium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067CE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B3A96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1B64F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2C133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127.3–148</w:t>
            </w:r>
          </w:p>
        </w:tc>
      </w:tr>
      <w:tr w14:paraId="62CA06A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2E14F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chloride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D62CB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chloride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E0927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3C2D00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7405F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5D64A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87–117</w:t>
            </w:r>
          </w:p>
        </w:tc>
      </w:tr>
      <w:tr w14:paraId="38A7F4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BCEC6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magnesium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9ED08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magnesium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B53125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1ADD1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29A39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8EA1F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0.39–1.14</w:t>
            </w:r>
          </w:p>
        </w:tc>
      </w:tr>
      <w:tr w14:paraId="78E1D1D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4A99C6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CO2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2C9DD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Bicarbonate (total CO2)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EA3CE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0DF0C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E7BC6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9BE16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8.7–35.8</w:t>
            </w:r>
          </w:p>
        </w:tc>
      </w:tr>
      <w:tr w14:paraId="2462E57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67353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creatinine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2111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Serum creatinine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C85B0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F468D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38A36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26001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158–1746</w:t>
            </w:r>
          </w:p>
        </w:tc>
      </w:tr>
      <w:tr w14:paraId="18EF63A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8E91F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BUN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F6EE5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Blood urea nitrogen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7E428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mmol/L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F7D18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88DDF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55F5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2.76–46.19</w:t>
            </w:r>
          </w:p>
        </w:tc>
      </w:tr>
      <w:tr w14:paraId="3364CE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C5171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beta2mg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82A5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Beta-2 microglobulin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C15AF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89A9C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96D4B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73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86C2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9.99–96.55</w:t>
            </w:r>
          </w:p>
        </w:tc>
      </w:tr>
      <w:tr w14:paraId="33FC8D5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EB471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peritoneal_Ccr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76A58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Peritoneal creatinine clearance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20393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L/week/1.73 m² (see Note b)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54FC6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8406B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01B65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13.48–93.26</w:t>
            </w:r>
          </w:p>
        </w:tc>
      </w:tr>
      <w:tr w14:paraId="055C23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A48D1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residual_Ccr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79676A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Residual renal creatinine clearance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846A0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see note 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4FFD4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C2327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B3C0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0–200.3</w:t>
            </w:r>
          </w:p>
        </w:tc>
      </w:tr>
      <w:tr w14:paraId="516B1C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C4B2B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total_Ccr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160F4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 creatinine clearance (peritoneal + residual)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55ED0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L/week/1.73 m² (see Note b)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7319C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26367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46864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17.86–223.2</w:t>
            </w:r>
          </w:p>
        </w:tc>
      </w:tr>
      <w:tr w14:paraId="67C36D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9F40A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residual_KtV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92FB2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Residual renal weekly Kt/V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D151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dimensionless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D93E2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3E28F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D1FFF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0–3.01</w:t>
            </w:r>
          </w:p>
        </w:tc>
      </w:tr>
      <w:tr w14:paraId="4A80A1E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75014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peritoneal_KtV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5B24D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Peritoneal weekly Kt/V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D548E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dimensionless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79E2C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BBE56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874F1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0.49–2.77</w:t>
            </w:r>
          </w:p>
        </w:tc>
      </w:tr>
      <w:tr w14:paraId="520217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719F1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KtV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B0842A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Total weekly Kt/V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F3164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dimensionless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526DD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E1D2E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4E44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0.74–4.51</w:t>
            </w:r>
          </w:p>
        </w:tc>
      </w:tr>
      <w:tr w14:paraId="30E11E7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D5E6B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BMI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DA4D0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Body mass index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94F66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kg/m²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61490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2D3EF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148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153C1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17.12–35.76</w:t>
            </w:r>
          </w:p>
        </w:tc>
      </w:tr>
      <w:tr w14:paraId="318C74C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97F0C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dry_weight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0347E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Prescribed dry weight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D9C6F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kg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D60AE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EBB12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F3163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35.5–108</w:t>
            </w:r>
          </w:p>
        </w:tc>
      </w:tr>
      <w:tr w14:paraId="37A0CD8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E1F88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urine_vol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32F63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24-hour urine volume (0 = anuric)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E240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L/day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EB5F6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2596C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668AF1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0–1.8</w:t>
            </w:r>
          </w:p>
        </w:tc>
      </w:tr>
      <w:tr w14:paraId="131394A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1747B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EF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C3F32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Left ventricular ejection fraction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1CFE58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% (see note c)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2BA97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87129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112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44A51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30–71</w:t>
            </w:r>
          </w:p>
        </w:tc>
      </w:tr>
      <w:tr w14:paraId="171E691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B3A48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TnI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9CA45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Troponin 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3131E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μg/L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EF8E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81362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E018C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0.003–1.23</w:t>
            </w:r>
          </w:p>
        </w:tc>
      </w:tr>
      <w:tr w14:paraId="0BD8F0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2AEB5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pro_BNP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03A6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N-terminal pro-B-type natriuretic peptide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EC2E5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pg/mL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D72E7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1BF44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163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C4DE3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153–3.5e+04</w:t>
            </w:r>
          </w:p>
        </w:tc>
      </w:tr>
      <w:tr w14:paraId="1D3E1ED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F725C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ESR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EF1E6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Erythrocyte sedimentation rate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C4A04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mm/h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79A2F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BCA2A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46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3AC2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11–140</w:t>
            </w:r>
          </w:p>
        </w:tc>
      </w:tr>
      <w:tr w14:paraId="20B619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EB58C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IL6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B86CB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Interleukin-6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2A3C4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pg/mL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EE8FD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892E2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131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3FD00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1.5–5000</w:t>
            </w:r>
          </w:p>
        </w:tc>
      </w:tr>
      <w:tr w14:paraId="4F16AB9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2DF0E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effluent_WBC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1AAFD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Dialysate effluent white cell count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61657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cells/μL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3B7B2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97EFCD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89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B850D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12–7.876e+04</w:t>
            </w:r>
          </w:p>
        </w:tc>
      </w:tr>
      <w:tr w14:paraId="0BB488E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C92D7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effluent_RBC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36AC3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Dialysate effluent red cell count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7A5BC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cells/μL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459A3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90ADE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87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1580F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1–5.926e+04</w:t>
            </w:r>
          </w:p>
        </w:tc>
      </w:tr>
      <w:tr w14:paraId="50DDF8C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23EA5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log_crp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ABA769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Pre-computed ln(CRP + 1)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B0CE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ln(mg/L)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D293E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9B6F7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1D57D2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0.4048–5.571</w:t>
            </w:r>
          </w:p>
        </w:tc>
      </w:tr>
      <w:tr w14:paraId="0AA2F5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4B4BC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log_crp_sd</w:t>
            </w:r>
          </w:p>
        </w:tc>
        <w:tc>
          <w:tcPr>
            <w:tcW w:w="31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1C1D3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Pre-computed standardised log_crp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528C5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SD units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6D79F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numeric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5DCE7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160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A571B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-1.414–1.835</w:t>
            </w:r>
          </w:p>
        </w:tc>
      </w:tr>
    </w:tbl>
    <w:p w14:paraId="538D92B4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18"/>
        </w:rPr>
        <w:t>Note a: the laboratory export does not state the unit for sdLDL; one observation (37,307, obs_id 100) exceeded any plausible range and has been set to missing (Section 6); the unit remains unlabelled; values are therefore presented for between-group relative comparison only and should not be interpreted against absolute clinical thresholds.</w:t>
      </w:r>
    </w:p>
    <w:p w14:paraId="4185CB2B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18"/>
        </w:rPr>
        <w:t>Note b: unit determination for the creatinine-clearance columns. The additive relation total_Ccr = peritoneal_Ccr + residual_Ccr closes to within 0.25 L/week for 151 of 156 complete trios; the five exceptions deviate by −0.30, −3.00, −10.00, +16.89, and −29.63 L/week (maximum 29.630). All three Ccr columns therefore share one unit, L/week/1.73 m² (1 mL/min/1.73 m² = 10.08 L/week/1.73 m²); Table 1 and the Results report these columns in L/week/1.73 m².</w:t>
      </w:r>
    </w:p>
    <w:p w14:paraId="501E8844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18"/>
        </w:rPr>
        <w:t>Note c: three observations (0.6, 0.71, 0.3) were recorded as proportions (i.e., 60%, 71%, 30%) while the remainder are percentages; they have been re-expressed as 60, 71, and 30 for obs_id 14, 35, and 36, respectively (Section 6).</w:t>
      </w:r>
    </w:p>
    <w:p w14:paraId="5FF29ADE">
      <w:pPr>
        <w:spacing w:before="20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4. Variables derived in the analysis script (File S6)</w:t>
      </w:r>
    </w:p>
    <w:p w14:paraId="30B1FF52">
      <w:pPr>
        <w:spacing w:before="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20"/>
        </w:rPr>
        <w:t>The following variables are not used directly from the CSV; they are created at run time by the supplementary analysis code (File S6) and are listed here for completeness.</w:t>
      </w:r>
    </w:p>
    <w:tbl>
      <w:tblPr>
        <w:tblStyle w:val="33"/>
        <w:tblW w:w="0" w:type="auto"/>
        <w:tblInd w:w="-109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7293"/>
      </w:tblGrid>
      <w:tr w14:paraId="638F16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59C62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729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E8236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Definition</w:t>
            </w:r>
          </w:p>
        </w:tc>
      </w:tr>
      <w:tr w14:paraId="1A9E9EE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31D2A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y</w:t>
            </w:r>
          </w:p>
        </w:tc>
        <w:tc>
          <w:tcPr>
            <w:tcW w:w="729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D3B92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Case indicator for regression, = (group == “case”)</w:t>
            </w:r>
          </w:p>
        </w:tc>
      </w:tr>
      <w:tr w14:paraId="53AE2B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62C83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male</w:t>
            </w:r>
          </w:p>
        </w:tc>
        <w:tc>
          <w:tcPr>
            <w:tcW w:w="72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F8643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= sex (0/1)</w:t>
            </w:r>
          </w:p>
        </w:tc>
      </w:tr>
      <w:tr w14:paraId="47156F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3D7E06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iron_sd</w:t>
            </w:r>
          </w:p>
        </w:tc>
        <w:tc>
          <w:tcPr>
            <w:tcW w:w="72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45446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iron standardised by its SD: iron / 6.367 (SD_IRON = SD of iron, n = 170, ddof = 1)</w:t>
            </w:r>
          </w:p>
        </w:tc>
      </w:tr>
      <w:tr w14:paraId="338A429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41798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ktv_sd</w:t>
            </w:r>
          </w:p>
        </w:tc>
        <w:tc>
          <w:tcPr>
            <w:tcW w:w="72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77F76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KtV standardised by its SD: KtV / 0.672 (SD_KTV = SD of KtV, ddof = 1)</w:t>
            </w:r>
          </w:p>
        </w:tc>
      </w:tr>
      <w:tr w14:paraId="0933E62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C6B60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ix</w:t>
            </w:r>
          </w:p>
        </w:tc>
        <w:tc>
          <w:tcPr>
            <w:tcW w:w="729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FE899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Interaction term, = iron_sd × log_crp (complete-case analysis only)</w:t>
            </w:r>
          </w:p>
        </w:tc>
      </w:tr>
    </w:tbl>
    <w:p w14:paraId="24473489">
      <w:pPr>
        <w:spacing w:before="8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</w:rPr>
        <w:t>The CSV also carries two pre-computed columns used by the primary regression: log_crp = ln(CRP + 1) and log_crp_sd = (log_crp − mean)/SD of log_crp (n = 160).</w:t>
      </w:r>
    </w:p>
    <w:p w14:paraId="569309C5">
      <w:pPr>
        <w:spacing w:before="200" w:after="120"/>
        <w:rPr>
          <w:rFonts w:hint="default" w:ascii="Times New Roman" w:hAnsi="Times New Roman" w:cs="Times New Roman"/>
          <w:b/>
          <w:i w:val="0"/>
          <w:sz w:val="24"/>
        </w:rPr>
      </w:pPr>
    </w:p>
    <w:p w14:paraId="1BF493C5">
      <w:pPr>
        <w:spacing w:before="20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5. Missing data by group</w:t>
      </w:r>
    </w:p>
    <w:p w14:paraId="2EC8407D">
      <w:pPr>
        <w:spacing w:before="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20"/>
        </w:rPr>
        <w:t>Missingness is asymmetric between groups for the exposures, as discussed in the Manuscript (Discussion, second limitation). Counts below are missing observations (of 90 case and 80 control observations).</w:t>
      </w:r>
    </w:p>
    <w:tbl>
      <w:tblPr>
        <w:tblStyle w:val="33"/>
        <w:tblW w:w="0" w:type="auto"/>
        <w:tblInd w:w="-109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608"/>
        <w:gridCol w:w="2778"/>
        <w:gridCol w:w="1928"/>
      </w:tblGrid>
      <w:tr w14:paraId="3799348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</w:tblPrEx>
        <w:tc>
          <w:tcPr>
            <w:tcW w:w="204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64E1D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Variable</w:t>
            </w:r>
          </w:p>
        </w:tc>
        <w:tc>
          <w:tcPr>
            <w:tcW w:w="260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CBF44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Missing in cases (n = 90)</w:t>
            </w:r>
          </w:p>
        </w:tc>
        <w:tc>
          <w:tcPr>
            <w:tcW w:w="277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25425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Missing in controls (n = 80)</w:t>
            </w:r>
          </w:p>
        </w:tc>
        <w:tc>
          <w:tcPr>
            <w:tcW w:w="192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7F8C5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</w:rPr>
              <w:t>Missing total (n = 170)</w:t>
            </w:r>
          </w:p>
        </w:tc>
      </w:tr>
      <w:tr w14:paraId="512580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5644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iron</w:t>
            </w:r>
          </w:p>
        </w:tc>
        <w:tc>
          <w:tcPr>
            <w:tcW w:w="260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204C4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30 (33.3%)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E90F5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7 (8.8%)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FEA07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37 (21.8%)</w:t>
            </w:r>
          </w:p>
        </w:tc>
      </w:tr>
      <w:tr w14:paraId="527C42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31A51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TIBC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74CA3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30 (33.3%)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7F06D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7 (8.8%)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B13658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37 (21.8%)</w:t>
            </w:r>
          </w:p>
        </w:tc>
      </w:tr>
      <w:tr w14:paraId="7FA1E3F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19CF0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TSAT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76E21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30 (33.3%)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D5928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7 (8.8%)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396A3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37 (21.8%)</w:t>
            </w:r>
          </w:p>
        </w:tc>
      </w:tr>
      <w:tr w14:paraId="7CCFAA5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C9C7F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ferritin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FA68D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39 (43.3%)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F5835D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8 (10.0%)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A8FDC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47 (27.6%)</w:t>
            </w:r>
          </w:p>
        </w:tc>
      </w:tr>
      <w:tr w14:paraId="45A0F8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DF087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KtV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11949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16 (17.8%)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8A936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 (1.3%)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8182E2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17 (10.0%)</w:t>
            </w:r>
          </w:p>
        </w:tc>
      </w:tr>
      <w:tr w14:paraId="7F8A2D5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0ACC89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CRP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10123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4 (4.4%)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51E3A5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6 (7.5%)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72544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10 (5.9%)</w:t>
            </w:r>
          </w:p>
        </w:tc>
      </w:tr>
      <w:tr w14:paraId="00079AF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67E0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PCT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8C28A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15 (16.7%)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4811D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24 (30.0%)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786C3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39 (22.9%)</w:t>
            </w:r>
          </w:p>
        </w:tc>
      </w:tr>
      <w:tr w14:paraId="2D5566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5E509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PTH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7AEF43F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32 (35.6%)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39E6C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13 (16.2%)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C7A1977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45 (26.5%)</w:t>
            </w:r>
          </w:p>
        </w:tc>
      </w:tr>
      <w:tr w14:paraId="424428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D8359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IL6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A05F28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15 (16.7%)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1672D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24 (30.0%)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1B0425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39 (22.9%)</w:t>
            </w:r>
          </w:p>
        </w:tc>
      </w:tr>
      <w:tr w14:paraId="34C1619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2084A0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beta2mg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0DE35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61 (67.8%)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3C34B3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36 (45.0%)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79CFF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97 (57.1%)</w:t>
            </w:r>
          </w:p>
        </w:tc>
      </w:tr>
      <w:tr w14:paraId="1E34B5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70487C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ESR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544D68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69 (76.7%)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2AA54B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55 (68.8%)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BB7FB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124 (72.9%)</w:t>
            </w:r>
          </w:p>
        </w:tc>
      </w:tr>
      <w:tr w14:paraId="56874A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909B5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effluent_WBC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009A2A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1 (1.1%)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44654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80 (100.0%)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4FC54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81 (47.6%)</w:t>
            </w:r>
          </w:p>
        </w:tc>
      </w:tr>
      <w:tr w14:paraId="336E415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475BC6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effluent_RBC</w:t>
            </w:r>
          </w:p>
        </w:tc>
        <w:tc>
          <w:tcPr>
            <w:tcW w:w="260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F5D064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3 (3.3%)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CE55D23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80 (100.0%)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D233DD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83 (48.8%)</w:t>
            </w:r>
          </w:p>
        </w:tc>
      </w:tr>
    </w:tbl>
    <w:p w14:paraId="2FCD2C06">
      <w:pPr>
        <w:spacing w:before="20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4"/>
        </w:rPr>
        <w:t>6. Data-quality notes and corrections applied</w:t>
      </w:r>
    </w:p>
    <w:p w14:paraId="346F4BFC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BMI = 0 for obs_id 153 (impossible value); set to missing.</w:t>
      </w:r>
    </w:p>
    <w:p w14:paraId="37A332EE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total Kt/V = 0.0 for obs_id 153 (impossible value); set to missing.</w:t>
      </w:r>
    </w:p>
    <w:p w14:paraId="28BCCE09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• total Kt/V: one value recorded as −1.24 (sign-entry error) was corrected to +1.24 prior to preparation of the current data file (Data File S5); because the correction predates the archived data snapshot, the observation cannot be re-identified in the de-identified file.</w:t>
      </w:r>
    </w:p>
    <w:p w14:paraId="149B7834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Phosphorus = 131 mmol/L for obs_id 28 (exceeds any plausible range); set to missing.</w:t>
      </w:r>
    </w:p>
    <w:p w14:paraId="1944F4B0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sdLDL = 37,307 for obs_id 100 and TIBC = 1,087 μmol/L for obs_id 22 (exceed plausible ranges); both set to missing. The sdLDL unit in the laboratory export remains unlabelled.</w:t>
      </w:r>
    </w:p>
    <w:p w14:paraId="7C91EC77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EF: three observations recorded as proportions (0.6, 0.71, 0.3) while the remainder are percentages; re-expressed as 60, 71, and 30.</w:t>
      </w:r>
    </w:p>
    <w:p w14:paraId="2AF174AA">
      <w:pPr>
        <w:spacing w:before="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20"/>
          <w:highlight w:val="yellow"/>
        </w:rPr>
        <w:t>• residual_Ccr: unit conclusion — see Note b under Table 3.1.</w:t>
      </w:r>
    </w:p>
    <w:p w14:paraId="3B4275D8">
      <w:pPr>
        <w:spacing w:before="160" w:after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/>
          <w:sz w:val="18"/>
        </w:rPr>
        <w:t>Prepared from 09_Supplementary_Data_S5.csv. Variable names, units, and derived definitions are consistent with Table 1 of the manuscript and with the supplementary analysis code (File S6). After the corrections in Section 6, the pooled standard deviations used for standardisation are 6.367 μmol/L for serum iron and 0.672 for total Kt/V.</w:t>
      </w:r>
    </w:p>
    <w:sectPr>
      <w:pgSz w:w="12240" w:h="15840"/>
      <w:pgMar w:top="1440" w:right="1134" w:bottom="144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028D031-9E90-431C-A672-04ADE6108BF7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System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470275"/>
    <w:rsid w:val="29E53BF2"/>
    <w:rsid w:val="50BE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998</Words>
  <Characters>5871</Characters>
  <Lines>0</Lines>
  <Paragraphs>0</Paragraphs>
  <TotalTime>1</TotalTime>
  <ScaleCrop>false</ScaleCrop>
  <LinksUpToDate>false</LinksUpToDate>
  <CharactersWithSpaces>6463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description>generated by python-docx</dc:description>
  <dcterms:modified xsi:type="dcterms:W3CDTF">2026-09-18T11:51:40Z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eyJoZGlkIjoiY2NmOTVjYzI5N2Q5YzQ4ZmZlOWM5MmZlMDk2OTY5OTgiLCJ1c2VySWQiOiIzMzM2MTA2MTAifQ==</vt:lpwstr>
  </property>
  <property fmtid="{D5CDD505-2E9C-101B-9397-08002B2CF9AE}" pid="3" name="KSOProductBuildVer">
    <vt:lpwstr>2052-12.1.0.28792</vt:lpwstr>
  </property>
  <property fmtid="{D5CDD505-2E9C-101B-9397-08002B2CF9AE}" pid="4" name="ICV">
    <vt:lpwstr>FE5FDCFAAE364681BF38D5A16C418984_12</vt:lpwstr>
  </property>
</Properties>
</file>