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4602C">
      <w:pPr>
        <w:spacing w:after="240"/>
        <w:jc w:val="center"/>
        <w:rPr>
          <w:rFonts w:hint="default" w:ascii="Times New Roman" w:hAnsi="Times New Roman" w:cs="Times New Roman"/>
        </w:rPr>
      </w:pPr>
      <w:r>
        <w:rPr>
          <w:rFonts w:hint="default" w:ascii="Times New Roman" w:hAnsi="Times New Roman" w:eastAsia="宋体" w:cs="Times New Roman"/>
          <w:b/>
          <w:sz w:val="28"/>
        </w:rPr>
        <w:t>Supplementary Material</w:t>
      </w:r>
    </w:p>
    <w:p w14:paraId="1668989A">
      <w:pPr>
        <w:spacing w:after="240"/>
        <w:jc w:val="center"/>
        <w:rPr>
          <w:rFonts w:hint="default" w:ascii="Times New Roman" w:hAnsi="Times New Roman" w:cs="Times New Roman"/>
          <w:sz w:val="24"/>
          <w:szCs w:val="24"/>
        </w:rPr>
      </w:pPr>
      <w:r>
        <w:rPr>
          <w:rFonts w:hint="default" w:ascii="Times New Roman" w:hAnsi="Times New Roman" w:eastAsia="宋体" w:cs="Times New Roman"/>
          <w:b w:val="0"/>
          <w:sz w:val="24"/>
          <w:szCs w:val="24"/>
        </w:rPr>
        <w:t>Serum iron and total Kt/V in peritoneal dialysis-associated peritonitis: a cross-sectional study</w:t>
      </w:r>
    </w:p>
    <w:p w14:paraId="5A07625C">
      <w:pPr>
        <w:spacing w:after="12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Supplementary Table S1. FDR screening results (57 candidate variables)</w:t>
      </w:r>
    </w:p>
    <w:p w14:paraId="2F432459">
      <w:pPr>
        <w:spacing w:after="120"/>
        <w:rPr>
          <w:rFonts w:hint="default" w:ascii="Times New Roman" w:hAnsi="Times New Roman" w:cs="Times New Roman"/>
          <w:sz w:val="24"/>
          <w:szCs w:val="24"/>
        </w:rPr>
      </w:pPr>
      <w:r>
        <w:rPr>
          <w:rFonts w:hint="default" w:ascii="Times New Roman" w:hAnsi="Times New Roman" w:eastAsia="宋体" w:cs="Times New Roman"/>
          <w:b w:val="0"/>
          <w:sz w:val="24"/>
          <w:szCs w:val="24"/>
        </w:rPr>
        <w:t>A total of 57 candidate variables were screened using Mann–Whitney U tests. After Benjamini–Hochberg FDR correction, 27 variables remained significant (adjusted P &lt; 0.05).</w:t>
      </w:r>
    </w:p>
    <w:tbl>
      <w:tblPr>
        <w:tblStyle w:val="32"/>
        <w:tblW w:w="0" w:type="auto"/>
        <w:jc w:val="center"/>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Layout w:type="autofit"/>
        <w:tblCellMar>
          <w:top w:w="0" w:type="dxa"/>
          <w:left w:w="108" w:type="dxa"/>
          <w:bottom w:w="0" w:type="dxa"/>
          <w:right w:w="108" w:type="dxa"/>
        </w:tblCellMar>
      </w:tblPr>
      <w:tblGrid>
        <w:gridCol w:w="1549"/>
        <w:gridCol w:w="674"/>
        <w:gridCol w:w="751"/>
        <w:gridCol w:w="1850"/>
        <w:gridCol w:w="1750"/>
        <w:gridCol w:w="830"/>
        <w:gridCol w:w="830"/>
        <w:gridCol w:w="622"/>
      </w:tblGrid>
      <w:tr w14:paraId="56ABD88A">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376C5236">
            <w:pPr>
              <w:jc w:val="center"/>
              <w:rPr>
                <w:rFonts w:hint="default" w:ascii="Times New Roman" w:hAnsi="Times New Roman" w:cs="Times New Roman"/>
              </w:rPr>
            </w:pPr>
            <w:r>
              <w:rPr>
                <w:rFonts w:hint="default" w:ascii="Times New Roman" w:hAnsi="Times New Roman" w:eastAsia="宋体" w:cs="Times New Roman"/>
                <w:b/>
                <w:sz w:val="14"/>
              </w:rPr>
              <w:t>Variable</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7599C198">
            <w:pPr>
              <w:jc w:val="center"/>
              <w:rPr>
                <w:rFonts w:hint="default" w:ascii="Times New Roman" w:hAnsi="Times New Roman" w:cs="Times New Roman"/>
              </w:rPr>
            </w:pPr>
            <w:r>
              <w:rPr>
                <w:rFonts w:hint="default" w:ascii="Times New Roman" w:hAnsi="Times New Roman" w:eastAsia="宋体" w:cs="Times New Roman"/>
                <w:b/>
                <w:sz w:val="14"/>
              </w:rPr>
              <w:t>PDAP (n)</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1A6E3D42">
            <w:pPr>
              <w:jc w:val="center"/>
              <w:rPr>
                <w:rFonts w:hint="default" w:ascii="Times New Roman" w:hAnsi="Times New Roman" w:cs="Times New Roman"/>
              </w:rPr>
            </w:pPr>
            <w:r>
              <w:rPr>
                <w:rFonts w:hint="default" w:ascii="Times New Roman" w:hAnsi="Times New Roman" w:eastAsia="宋体" w:cs="Times New Roman"/>
                <w:b/>
                <w:sz w:val="14"/>
              </w:rPr>
              <w:t>Control (n)</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22F7C11A">
            <w:pPr>
              <w:jc w:val="center"/>
              <w:rPr>
                <w:rFonts w:hint="default" w:ascii="Times New Roman" w:hAnsi="Times New Roman" w:cs="Times New Roman"/>
              </w:rPr>
            </w:pPr>
            <w:r>
              <w:rPr>
                <w:rFonts w:hint="default" w:ascii="Times New Roman" w:hAnsi="Times New Roman" w:eastAsia="宋体" w:cs="Times New Roman"/>
                <w:b/>
                <w:sz w:val="14"/>
              </w:rPr>
              <w:t>PDAP value</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7F0FE30B">
            <w:pPr>
              <w:jc w:val="center"/>
              <w:rPr>
                <w:rFonts w:hint="default" w:ascii="Times New Roman" w:hAnsi="Times New Roman" w:cs="Times New Roman"/>
              </w:rPr>
            </w:pPr>
            <w:r>
              <w:rPr>
                <w:rFonts w:hint="default" w:ascii="Times New Roman" w:hAnsi="Times New Roman" w:eastAsia="宋体" w:cs="Times New Roman"/>
                <w:b/>
                <w:sz w:val="14"/>
              </w:rPr>
              <w:t>Control value</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1AE2B57E">
            <w:pPr>
              <w:jc w:val="center"/>
              <w:rPr>
                <w:rFonts w:hint="default" w:ascii="Times New Roman" w:hAnsi="Times New Roman" w:cs="Times New Roman"/>
              </w:rPr>
            </w:pPr>
            <w:r>
              <w:rPr>
                <w:rFonts w:hint="default" w:ascii="Times New Roman" w:hAnsi="Times New Roman" w:eastAsia="宋体" w:cs="Times New Roman"/>
                <w:b/>
                <w:sz w:val="14"/>
              </w:rPr>
              <w:t>P value</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7256A8B0">
            <w:pPr>
              <w:jc w:val="center"/>
              <w:rPr>
                <w:rFonts w:hint="default" w:ascii="Times New Roman" w:hAnsi="Times New Roman" w:cs="Times New Roman"/>
              </w:rPr>
            </w:pPr>
            <w:r>
              <w:rPr>
                <w:rFonts w:hint="default" w:ascii="Times New Roman" w:hAnsi="Times New Roman" w:eastAsia="宋体" w:cs="Times New Roman"/>
                <w:b/>
                <w:sz w:val="14"/>
              </w:rPr>
              <w:t>q value</w:t>
            </w:r>
          </w:p>
        </w:tc>
        <w:tc>
          <w:tcPr>
            <w:tcW w:w="1080" w:type="dxa"/>
            <w:tcBorders>
              <w:top w:val="single" w:color="auto" w:sz="12" w:space="0"/>
              <w:left w:val="nil"/>
              <w:bottom w:val="nil"/>
              <w:right w:val="nil"/>
            </w:tcBorders>
            <w:noWrap w:val="0"/>
            <w:tcMar>
              <w:top w:w="-1" w:type="dxa"/>
              <w:left w:w="-1" w:type="dxa"/>
              <w:bottom w:w="-1" w:type="dxa"/>
              <w:right w:w="-1" w:type="dxa"/>
            </w:tcMar>
            <w:vAlign w:val="top"/>
          </w:tcPr>
          <w:p w14:paraId="5CDCD6BB">
            <w:pPr>
              <w:jc w:val="center"/>
              <w:rPr>
                <w:rFonts w:hint="default" w:ascii="Times New Roman" w:hAnsi="Times New Roman" w:cs="Times New Roman"/>
              </w:rPr>
            </w:pPr>
            <w:r>
              <w:rPr>
                <w:rFonts w:hint="default" w:ascii="Times New Roman" w:hAnsi="Times New Roman" w:eastAsia="宋体" w:cs="Times New Roman"/>
                <w:b/>
                <w:sz w:val="14"/>
              </w:rPr>
              <w:t>Sig.</w:t>
            </w:r>
          </w:p>
        </w:tc>
      </w:tr>
      <w:tr w14:paraId="6F96D7C8">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single" w:color="auto" w:sz="4" w:space="0"/>
              <w:left w:val="nil"/>
              <w:bottom w:val="nil"/>
              <w:right w:val="nil"/>
            </w:tcBorders>
            <w:noWrap w:val="0"/>
            <w:tcMar>
              <w:top w:w="-1" w:type="dxa"/>
              <w:left w:w="-1" w:type="dxa"/>
              <w:bottom w:w="-1" w:type="dxa"/>
              <w:right w:w="-1" w:type="dxa"/>
            </w:tcMar>
            <w:vAlign w:val="top"/>
          </w:tcPr>
          <w:p w14:paraId="58EDF645">
            <w:pPr>
              <w:rPr>
                <w:rFonts w:hint="default" w:ascii="Times New Roman" w:hAnsi="Times New Roman" w:cs="Times New Roman"/>
              </w:rPr>
            </w:pPr>
            <w:r>
              <w:rPr>
                <w:rFonts w:hint="default" w:ascii="Times New Roman" w:hAnsi="Times New Roman" w:cs="Times New Roman"/>
              </w:rPr>
              <w:t>CRP</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097223D3">
            <w:pPr>
              <w:jc w:val="center"/>
              <w:rPr>
                <w:rFonts w:hint="default" w:ascii="Times New Roman" w:hAnsi="Times New Roman" w:cs="Times New Roman"/>
              </w:rPr>
            </w:pPr>
            <w:r>
              <w:rPr>
                <w:rFonts w:hint="default" w:ascii="Times New Roman" w:hAnsi="Times New Roman" w:cs="Times New Roman"/>
              </w:rPr>
              <w:t>86</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690599B5">
            <w:pPr>
              <w:jc w:val="center"/>
              <w:rPr>
                <w:rFonts w:hint="default" w:ascii="Times New Roman" w:hAnsi="Times New Roman" w:cs="Times New Roman"/>
              </w:rPr>
            </w:pPr>
            <w:r>
              <w:rPr>
                <w:rFonts w:hint="default" w:ascii="Times New Roman" w:hAnsi="Times New Roman" w:cs="Times New Roman"/>
              </w:rPr>
              <w:t>74</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4B97280A">
            <w:pPr>
              <w:jc w:val="center"/>
              <w:rPr>
                <w:rFonts w:hint="default" w:ascii="Times New Roman" w:hAnsi="Times New Roman" w:cs="Times New Roman"/>
              </w:rPr>
            </w:pPr>
            <w:r>
              <w:rPr>
                <w:rFonts w:hint="default" w:ascii="Times New Roman" w:hAnsi="Times New Roman" w:cs="Times New Roman"/>
              </w:rPr>
              <w:t>45.91 (20.02–93.37)</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742B4F21">
            <w:pPr>
              <w:jc w:val="center"/>
              <w:rPr>
                <w:rFonts w:hint="default" w:ascii="Times New Roman" w:hAnsi="Times New Roman" w:cs="Times New Roman"/>
              </w:rPr>
            </w:pPr>
            <w:r>
              <w:rPr>
                <w:rFonts w:hint="default" w:ascii="Times New Roman" w:hAnsi="Times New Roman" w:cs="Times New Roman"/>
              </w:rPr>
              <w:t>2.56 (0.56–7.00)</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14243692">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14771A2C">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single" w:color="auto" w:sz="4" w:space="0"/>
              <w:left w:val="nil"/>
              <w:bottom w:val="nil"/>
              <w:right w:val="nil"/>
            </w:tcBorders>
            <w:noWrap w:val="0"/>
            <w:tcMar>
              <w:top w:w="-1" w:type="dxa"/>
              <w:left w:w="-1" w:type="dxa"/>
              <w:bottom w:w="-1" w:type="dxa"/>
              <w:right w:w="-1" w:type="dxa"/>
            </w:tcMar>
            <w:vAlign w:val="top"/>
          </w:tcPr>
          <w:p w14:paraId="49828E33">
            <w:pPr>
              <w:jc w:val="center"/>
              <w:rPr>
                <w:rFonts w:hint="default" w:ascii="Times New Roman" w:hAnsi="Times New Roman" w:cs="Times New Roman"/>
              </w:rPr>
            </w:pPr>
            <w:r>
              <w:rPr>
                <w:rFonts w:hint="default" w:ascii="Times New Roman" w:hAnsi="Times New Roman" w:cs="Times New Roman"/>
              </w:rPr>
              <w:t>Yes</w:t>
            </w:r>
          </w:p>
        </w:tc>
      </w:tr>
      <w:tr w14:paraId="642828C8">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42E8BA93">
            <w:pPr>
              <w:rPr>
                <w:rFonts w:hint="default" w:ascii="Times New Roman" w:hAnsi="Times New Roman" w:cs="Times New Roman"/>
              </w:rPr>
            </w:pPr>
            <w:r>
              <w:rPr>
                <w:rFonts w:hint="default" w:ascii="Times New Roman" w:hAnsi="Times New Roman" w:cs="Times New Roman"/>
              </w:rPr>
              <w:t>IL6</w:t>
            </w:r>
          </w:p>
        </w:tc>
        <w:tc>
          <w:tcPr>
            <w:tcW w:w="1080" w:type="dxa"/>
            <w:tcBorders>
              <w:top w:val="nil"/>
              <w:left w:val="nil"/>
              <w:bottom w:val="nil"/>
              <w:right w:val="nil"/>
            </w:tcBorders>
            <w:noWrap w:val="0"/>
            <w:tcMar>
              <w:top w:w="-1" w:type="dxa"/>
              <w:left w:w="-1" w:type="dxa"/>
              <w:bottom w:w="-1" w:type="dxa"/>
              <w:right w:w="-1" w:type="dxa"/>
            </w:tcMar>
            <w:vAlign w:val="top"/>
          </w:tcPr>
          <w:p w14:paraId="6024A0A2">
            <w:pPr>
              <w:jc w:val="center"/>
              <w:rPr>
                <w:rFonts w:hint="default" w:ascii="Times New Roman" w:hAnsi="Times New Roman" w:cs="Times New Roman"/>
              </w:rPr>
            </w:pPr>
            <w:r>
              <w:rPr>
                <w:rFonts w:hint="default" w:ascii="Times New Roman" w:hAnsi="Times New Roman" w:cs="Times New Roman"/>
              </w:rPr>
              <w:t>75</w:t>
            </w:r>
          </w:p>
        </w:tc>
        <w:tc>
          <w:tcPr>
            <w:tcW w:w="1080" w:type="dxa"/>
            <w:tcBorders>
              <w:top w:val="nil"/>
              <w:left w:val="nil"/>
              <w:bottom w:val="nil"/>
              <w:right w:val="nil"/>
            </w:tcBorders>
            <w:noWrap w:val="0"/>
            <w:tcMar>
              <w:top w:w="-1" w:type="dxa"/>
              <w:left w:w="-1" w:type="dxa"/>
              <w:bottom w:w="-1" w:type="dxa"/>
              <w:right w:w="-1" w:type="dxa"/>
            </w:tcMar>
            <w:vAlign w:val="top"/>
          </w:tcPr>
          <w:p w14:paraId="79AED809">
            <w:pPr>
              <w:jc w:val="center"/>
              <w:rPr>
                <w:rFonts w:hint="default" w:ascii="Times New Roman" w:hAnsi="Times New Roman" w:cs="Times New Roman"/>
              </w:rPr>
            </w:pPr>
            <w:r>
              <w:rPr>
                <w:rFonts w:hint="default" w:ascii="Times New Roman" w:hAnsi="Times New Roman" w:cs="Times New Roman"/>
              </w:rPr>
              <w:t>56</w:t>
            </w:r>
          </w:p>
        </w:tc>
        <w:tc>
          <w:tcPr>
            <w:tcW w:w="1080" w:type="dxa"/>
            <w:tcBorders>
              <w:top w:val="nil"/>
              <w:left w:val="nil"/>
              <w:bottom w:val="nil"/>
              <w:right w:val="nil"/>
            </w:tcBorders>
            <w:noWrap w:val="0"/>
            <w:tcMar>
              <w:top w:w="-1" w:type="dxa"/>
              <w:left w:w="-1" w:type="dxa"/>
              <w:bottom w:w="-1" w:type="dxa"/>
              <w:right w:w="-1" w:type="dxa"/>
            </w:tcMar>
            <w:vAlign w:val="top"/>
          </w:tcPr>
          <w:p w14:paraId="68377627">
            <w:pPr>
              <w:jc w:val="center"/>
              <w:rPr>
                <w:rFonts w:hint="default" w:ascii="Times New Roman" w:hAnsi="Times New Roman" w:cs="Times New Roman"/>
              </w:rPr>
            </w:pPr>
            <w:r>
              <w:rPr>
                <w:rFonts w:hint="default" w:ascii="Times New Roman" w:hAnsi="Times New Roman" w:cs="Times New Roman"/>
              </w:rPr>
              <w:t>91.30 (14.70–404.00)</w:t>
            </w:r>
          </w:p>
        </w:tc>
        <w:tc>
          <w:tcPr>
            <w:tcW w:w="1080" w:type="dxa"/>
            <w:tcBorders>
              <w:top w:val="nil"/>
              <w:left w:val="nil"/>
              <w:bottom w:val="nil"/>
              <w:right w:val="nil"/>
            </w:tcBorders>
            <w:noWrap w:val="0"/>
            <w:tcMar>
              <w:top w:w="-1" w:type="dxa"/>
              <w:left w:w="-1" w:type="dxa"/>
              <w:bottom w:w="-1" w:type="dxa"/>
              <w:right w:w="-1" w:type="dxa"/>
            </w:tcMar>
            <w:vAlign w:val="top"/>
          </w:tcPr>
          <w:p w14:paraId="00C0A245">
            <w:pPr>
              <w:jc w:val="center"/>
              <w:rPr>
                <w:rFonts w:hint="default" w:ascii="Times New Roman" w:hAnsi="Times New Roman" w:cs="Times New Roman"/>
              </w:rPr>
            </w:pPr>
            <w:r>
              <w:rPr>
                <w:rFonts w:hint="default" w:ascii="Times New Roman" w:hAnsi="Times New Roman" w:cs="Times New Roman"/>
              </w:rPr>
              <w:t>7.10 (4.65–12.22)</w:t>
            </w:r>
          </w:p>
        </w:tc>
        <w:tc>
          <w:tcPr>
            <w:tcW w:w="1080" w:type="dxa"/>
            <w:tcBorders>
              <w:top w:val="nil"/>
              <w:left w:val="nil"/>
              <w:bottom w:val="nil"/>
              <w:right w:val="nil"/>
            </w:tcBorders>
            <w:noWrap w:val="0"/>
            <w:tcMar>
              <w:top w:w="-1" w:type="dxa"/>
              <w:left w:w="-1" w:type="dxa"/>
              <w:bottom w:w="-1" w:type="dxa"/>
              <w:right w:w="-1" w:type="dxa"/>
            </w:tcMar>
            <w:vAlign w:val="top"/>
          </w:tcPr>
          <w:p w14:paraId="185AC57B">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092E758A">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67F7E2A6">
            <w:pPr>
              <w:jc w:val="center"/>
              <w:rPr>
                <w:rFonts w:hint="default" w:ascii="Times New Roman" w:hAnsi="Times New Roman" w:cs="Times New Roman"/>
              </w:rPr>
            </w:pPr>
            <w:r>
              <w:rPr>
                <w:rFonts w:hint="default" w:ascii="Times New Roman" w:hAnsi="Times New Roman" w:cs="Times New Roman"/>
              </w:rPr>
              <w:t>Yes</w:t>
            </w:r>
          </w:p>
        </w:tc>
      </w:tr>
      <w:tr w14:paraId="36498B5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B51B8B2">
            <w:pPr>
              <w:rPr>
                <w:rFonts w:hint="default" w:ascii="Times New Roman" w:hAnsi="Times New Roman" w:cs="Times New Roman"/>
              </w:rPr>
            </w:pPr>
            <w:r>
              <w:rPr>
                <w:rFonts w:hint="default" w:ascii="Times New Roman" w:hAnsi="Times New Roman" w:cs="Times New Roman"/>
              </w:rPr>
              <w:t>PCT</w:t>
            </w:r>
          </w:p>
        </w:tc>
        <w:tc>
          <w:tcPr>
            <w:tcW w:w="1080" w:type="dxa"/>
            <w:tcBorders>
              <w:top w:val="nil"/>
              <w:left w:val="nil"/>
              <w:bottom w:val="nil"/>
              <w:right w:val="nil"/>
            </w:tcBorders>
            <w:noWrap w:val="0"/>
            <w:tcMar>
              <w:top w:w="-1" w:type="dxa"/>
              <w:left w:w="-1" w:type="dxa"/>
              <w:bottom w:w="-1" w:type="dxa"/>
              <w:right w:w="-1" w:type="dxa"/>
            </w:tcMar>
            <w:vAlign w:val="top"/>
          </w:tcPr>
          <w:p w14:paraId="2E6DF2E3">
            <w:pPr>
              <w:jc w:val="center"/>
              <w:rPr>
                <w:rFonts w:hint="default" w:ascii="Times New Roman" w:hAnsi="Times New Roman" w:cs="Times New Roman"/>
              </w:rPr>
            </w:pPr>
            <w:r>
              <w:rPr>
                <w:rFonts w:hint="default" w:ascii="Times New Roman" w:hAnsi="Times New Roman" w:cs="Times New Roman"/>
              </w:rPr>
              <w:t>75</w:t>
            </w:r>
          </w:p>
        </w:tc>
        <w:tc>
          <w:tcPr>
            <w:tcW w:w="1080" w:type="dxa"/>
            <w:tcBorders>
              <w:top w:val="nil"/>
              <w:left w:val="nil"/>
              <w:bottom w:val="nil"/>
              <w:right w:val="nil"/>
            </w:tcBorders>
            <w:noWrap w:val="0"/>
            <w:tcMar>
              <w:top w:w="-1" w:type="dxa"/>
              <w:left w:w="-1" w:type="dxa"/>
              <w:bottom w:w="-1" w:type="dxa"/>
              <w:right w:w="-1" w:type="dxa"/>
            </w:tcMar>
            <w:vAlign w:val="top"/>
          </w:tcPr>
          <w:p w14:paraId="3BCDA21A">
            <w:pPr>
              <w:jc w:val="center"/>
              <w:rPr>
                <w:rFonts w:hint="default" w:ascii="Times New Roman" w:hAnsi="Times New Roman" w:cs="Times New Roman"/>
              </w:rPr>
            </w:pPr>
            <w:r>
              <w:rPr>
                <w:rFonts w:hint="default" w:ascii="Times New Roman" w:hAnsi="Times New Roman" w:cs="Times New Roman"/>
              </w:rPr>
              <w:t>56</w:t>
            </w:r>
          </w:p>
        </w:tc>
        <w:tc>
          <w:tcPr>
            <w:tcW w:w="1080" w:type="dxa"/>
            <w:tcBorders>
              <w:top w:val="nil"/>
              <w:left w:val="nil"/>
              <w:bottom w:val="nil"/>
              <w:right w:val="nil"/>
            </w:tcBorders>
            <w:noWrap w:val="0"/>
            <w:tcMar>
              <w:top w:w="-1" w:type="dxa"/>
              <w:left w:w="-1" w:type="dxa"/>
              <w:bottom w:w="-1" w:type="dxa"/>
              <w:right w:w="-1" w:type="dxa"/>
            </w:tcMar>
            <w:vAlign w:val="top"/>
          </w:tcPr>
          <w:p w14:paraId="4CE2C6F7">
            <w:pPr>
              <w:jc w:val="center"/>
              <w:rPr>
                <w:rFonts w:hint="default" w:ascii="Times New Roman" w:hAnsi="Times New Roman" w:cs="Times New Roman"/>
              </w:rPr>
            </w:pPr>
            <w:r>
              <w:rPr>
                <w:rFonts w:hint="default" w:ascii="Times New Roman" w:hAnsi="Times New Roman" w:cs="Times New Roman"/>
              </w:rPr>
              <w:t>1.47 (0.50–7.04)</w:t>
            </w:r>
          </w:p>
        </w:tc>
        <w:tc>
          <w:tcPr>
            <w:tcW w:w="1080" w:type="dxa"/>
            <w:tcBorders>
              <w:top w:val="nil"/>
              <w:left w:val="nil"/>
              <w:bottom w:val="nil"/>
              <w:right w:val="nil"/>
            </w:tcBorders>
            <w:noWrap w:val="0"/>
            <w:tcMar>
              <w:top w:w="-1" w:type="dxa"/>
              <w:left w:w="-1" w:type="dxa"/>
              <w:bottom w:w="-1" w:type="dxa"/>
              <w:right w:w="-1" w:type="dxa"/>
            </w:tcMar>
            <w:vAlign w:val="top"/>
          </w:tcPr>
          <w:p w14:paraId="01EC3638">
            <w:pPr>
              <w:jc w:val="center"/>
              <w:rPr>
                <w:rFonts w:hint="default" w:ascii="Times New Roman" w:hAnsi="Times New Roman" w:cs="Times New Roman"/>
              </w:rPr>
            </w:pPr>
            <w:r>
              <w:rPr>
                <w:rFonts w:hint="default" w:ascii="Times New Roman" w:hAnsi="Times New Roman" w:cs="Times New Roman"/>
              </w:rPr>
              <w:t>0.26 (0.16–0.43)</w:t>
            </w:r>
          </w:p>
        </w:tc>
        <w:tc>
          <w:tcPr>
            <w:tcW w:w="1080" w:type="dxa"/>
            <w:tcBorders>
              <w:top w:val="nil"/>
              <w:left w:val="nil"/>
              <w:bottom w:val="nil"/>
              <w:right w:val="nil"/>
            </w:tcBorders>
            <w:noWrap w:val="0"/>
            <w:tcMar>
              <w:top w:w="-1" w:type="dxa"/>
              <w:left w:w="-1" w:type="dxa"/>
              <w:bottom w:w="-1" w:type="dxa"/>
              <w:right w:w="-1" w:type="dxa"/>
            </w:tcMar>
            <w:vAlign w:val="top"/>
          </w:tcPr>
          <w:p w14:paraId="49C93E9C">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4CC2B5C2">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405F1A83">
            <w:pPr>
              <w:jc w:val="center"/>
              <w:rPr>
                <w:rFonts w:hint="default" w:ascii="Times New Roman" w:hAnsi="Times New Roman" w:cs="Times New Roman"/>
              </w:rPr>
            </w:pPr>
            <w:r>
              <w:rPr>
                <w:rFonts w:hint="default" w:ascii="Times New Roman" w:hAnsi="Times New Roman" w:cs="Times New Roman"/>
              </w:rPr>
              <w:t>Yes</w:t>
            </w:r>
          </w:p>
        </w:tc>
      </w:tr>
      <w:tr w14:paraId="12F95AC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D4DDB57">
            <w:pPr>
              <w:rPr>
                <w:rFonts w:hint="default" w:ascii="Times New Roman" w:hAnsi="Times New Roman" w:cs="Times New Roman"/>
              </w:rPr>
            </w:pPr>
            <w:r>
              <w:rPr>
                <w:rFonts w:hint="default" w:ascii="Times New Roman" w:hAnsi="Times New Roman" w:cs="Times New Roman"/>
              </w:rPr>
              <w:t>neutrophil_pct</w:t>
            </w:r>
          </w:p>
        </w:tc>
        <w:tc>
          <w:tcPr>
            <w:tcW w:w="1080" w:type="dxa"/>
            <w:tcBorders>
              <w:top w:val="nil"/>
              <w:left w:val="nil"/>
              <w:bottom w:val="nil"/>
              <w:right w:val="nil"/>
            </w:tcBorders>
            <w:noWrap w:val="0"/>
            <w:tcMar>
              <w:top w:w="-1" w:type="dxa"/>
              <w:left w:w="-1" w:type="dxa"/>
              <w:bottom w:w="-1" w:type="dxa"/>
              <w:right w:w="-1" w:type="dxa"/>
            </w:tcMar>
            <w:vAlign w:val="top"/>
          </w:tcPr>
          <w:p w14:paraId="20F83BF6">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51F4B0F6">
            <w:pPr>
              <w:jc w:val="center"/>
              <w:rPr>
                <w:rFonts w:hint="default" w:ascii="Times New Roman" w:hAnsi="Times New Roman" w:cs="Times New Roman"/>
              </w:rPr>
            </w:pPr>
            <w:r>
              <w:rPr>
                <w:rFonts w:hint="default" w:ascii="Times New Roman" w:hAnsi="Times New Roman" w:cs="Times New Roman"/>
              </w:rPr>
              <w:t>77</w:t>
            </w:r>
          </w:p>
        </w:tc>
        <w:tc>
          <w:tcPr>
            <w:tcW w:w="1080" w:type="dxa"/>
            <w:tcBorders>
              <w:top w:val="nil"/>
              <w:left w:val="nil"/>
              <w:bottom w:val="nil"/>
              <w:right w:val="nil"/>
            </w:tcBorders>
            <w:noWrap w:val="0"/>
            <w:tcMar>
              <w:top w:w="-1" w:type="dxa"/>
              <w:left w:w="-1" w:type="dxa"/>
              <w:bottom w:w="-1" w:type="dxa"/>
              <w:right w:w="-1" w:type="dxa"/>
            </w:tcMar>
            <w:vAlign w:val="top"/>
          </w:tcPr>
          <w:p w14:paraId="157F99A3">
            <w:pPr>
              <w:jc w:val="center"/>
              <w:rPr>
                <w:rFonts w:hint="default" w:ascii="Times New Roman" w:hAnsi="Times New Roman" w:cs="Times New Roman"/>
              </w:rPr>
            </w:pPr>
            <w:r>
              <w:rPr>
                <w:rFonts w:hint="default" w:ascii="Times New Roman" w:hAnsi="Times New Roman" w:cs="Times New Roman"/>
              </w:rPr>
              <w:t>82.10 (72.50–87.80)</w:t>
            </w:r>
          </w:p>
        </w:tc>
        <w:tc>
          <w:tcPr>
            <w:tcW w:w="1080" w:type="dxa"/>
            <w:tcBorders>
              <w:top w:val="nil"/>
              <w:left w:val="nil"/>
              <w:bottom w:val="nil"/>
              <w:right w:val="nil"/>
            </w:tcBorders>
            <w:noWrap w:val="0"/>
            <w:tcMar>
              <w:top w:w="-1" w:type="dxa"/>
              <w:left w:w="-1" w:type="dxa"/>
              <w:bottom w:w="-1" w:type="dxa"/>
              <w:right w:w="-1" w:type="dxa"/>
            </w:tcMar>
            <w:vAlign w:val="top"/>
          </w:tcPr>
          <w:p w14:paraId="4A1FC495">
            <w:pPr>
              <w:jc w:val="center"/>
              <w:rPr>
                <w:rFonts w:hint="default" w:ascii="Times New Roman" w:hAnsi="Times New Roman" w:cs="Times New Roman"/>
              </w:rPr>
            </w:pPr>
            <w:r>
              <w:rPr>
                <w:rFonts w:hint="default" w:ascii="Times New Roman" w:hAnsi="Times New Roman" w:cs="Times New Roman"/>
              </w:rPr>
              <w:t>68.53 ± 9.23</w:t>
            </w:r>
          </w:p>
        </w:tc>
        <w:tc>
          <w:tcPr>
            <w:tcW w:w="1080" w:type="dxa"/>
            <w:tcBorders>
              <w:top w:val="nil"/>
              <w:left w:val="nil"/>
              <w:bottom w:val="nil"/>
              <w:right w:val="nil"/>
            </w:tcBorders>
            <w:noWrap w:val="0"/>
            <w:tcMar>
              <w:top w:w="-1" w:type="dxa"/>
              <w:left w:w="-1" w:type="dxa"/>
              <w:bottom w:w="-1" w:type="dxa"/>
              <w:right w:w="-1" w:type="dxa"/>
            </w:tcMar>
            <w:vAlign w:val="top"/>
          </w:tcPr>
          <w:p w14:paraId="04B63AEA">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1E81BA16">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499AF6F4">
            <w:pPr>
              <w:jc w:val="center"/>
              <w:rPr>
                <w:rFonts w:hint="default" w:ascii="Times New Roman" w:hAnsi="Times New Roman" w:cs="Times New Roman"/>
              </w:rPr>
            </w:pPr>
            <w:r>
              <w:rPr>
                <w:rFonts w:hint="default" w:ascii="Times New Roman" w:hAnsi="Times New Roman" w:cs="Times New Roman"/>
              </w:rPr>
              <w:t>Yes</w:t>
            </w:r>
          </w:p>
        </w:tc>
      </w:tr>
      <w:tr w14:paraId="6E1B5BD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262EEFF">
            <w:pPr>
              <w:rPr>
                <w:rFonts w:hint="default" w:ascii="Times New Roman" w:hAnsi="Times New Roman" w:cs="Times New Roman"/>
              </w:rPr>
            </w:pPr>
            <w:r>
              <w:rPr>
                <w:rFonts w:hint="default" w:ascii="Times New Roman" w:hAnsi="Times New Roman" w:cs="Times New Roman"/>
              </w:rPr>
              <w:t>iron</w:t>
            </w:r>
          </w:p>
        </w:tc>
        <w:tc>
          <w:tcPr>
            <w:tcW w:w="1080" w:type="dxa"/>
            <w:tcBorders>
              <w:top w:val="nil"/>
              <w:left w:val="nil"/>
              <w:bottom w:val="nil"/>
              <w:right w:val="nil"/>
            </w:tcBorders>
            <w:noWrap w:val="0"/>
            <w:tcMar>
              <w:top w:w="-1" w:type="dxa"/>
              <w:left w:w="-1" w:type="dxa"/>
              <w:bottom w:w="-1" w:type="dxa"/>
              <w:right w:w="-1" w:type="dxa"/>
            </w:tcMar>
            <w:vAlign w:val="top"/>
          </w:tcPr>
          <w:p w14:paraId="0A5F65EC">
            <w:pPr>
              <w:jc w:val="center"/>
              <w:rPr>
                <w:rFonts w:hint="default" w:ascii="Times New Roman" w:hAnsi="Times New Roman" w:cs="Times New Roman"/>
              </w:rPr>
            </w:pPr>
            <w:r>
              <w:rPr>
                <w:rFonts w:hint="default" w:ascii="Times New Roman" w:hAnsi="Times New Roman" w:cs="Times New Roman"/>
              </w:rPr>
              <w:t>60</w:t>
            </w:r>
          </w:p>
        </w:tc>
        <w:tc>
          <w:tcPr>
            <w:tcW w:w="1080" w:type="dxa"/>
            <w:tcBorders>
              <w:top w:val="nil"/>
              <w:left w:val="nil"/>
              <w:bottom w:val="nil"/>
              <w:right w:val="nil"/>
            </w:tcBorders>
            <w:noWrap w:val="0"/>
            <w:tcMar>
              <w:top w:w="-1" w:type="dxa"/>
              <w:left w:w="-1" w:type="dxa"/>
              <w:bottom w:w="-1" w:type="dxa"/>
              <w:right w:w="-1" w:type="dxa"/>
            </w:tcMar>
            <w:vAlign w:val="top"/>
          </w:tcPr>
          <w:p w14:paraId="7F23B8DC">
            <w:pPr>
              <w:jc w:val="center"/>
              <w:rPr>
                <w:rFonts w:hint="default" w:ascii="Times New Roman" w:hAnsi="Times New Roman" w:cs="Times New Roman"/>
              </w:rPr>
            </w:pPr>
            <w:r>
              <w:rPr>
                <w:rFonts w:hint="default" w:ascii="Times New Roman" w:hAnsi="Times New Roman" w:cs="Times New Roman"/>
              </w:rPr>
              <w:t>73</w:t>
            </w:r>
          </w:p>
        </w:tc>
        <w:tc>
          <w:tcPr>
            <w:tcW w:w="1080" w:type="dxa"/>
            <w:tcBorders>
              <w:top w:val="nil"/>
              <w:left w:val="nil"/>
              <w:bottom w:val="nil"/>
              <w:right w:val="nil"/>
            </w:tcBorders>
            <w:noWrap w:val="0"/>
            <w:tcMar>
              <w:top w:w="-1" w:type="dxa"/>
              <w:left w:w="-1" w:type="dxa"/>
              <w:bottom w:w="-1" w:type="dxa"/>
              <w:right w:w="-1" w:type="dxa"/>
            </w:tcMar>
            <w:vAlign w:val="top"/>
          </w:tcPr>
          <w:p w14:paraId="08F6D084">
            <w:pPr>
              <w:jc w:val="center"/>
              <w:rPr>
                <w:rFonts w:hint="default" w:ascii="Times New Roman" w:hAnsi="Times New Roman" w:cs="Times New Roman"/>
              </w:rPr>
            </w:pPr>
            <w:r>
              <w:rPr>
                <w:rFonts w:hint="default" w:ascii="Times New Roman" w:hAnsi="Times New Roman" w:cs="Times New Roman"/>
              </w:rPr>
              <w:t>7.22 (4.73–10.42)</w:t>
            </w:r>
          </w:p>
        </w:tc>
        <w:tc>
          <w:tcPr>
            <w:tcW w:w="1080" w:type="dxa"/>
            <w:tcBorders>
              <w:top w:val="nil"/>
              <w:left w:val="nil"/>
              <w:bottom w:val="nil"/>
              <w:right w:val="nil"/>
            </w:tcBorders>
            <w:noWrap w:val="0"/>
            <w:tcMar>
              <w:top w:w="-1" w:type="dxa"/>
              <w:left w:w="-1" w:type="dxa"/>
              <w:bottom w:w="-1" w:type="dxa"/>
              <w:right w:w="-1" w:type="dxa"/>
            </w:tcMar>
            <w:vAlign w:val="top"/>
          </w:tcPr>
          <w:p w14:paraId="1B44DDEF">
            <w:pPr>
              <w:jc w:val="center"/>
              <w:rPr>
                <w:rFonts w:hint="default" w:ascii="Times New Roman" w:hAnsi="Times New Roman" w:cs="Times New Roman"/>
              </w:rPr>
            </w:pPr>
            <w:r>
              <w:rPr>
                <w:rFonts w:hint="default" w:ascii="Times New Roman" w:hAnsi="Times New Roman" w:cs="Times New Roman"/>
              </w:rPr>
              <w:t>13.07 (10.18–16.30)</w:t>
            </w:r>
          </w:p>
        </w:tc>
        <w:tc>
          <w:tcPr>
            <w:tcW w:w="1080" w:type="dxa"/>
            <w:tcBorders>
              <w:top w:val="nil"/>
              <w:left w:val="nil"/>
              <w:bottom w:val="nil"/>
              <w:right w:val="nil"/>
            </w:tcBorders>
            <w:noWrap w:val="0"/>
            <w:tcMar>
              <w:top w:w="-1" w:type="dxa"/>
              <w:left w:w="-1" w:type="dxa"/>
              <w:bottom w:w="-1" w:type="dxa"/>
              <w:right w:w="-1" w:type="dxa"/>
            </w:tcMar>
            <w:vAlign w:val="top"/>
          </w:tcPr>
          <w:p w14:paraId="784F019C">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67D78141">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66DE90AC">
            <w:pPr>
              <w:jc w:val="center"/>
              <w:rPr>
                <w:rFonts w:hint="default" w:ascii="Times New Roman" w:hAnsi="Times New Roman" w:cs="Times New Roman"/>
              </w:rPr>
            </w:pPr>
            <w:r>
              <w:rPr>
                <w:rFonts w:hint="default" w:ascii="Times New Roman" w:hAnsi="Times New Roman" w:cs="Times New Roman"/>
              </w:rPr>
              <w:t>Yes</w:t>
            </w:r>
          </w:p>
        </w:tc>
      </w:tr>
      <w:tr w14:paraId="1B7CE15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BCDD0EB">
            <w:pPr>
              <w:rPr>
                <w:rFonts w:hint="default" w:ascii="Times New Roman" w:hAnsi="Times New Roman" w:cs="Times New Roman"/>
              </w:rPr>
            </w:pPr>
            <w:r>
              <w:rPr>
                <w:rFonts w:hint="default" w:ascii="Times New Roman" w:hAnsi="Times New Roman" w:cs="Times New Roman"/>
              </w:rPr>
              <w:t>eosinophil_pct</w:t>
            </w:r>
          </w:p>
        </w:tc>
        <w:tc>
          <w:tcPr>
            <w:tcW w:w="1080" w:type="dxa"/>
            <w:tcBorders>
              <w:top w:val="nil"/>
              <w:left w:val="nil"/>
              <w:bottom w:val="nil"/>
              <w:right w:val="nil"/>
            </w:tcBorders>
            <w:noWrap w:val="0"/>
            <w:tcMar>
              <w:top w:w="-1" w:type="dxa"/>
              <w:left w:w="-1" w:type="dxa"/>
              <w:bottom w:w="-1" w:type="dxa"/>
              <w:right w:w="-1" w:type="dxa"/>
            </w:tcMar>
            <w:vAlign w:val="top"/>
          </w:tcPr>
          <w:p w14:paraId="49C3F4AE">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3F5DD919">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2BF767D4">
            <w:pPr>
              <w:jc w:val="center"/>
              <w:rPr>
                <w:rFonts w:hint="default" w:ascii="Times New Roman" w:hAnsi="Times New Roman" w:cs="Times New Roman"/>
              </w:rPr>
            </w:pPr>
            <w:r>
              <w:rPr>
                <w:rFonts w:hint="default" w:ascii="Times New Roman" w:hAnsi="Times New Roman" w:cs="Times New Roman"/>
              </w:rPr>
              <w:t>0.60 (0.10–2.15)</w:t>
            </w:r>
          </w:p>
        </w:tc>
        <w:tc>
          <w:tcPr>
            <w:tcW w:w="1080" w:type="dxa"/>
            <w:tcBorders>
              <w:top w:val="nil"/>
              <w:left w:val="nil"/>
              <w:bottom w:val="nil"/>
              <w:right w:val="nil"/>
            </w:tcBorders>
            <w:noWrap w:val="0"/>
            <w:tcMar>
              <w:top w:w="-1" w:type="dxa"/>
              <w:left w:w="-1" w:type="dxa"/>
              <w:bottom w:w="-1" w:type="dxa"/>
              <w:right w:w="-1" w:type="dxa"/>
            </w:tcMar>
            <w:vAlign w:val="top"/>
          </w:tcPr>
          <w:p w14:paraId="4AC3CB66">
            <w:pPr>
              <w:jc w:val="center"/>
              <w:rPr>
                <w:rFonts w:hint="default" w:ascii="Times New Roman" w:hAnsi="Times New Roman" w:cs="Times New Roman"/>
              </w:rPr>
            </w:pPr>
            <w:r>
              <w:rPr>
                <w:rFonts w:hint="default" w:ascii="Times New Roman" w:hAnsi="Times New Roman" w:cs="Times New Roman"/>
              </w:rPr>
              <w:t>2.70 (1.50–4.93)</w:t>
            </w:r>
          </w:p>
        </w:tc>
        <w:tc>
          <w:tcPr>
            <w:tcW w:w="1080" w:type="dxa"/>
            <w:tcBorders>
              <w:top w:val="nil"/>
              <w:left w:val="nil"/>
              <w:bottom w:val="nil"/>
              <w:right w:val="nil"/>
            </w:tcBorders>
            <w:noWrap w:val="0"/>
            <w:tcMar>
              <w:top w:w="-1" w:type="dxa"/>
              <w:left w:w="-1" w:type="dxa"/>
              <w:bottom w:w="-1" w:type="dxa"/>
              <w:right w:w="-1" w:type="dxa"/>
            </w:tcMar>
            <w:vAlign w:val="top"/>
          </w:tcPr>
          <w:p w14:paraId="4082A22B">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10245E84">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79E64E4D">
            <w:pPr>
              <w:jc w:val="center"/>
              <w:rPr>
                <w:rFonts w:hint="default" w:ascii="Times New Roman" w:hAnsi="Times New Roman" w:cs="Times New Roman"/>
              </w:rPr>
            </w:pPr>
            <w:r>
              <w:rPr>
                <w:rFonts w:hint="default" w:ascii="Times New Roman" w:hAnsi="Times New Roman" w:cs="Times New Roman"/>
              </w:rPr>
              <w:t>Yes</w:t>
            </w:r>
          </w:p>
        </w:tc>
      </w:tr>
      <w:tr w14:paraId="054EF19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4953E8B">
            <w:pPr>
              <w:rPr>
                <w:rFonts w:hint="default" w:ascii="Times New Roman" w:hAnsi="Times New Roman" w:cs="Times New Roman"/>
              </w:rPr>
            </w:pPr>
            <w:r>
              <w:rPr>
                <w:rFonts w:hint="default" w:ascii="Times New Roman" w:hAnsi="Times New Roman" w:cs="Times New Roman"/>
              </w:rPr>
              <w:t>WBC</w:t>
            </w:r>
          </w:p>
        </w:tc>
        <w:tc>
          <w:tcPr>
            <w:tcW w:w="1080" w:type="dxa"/>
            <w:tcBorders>
              <w:top w:val="nil"/>
              <w:left w:val="nil"/>
              <w:bottom w:val="nil"/>
              <w:right w:val="nil"/>
            </w:tcBorders>
            <w:noWrap w:val="0"/>
            <w:tcMar>
              <w:top w:w="-1" w:type="dxa"/>
              <w:left w:w="-1" w:type="dxa"/>
              <w:bottom w:w="-1" w:type="dxa"/>
              <w:right w:w="-1" w:type="dxa"/>
            </w:tcMar>
            <w:vAlign w:val="top"/>
          </w:tcPr>
          <w:p w14:paraId="20BB1C70">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78B58F4E">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7B403AD0">
            <w:pPr>
              <w:jc w:val="center"/>
              <w:rPr>
                <w:rFonts w:hint="default" w:ascii="Times New Roman" w:hAnsi="Times New Roman" w:cs="Times New Roman"/>
              </w:rPr>
            </w:pPr>
            <w:r>
              <w:rPr>
                <w:rFonts w:hint="default" w:ascii="Times New Roman" w:hAnsi="Times New Roman" w:cs="Times New Roman"/>
              </w:rPr>
              <w:t>8.88 (6.67–13.20)</w:t>
            </w:r>
          </w:p>
        </w:tc>
        <w:tc>
          <w:tcPr>
            <w:tcW w:w="1080" w:type="dxa"/>
            <w:tcBorders>
              <w:top w:val="nil"/>
              <w:left w:val="nil"/>
              <w:bottom w:val="nil"/>
              <w:right w:val="nil"/>
            </w:tcBorders>
            <w:noWrap w:val="0"/>
            <w:tcMar>
              <w:top w:w="-1" w:type="dxa"/>
              <w:left w:w="-1" w:type="dxa"/>
              <w:bottom w:w="-1" w:type="dxa"/>
              <w:right w:w="-1" w:type="dxa"/>
            </w:tcMar>
            <w:vAlign w:val="top"/>
          </w:tcPr>
          <w:p w14:paraId="3AA06A74">
            <w:pPr>
              <w:jc w:val="center"/>
              <w:rPr>
                <w:rFonts w:hint="default" w:ascii="Times New Roman" w:hAnsi="Times New Roman" w:cs="Times New Roman"/>
              </w:rPr>
            </w:pPr>
            <w:r>
              <w:rPr>
                <w:rFonts w:hint="default" w:ascii="Times New Roman" w:hAnsi="Times New Roman" w:cs="Times New Roman"/>
              </w:rPr>
              <w:t>6.39 (5.17–7.43)</w:t>
            </w:r>
          </w:p>
        </w:tc>
        <w:tc>
          <w:tcPr>
            <w:tcW w:w="1080" w:type="dxa"/>
            <w:tcBorders>
              <w:top w:val="nil"/>
              <w:left w:val="nil"/>
              <w:bottom w:val="nil"/>
              <w:right w:val="nil"/>
            </w:tcBorders>
            <w:noWrap w:val="0"/>
            <w:tcMar>
              <w:top w:w="-1" w:type="dxa"/>
              <w:left w:w="-1" w:type="dxa"/>
              <w:bottom w:w="-1" w:type="dxa"/>
              <w:right w:w="-1" w:type="dxa"/>
            </w:tcMar>
            <w:vAlign w:val="top"/>
          </w:tcPr>
          <w:p w14:paraId="3C1B3C07">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129521FB">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00DC5BCE">
            <w:pPr>
              <w:jc w:val="center"/>
              <w:rPr>
                <w:rFonts w:hint="default" w:ascii="Times New Roman" w:hAnsi="Times New Roman" w:cs="Times New Roman"/>
              </w:rPr>
            </w:pPr>
            <w:r>
              <w:rPr>
                <w:rFonts w:hint="default" w:ascii="Times New Roman" w:hAnsi="Times New Roman" w:cs="Times New Roman"/>
              </w:rPr>
              <w:t>Yes</w:t>
            </w:r>
          </w:p>
        </w:tc>
      </w:tr>
      <w:tr w14:paraId="3A764A6D">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EF96255">
            <w:pPr>
              <w:rPr>
                <w:rFonts w:hint="default" w:ascii="Times New Roman" w:hAnsi="Times New Roman" w:cs="Times New Roman"/>
              </w:rPr>
            </w:pPr>
            <w:r>
              <w:rPr>
                <w:rFonts w:hint="default" w:ascii="Times New Roman" w:hAnsi="Times New Roman" w:cs="Times New Roman"/>
              </w:rPr>
              <w:t>prealbumin</w:t>
            </w:r>
          </w:p>
        </w:tc>
        <w:tc>
          <w:tcPr>
            <w:tcW w:w="1080" w:type="dxa"/>
            <w:tcBorders>
              <w:top w:val="nil"/>
              <w:left w:val="nil"/>
              <w:bottom w:val="nil"/>
              <w:right w:val="nil"/>
            </w:tcBorders>
            <w:noWrap w:val="0"/>
            <w:tcMar>
              <w:top w:w="-1" w:type="dxa"/>
              <w:left w:w="-1" w:type="dxa"/>
              <w:bottom w:w="-1" w:type="dxa"/>
              <w:right w:w="-1" w:type="dxa"/>
            </w:tcMar>
            <w:vAlign w:val="top"/>
          </w:tcPr>
          <w:p w14:paraId="37AEB514">
            <w:pPr>
              <w:jc w:val="center"/>
              <w:rPr>
                <w:rFonts w:hint="default" w:ascii="Times New Roman" w:hAnsi="Times New Roman" w:cs="Times New Roman"/>
              </w:rPr>
            </w:pPr>
            <w:r>
              <w:rPr>
                <w:rFonts w:hint="default" w:ascii="Times New Roman" w:hAnsi="Times New Roman" w:cs="Times New Roman"/>
              </w:rPr>
              <w:t>61</w:t>
            </w:r>
          </w:p>
        </w:tc>
        <w:tc>
          <w:tcPr>
            <w:tcW w:w="1080" w:type="dxa"/>
            <w:tcBorders>
              <w:top w:val="nil"/>
              <w:left w:val="nil"/>
              <w:bottom w:val="nil"/>
              <w:right w:val="nil"/>
            </w:tcBorders>
            <w:noWrap w:val="0"/>
            <w:tcMar>
              <w:top w:w="-1" w:type="dxa"/>
              <w:left w:w="-1" w:type="dxa"/>
              <w:bottom w:w="-1" w:type="dxa"/>
              <w:right w:w="-1" w:type="dxa"/>
            </w:tcMar>
            <w:vAlign w:val="top"/>
          </w:tcPr>
          <w:p w14:paraId="5B7D322F">
            <w:pPr>
              <w:jc w:val="center"/>
              <w:rPr>
                <w:rFonts w:hint="default" w:ascii="Times New Roman" w:hAnsi="Times New Roman" w:cs="Times New Roman"/>
              </w:rPr>
            </w:pPr>
            <w:r>
              <w:rPr>
                <w:rFonts w:hint="default" w:ascii="Times New Roman" w:hAnsi="Times New Roman" w:cs="Times New Roman"/>
              </w:rPr>
              <w:t>62</w:t>
            </w:r>
          </w:p>
        </w:tc>
        <w:tc>
          <w:tcPr>
            <w:tcW w:w="1080" w:type="dxa"/>
            <w:tcBorders>
              <w:top w:val="nil"/>
              <w:left w:val="nil"/>
              <w:bottom w:val="nil"/>
              <w:right w:val="nil"/>
            </w:tcBorders>
            <w:noWrap w:val="0"/>
            <w:tcMar>
              <w:top w:w="-1" w:type="dxa"/>
              <w:left w:w="-1" w:type="dxa"/>
              <w:bottom w:w="-1" w:type="dxa"/>
              <w:right w:w="-1" w:type="dxa"/>
            </w:tcMar>
            <w:vAlign w:val="top"/>
          </w:tcPr>
          <w:p w14:paraId="468BF117">
            <w:pPr>
              <w:jc w:val="center"/>
              <w:rPr>
                <w:rFonts w:hint="default" w:ascii="Times New Roman" w:hAnsi="Times New Roman" w:cs="Times New Roman"/>
              </w:rPr>
            </w:pPr>
            <w:r>
              <w:rPr>
                <w:rFonts w:hint="default" w:ascii="Times New Roman" w:hAnsi="Times New Roman" w:cs="Times New Roman"/>
              </w:rPr>
              <w:t>204.05 ± 72.69</w:t>
            </w:r>
          </w:p>
        </w:tc>
        <w:tc>
          <w:tcPr>
            <w:tcW w:w="1080" w:type="dxa"/>
            <w:tcBorders>
              <w:top w:val="nil"/>
              <w:left w:val="nil"/>
              <w:bottom w:val="nil"/>
              <w:right w:val="nil"/>
            </w:tcBorders>
            <w:noWrap w:val="0"/>
            <w:tcMar>
              <w:top w:w="-1" w:type="dxa"/>
              <w:left w:w="-1" w:type="dxa"/>
              <w:bottom w:w="-1" w:type="dxa"/>
              <w:right w:w="-1" w:type="dxa"/>
            </w:tcMar>
            <w:vAlign w:val="top"/>
          </w:tcPr>
          <w:p w14:paraId="3DFB35CD">
            <w:pPr>
              <w:jc w:val="center"/>
              <w:rPr>
                <w:rFonts w:hint="default" w:ascii="Times New Roman" w:hAnsi="Times New Roman" w:cs="Times New Roman"/>
              </w:rPr>
            </w:pPr>
            <w:r>
              <w:rPr>
                <w:rFonts w:hint="default" w:ascii="Times New Roman" w:hAnsi="Times New Roman" w:cs="Times New Roman"/>
              </w:rPr>
              <w:t>269.00 ± 77.97</w:t>
            </w:r>
          </w:p>
        </w:tc>
        <w:tc>
          <w:tcPr>
            <w:tcW w:w="1080" w:type="dxa"/>
            <w:tcBorders>
              <w:top w:val="nil"/>
              <w:left w:val="nil"/>
              <w:bottom w:val="nil"/>
              <w:right w:val="nil"/>
            </w:tcBorders>
            <w:noWrap w:val="0"/>
            <w:tcMar>
              <w:top w:w="-1" w:type="dxa"/>
              <w:left w:w="-1" w:type="dxa"/>
              <w:bottom w:w="-1" w:type="dxa"/>
              <w:right w:w="-1" w:type="dxa"/>
            </w:tcMar>
            <w:vAlign w:val="top"/>
          </w:tcPr>
          <w:p w14:paraId="10FBFFAB">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2991E397">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4FB99BA6">
            <w:pPr>
              <w:jc w:val="center"/>
              <w:rPr>
                <w:rFonts w:hint="default" w:ascii="Times New Roman" w:hAnsi="Times New Roman" w:cs="Times New Roman"/>
              </w:rPr>
            </w:pPr>
            <w:r>
              <w:rPr>
                <w:rFonts w:hint="default" w:ascii="Times New Roman" w:hAnsi="Times New Roman" w:cs="Times New Roman"/>
              </w:rPr>
              <w:t>Yes</w:t>
            </w:r>
          </w:p>
        </w:tc>
      </w:tr>
      <w:tr w14:paraId="2295A5E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7B1B4332">
            <w:pPr>
              <w:rPr>
                <w:rFonts w:hint="default" w:ascii="Times New Roman" w:hAnsi="Times New Roman" w:cs="Times New Roman"/>
              </w:rPr>
            </w:pPr>
            <w:r>
              <w:rPr>
                <w:rFonts w:hint="default" w:ascii="Times New Roman" w:hAnsi="Times New Roman" w:cs="Times New Roman"/>
              </w:rPr>
              <w:t>magnesium</w:t>
            </w:r>
          </w:p>
        </w:tc>
        <w:tc>
          <w:tcPr>
            <w:tcW w:w="1080" w:type="dxa"/>
            <w:tcBorders>
              <w:top w:val="nil"/>
              <w:left w:val="nil"/>
              <w:bottom w:val="nil"/>
              <w:right w:val="nil"/>
            </w:tcBorders>
            <w:noWrap w:val="0"/>
            <w:tcMar>
              <w:top w:w="-1" w:type="dxa"/>
              <w:left w:w="-1" w:type="dxa"/>
              <w:bottom w:w="-1" w:type="dxa"/>
              <w:right w:w="-1" w:type="dxa"/>
            </w:tcMar>
            <w:vAlign w:val="top"/>
          </w:tcPr>
          <w:p w14:paraId="061FAA99">
            <w:pPr>
              <w:jc w:val="center"/>
              <w:rPr>
                <w:rFonts w:hint="default" w:ascii="Times New Roman" w:hAnsi="Times New Roman" w:cs="Times New Roman"/>
              </w:rPr>
            </w:pPr>
            <w:r>
              <w:rPr>
                <w:rFonts w:hint="default" w:ascii="Times New Roman" w:hAnsi="Times New Roman" w:cs="Times New Roman"/>
              </w:rPr>
              <w:t>60</w:t>
            </w:r>
          </w:p>
        </w:tc>
        <w:tc>
          <w:tcPr>
            <w:tcW w:w="1080" w:type="dxa"/>
            <w:tcBorders>
              <w:top w:val="nil"/>
              <w:left w:val="nil"/>
              <w:bottom w:val="nil"/>
              <w:right w:val="nil"/>
            </w:tcBorders>
            <w:noWrap w:val="0"/>
            <w:tcMar>
              <w:top w:w="-1" w:type="dxa"/>
              <w:left w:w="-1" w:type="dxa"/>
              <w:bottom w:w="-1" w:type="dxa"/>
              <w:right w:w="-1" w:type="dxa"/>
            </w:tcMar>
            <w:vAlign w:val="top"/>
          </w:tcPr>
          <w:p w14:paraId="768BC0BB">
            <w:pPr>
              <w:jc w:val="center"/>
              <w:rPr>
                <w:rFonts w:hint="default" w:ascii="Times New Roman" w:hAnsi="Times New Roman" w:cs="Times New Roman"/>
              </w:rPr>
            </w:pPr>
            <w:r>
              <w:rPr>
                <w:rFonts w:hint="default" w:ascii="Times New Roman" w:hAnsi="Times New Roman" w:cs="Times New Roman"/>
              </w:rPr>
              <w:t>50</w:t>
            </w:r>
          </w:p>
        </w:tc>
        <w:tc>
          <w:tcPr>
            <w:tcW w:w="1080" w:type="dxa"/>
            <w:tcBorders>
              <w:top w:val="nil"/>
              <w:left w:val="nil"/>
              <w:bottom w:val="nil"/>
              <w:right w:val="nil"/>
            </w:tcBorders>
            <w:noWrap w:val="0"/>
            <w:tcMar>
              <w:top w:w="-1" w:type="dxa"/>
              <w:left w:w="-1" w:type="dxa"/>
              <w:bottom w:w="-1" w:type="dxa"/>
              <w:right w:w="-1" w:type="dxa"/>
            </w:tcMar>
            <w:vAlign w:val="top"/>
          </w:tcPr>
          <w:p w14:paraId="3572EA6A">
            <w:pPr>
              <w:jc w:val="center"/>
              <w:rPr>
                <w:rFonts w:hint="default" w:ascii="Times New Roman" w:hAnsi="Times New Roman" w:cs="Times New Roman"/>
              </w:rPr>
            </w:pPr>
            <w:r>
              <w:rPr>
                <w:rFonts w:hint="default" w:ascii="Times New Roman" w:hAnsi="Times New Roman" w:cs="Times New Roman"/>
              </w:rPr>
              <w:t>0.69 ± 0.15</w:t>
            </w:r>
          </w:p>
        </w:tc>
        <w:tc>
          <w:tcPr>
            <w:tcW w:w="1080" w:type="dxa"/>
            <w:tcBorders>
              <w:top w:val="nil"/>
              <w:left w:val="nil"/>
              <w:bottom w:val="nil"/>
              <w:right w:val="nil"/>
            </w:tcBorders>
            <w:noWrap w:val="0"/>
            <w:tcMar>
              <w:top w:w="-1" w:type="dxa"/>
              <w:left w:w="-1" w:type="dxa"/>
              <w:bottom w:w="-1" w:type="dxa"/>
              <w:right w:w="-1" w:type="dxa"/>
            </w:tcMar>
            <w:vAlign w:val="top"/>
          </w:tcPr>
          <w:p w14:paraId="57722F25">
            <w:pPr>
              <w:jc w:val="center"/>
              <w:rPr>
                <w:rFonts w:hint="default" w:ascii="Times New Roman" w:hAnsi="Times New Roman" w:cs="Times New Roman"/>
              </w:rPr>
            </w:pPr>
            <w:r>
              <w:rPr>
                <w:rFonts w:hint="default" w:ascii="Times New Roman" w:hAnsi="Times New Roman" w:cs="Times New Roman"/>
              </w:rPr>
              <w:t>0.83 ± 0.15</w:t>
            </w:r>
          </w:p>
        </w:tc>
        <w:tc>
          <w:tcPr>
            <w:tcW w:w="1080" w:type="dxa"/>
            <w:tcBorders>
              <w:top w:val="nil"/>
              <w:left w:val="nil"/>
              <w:bottom w:val="nil"/>
              <w:right w:val="nil"/>
            </w:tcBorders>
            <w:noWrap w:val="0"/>
            <w:tcMar>
              <w:top w:w="-1" w:type="dxa"/>
              <w:left w:w="-1" w:type="dxa"/>
              <w:bottom w:w="-1" w:type="dxa"/>
              <w:right w:w="-1" w:type="dxa"/>
            </w:tcMar>
            <w:vAlign w:val="top"/>
          </w:tcPr>
          <w:p w14:paraId="685C0D33">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7F1DFCDF">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382669FB">
            <w:pPr>
              <w:jc w:val="center"/>
              <w:rPr>
                <w:rFonts w:hint="default" w:ascii="Times New Roman" w:hAnsi="Times New Roman" w:cs="Times New Roman"/>
              </w:rPr>
            </w:pPr>
            <w:r>
              <w:rPr>
                <w:rFonts w:hint="default" w:ascii="Times New Roman" w:hAnsi="Times New Roman" w:cs="Times New Roman"/>
              </w:rPr>
              <w:t>Yes</w:t>
            </w:r>
          </w:p>
        </w:tc>
      </w:tr>
      <w:tr w14:paraId="6FDABB9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432FFEC">
            <w:pPr>
              <w:rPr>
                <w:rFonts w:hint="default" w:ascii="Times New Roman" w:hAnsi="Times New Roman" w:cs="Times New Roman"/>
              </w:rPr>
            </w:pPr>
            <w:r>
              <w:rPr>
                <w:rFonts w:hint="default" w:ascii="Times New Roman" w:hAnsi="Times New Roman" w:cs="Times New Roman"/>
              </w:rPr>
              <w:t>chloride</w:t>
            </w:r>
          </w:p>
        </w:tc>
        <w:tc>
          <w:tcPr>
            <w:tcW w:w="1080" w:type="dxa"/>
            <w:tcBorders>
              <w:top w:val="nil"/>
              <w:left w:val="nil"/>
              <w:bottom w:val="nil"/>
              <w:right w:val="nil"/>
            </w:tcBorders>
            <w:noWrap w:val="0"/>
            <w:tcMar>
              <w:top w:w="-1" w:type="dxa"/>
              <w:left w:w="-1" w:type="dxa"/>
              <w:bottom w:w="-1" w:type="dxa"/>
              <w:right w:w="-1" w:type="dxa"/>
            </w:tcMar>
            <w:vAlign w:val="top"/>
          </w:tcPr>
          <w:p w14:paraId="1448A7F3">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4B735482">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25B49ADE">
            <w:pPr>
              <w:jc w:val="center"/>
              <w:rPr>
                <w:rFonts w:hint="default" w:ascii="Times New Roman" w:hAnsi="Times New Roman" w:cs="Times New Roman"/>
              </w:rPr>
            </w:pPr>
            <w:r>
              <w:rPr>
                <w:rFonts w:hint="default" w:ascii="Times New Roman" w:hAnsi="Times New Roman" w:cs="Times New Roman"/>
              </w:rPr>
              <w:t>96.90 (93.50–100.90)</w:t>
            </w:r>
          </w:p>
        </w:tc>
        <w:tc>
          <w:tcPr>
            <w:tcW w:w="1080" w:type="dxa"/>
            <w:tcBorders>
              <w:top w:val="nil"/>
              <w:left w:val="nil"/>
              <w:bottom w:val="nil"/>
              <w:right w:val="nil"/>
            </w:tcBorders>
            <w:noWrap w:val="0"/>
            <w:tcMar>
              <w:top w:w="-1" w:type="dxa"/>
              <w:left w:w="-1" w:type="dxa"/>
              <w:bottom w:w="-1" w:type="dxa"/>
              <w:right w:w="-1" w:type="dxa"/>
            </w:tcMar>
            <w:vAlign w:val="top"/>
          </w:tcPr>
          <w:p w14:paraId="670127F0">
            <w:pPr>
              <w:jc w:val="center"/>
              <w:rPr>
                <w:rFonts w:hint="default" w:ascii="Times New Roman" w:hAnsi="Times New Roman" w:cs="Times New Roman"/>
              </w:rPr>
            </w:pPr>
            <w:r>
              <w:rPr>
                <w:rFonts w:hint="default" w:ascii="Times New Roman" w:hAnsi="Times New Roman" w:cs="Times New Roman"/>
              </w:rPr>
              <w:t>100.03 ± 5.01</w:t>
            </w:r>
          </w:p>
        </w:tc>
        <w:tc>
          <w:tcPr>
            <w:tcW w:w="1080" w:type="dxa"/>
            <w:tcBorders>
              <w:top w:val="nil"/>
              <w:left w:val="nil"/>
              <w:bottom w:val="nil"/>
              <w:right w:val="nil"/>
            </w:tcBorders>
            <w:noWrap w:val="0"/>
            <w:tcMar>
              <w:top w:w="-1" w:type="dxa"/>
              <w:left w:w="-1" w:type="dxa"/>
              <w:bottom w:w="-1" w:type="dxa"/>
              <w:right w:w="-1" w:type="dxa"/>
            </w:tcMar>
            <w:vAlign w:val="top"/>
          </w:tcPr>
          <w:p w14:paraId="2D4E0F75">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001354D3">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524AFFF0">
            <w:pPr>
              <w:jc w:val="center"/>
              <w:rPr>
                <w:rFonts w:hint="default" w:ascii="Times New Roman" w:hAnsi="Times New Roman" w:cs="Times New Roman"/>
              </w:rPr>
            </w:pPr>
            <w:r>
              <w:rPr>
                <w:rFonts w:hint="default" w:ascii="Times New Roman" w:hAnsi="Times New Roman" w:cs="Times New Roman"/>
              </w:rPr>
              <w:t>Yes</w:t>
            </w:r>
          </w:p>
        </w:tc>
      </w:tr>
      <w:tr w14:paraId="74F30D4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FBCB35C">
            <w:pPr>
              <w:rPr>
                <w:rFonts w:hint="default" w:ascii="Times New Roman" w:hAnsi="Times New Roman" w:cs="Times New Roman"/>
              </w:rPr>
            </w:pPr>
            <w:r>
              <w:rPr>
                <w:rFonts w:hint="default" w:ascii="Times New Roman" w:hAnsi="Times New Roman" w:cs="Times New Roman"/>
              </w:rPr>
              <w:t>sodium</w:t>
            </w:r>
          </w:p>
        </w:tc>
        <w:tc>
          <w:tcPr>
            <w:tcW w:w="1080" w:type="dxa"/>
            <w:tcBorders>
              <w:top w:val="nil"/>
              <w:left w:val="nil"/>
              <w:bottom w:val="nil"/>
              <w:right w:val="nil"/>
            </w:tcBorders>
            <w:noWrap w:val="0"/>
            <w:tcMar>
              <w:top w:w="-1" w:type="dxa"/>
              <w:left w:w="-1" w:type="dxa"/>
              <w:bottom w:w="-1" w:type="dxa"/>
              <w:right w:w="-1" w:type="dxa"/>
            </w:tcMar>
            <w:vAlign w:val="top"/>
          </w:tcPr>
          <w:p w14:paraId="11E71268">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38D350DE">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4B85765D">
            <w:pPr>
              <w:jc w:val="center"/>
              <w:rPr>
                <w:rFonts w:hint="default" w:ascii="Times New Roman" w:hAnsi="Times New Roman" w:cs="Times New Roman"/>
              </w:rPr>
            </w:pPr>
            <w:r>
              <w:rPr>
                <w:rFonts w:hint="default" w:ascii="Times New Roman" w:hAnsi="Times New Roman" w:cs="Times New Roman"/>
              </w:rPr>
              <w:t>136.08 ± 3.62</w:t>
            </w:r>
          </w:p>
        </w:tc>
        <w:tc>
          <w:tcPr>
            <w:tcW w:w="1080" w:type="dxa"/>
            <w:tcBorders>
              <w:top w:val="nil"/>
              <w:left w:val="nil"/>
              <w:bottom w:val="nil"/>
              <w:right w:val="nil"/>
            </w:tcBorders>
            <w:noWrap w:val="0"/>
            <w:tcMar>
              <w:top w:w="-1" w:type="dxa"/>
              <w:left w:w="-1" w:type="dxa"/>
              <w:bottom w:w="-1" w:type="dxa"/>
              <w:right w:w="-1" w:type="dxa"/>
            </w:tcMar>
            <w:vAlign w:val="top"/>
          </w:tcPr>
          <w:p w14:paraId="3EA67879">
            <w:pPr>
              <w:jc w:val="center"/>
              <w:rPr>
                <w:rFonts w:hint="default" w:ascii="Times New Roman" w:hAnsi="Times New Roman" w:cs="Times New Roman"/>
              </w:rPr>
            </w:pPr>
            <w:r>
              <w:rPr>
                <w:rFonts w:hint="default" w:ascii="Times New Roman" w:hAnsi="Times New Roman" w:cs="Times New Roman"/>
              </w:rPr>
              <w:t>139.00 (136.10–141.00)</w:t>
            </w:r>
          </w:p>
        </w:tc>
        <w:tc>
          <w:tcPr>
            <w:tcW w:w="1080" w:type="dxa"/>
            <w:tcBorders>
              <w:top w:val="nil"/>
              <w:left w:val="nil"/>
              <w:bottom w:val="nil"/>
              <w:right w:val="nil"/>
            </w:tcBorders>
            <w:noWrap w:val="0"/>
            <w:tcMar>
              <w:top w:w="-1" w:type="dxa"/>
              <w:left w:w="-1" w:type="dxa"/>
              <w:bottom w:w="-1" w:type="dxa"/>
              <w:right w:w="-1" w:type="dxa"/>
            </w:tcMar>
            <w:vAlign w:val="top"/>
          </w:tcPr>
          <w:p w14:paraId="4588B02A">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4191165E">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5D1101E3">
            <w:pPr>
              <w:jc w:val="center"/>
              <w:rPr>
                <w:rFonts w:hint="default" w:ascii="Times New Roman" w:hAnsi="Times New Roman" w:cs="Times New Roman"/>
              </w:rPr>
            </w:pPr>
            <w:r>
              <w:rPr>
                <w:rFonts w:hint="default" w:ascii="Times New Roman" w:hAnsi="Times New Roman" w:cs="Times New Roman"/>
              </w:rPr>
              <w:t>Yes</w:t>
            </w:r>
          </w:p>
        </w:tc>
      </w:tr>
      <w:tr w14:paraId="28C47BB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4B34E005">
            <w:pPr>
              <w:rPr>
                <w:rFonts w:hint="default" w:ascii="Times New Roman" w:hAnsi="Times New Roman" w:cs="Times New Roman"/>
              </w:rPr>
            </w:pPr>
            <w:r>
              <w:rPr>
                <w:rFonts w:hint="default" w:ascii="Times New Roman" w:hAnsi="Times New Roman" w:cs="Times New Roman"/>
              </w:rPr>
              <w:t>TSAT</w:t>
            </w:r>
          </w:p>
        </w:tc>
        <w:tc>
          <w:tcPr>
            <w:tcW w:w="1080" w:type="dxa"/>
            <w:tcBorders>
              <w:top w:val="nil"/>
              <w:left w:val="nil"/>
              <w:bottom w:val="nil"/>
              <w:right w:val="nil"/>
            </w:tcBorders>
            <w:noWrap w:val="0"/>
            <w:tcMar>
              <w:top w:w="-1" w:type="dxa"/>
              <w:left w:w="-1" w:type="dxa"/>
              <w:bottom w:w="-1" w:type="dxa"/>
              <w:right w:w="-1" w:type="dxa"/>
            </w:tcMar>
            <w:vAlign w:val="top"/>
          </w:tcPr>
          <w:p w14:paraId="6037B56C">
            <w:pPr>
              <w:jc w:val="center"/>
              <w:rPr>
                <w:rFonts w:hint="default" w:ascii="Times New Roman" w:hAnsi="Times New Roman" w:cs="Times New Roman"/>
              </w:rPr>
            </w:pPr>
            <w:r>
              <w:rPr>
                <w:rFonts w:hint="default" w:ascii="Times New Roman" w:hAnsi="Times New Roman" w:cs="Times New Roman"/>
              </w:rPr>
              <w:t>60</w:t>
            </w:r>
          </w:p>
        </w:tc>
        <w:tc>
          <w:tcPr>
            <w:tcW w:w="1080" w:type="dxa"/>
            <w:tcBorders>
              <w:top w:val="nil"/>
              <w:left w:val="nil"/>
              <w:bottom w:val="nil"/>
              <w:right w:val="nil"/>
            </w:tcBorders>
            <w:noWrap w:val="0"/>
            <w:tcMar>
              <w:top w:w="-1" w:type="dxa"/>
              <w:left w:w="-1" w:type="dxa"/>
              <w:bottom w:w="-1" w:type="dxa"/>
              <w:right w:w="-1" w:type="dxa"/>
            </w:tcMar>
            <w:vAlign w:val="top"/>
          </w:tcPr>
          <w:p w14:paraId="1F5970DF">
            <w:pPr>
              <w:jc w:val="center"/>
              <w:rPr>
                <w:rFonts w:hint="default" w:ascii="Times New Roman" w:hAnsi="Times New Roman" w:cs="Times New Roman"/>
              </w:rPr>
            </w:pPr>
            <w:r>
              <w:rPr>
                <w:rFonts w:hint="default" w:ascii="Times New Roman" w:hAnsi="Times New Roman" w:cs="Times New Roman"/>
              </w:rPr>
              <w:t>73</w:t>
            </w:r>
          </w:p>
        </w:tc>
        <w:tc>
          <w:tcPr>
            <w:tcW w:w="1080" w:type="dxa"/>
            <w:tcBorders>
              <w:top w:val="nil"/>
              <w:left w:val="nil"/>
              <w:bottom w:val="nil"/>
              <w:right w:val="nil"/>
            </w:tcBorders>
            <w:noWrap w:val="0"/>
            <w:tcMar>
              <w:top w:w="-1" w:type="dxa"/>
              <w:left w:w="-1" w:type="dxa"/>
              <w:bottom w:w="-1" w:type="dxa"/>
              <w:right w:w="-1" w:type="dxa"/>
            </w:tcMar>
            <w:vAlign w:val="top"/>
          </w:tcPr>
          <w:p w14:paraId="47EE1603">
            <w:pPr>
              <w:jc w:val="center"/>
              <w:rPr>
                <w:rFonts w:hint="default" w:ascii="Times New Roman" w:hAnsi="Times New Roman" w:cs="Times New Roman"/>
              </w:rPr>
            </w:pPr>
            <w:r>
              <w:rPr>
                <w:rFonts w:hint="default" w:ascii="Times New Roman" w:hAnsi="Times New Roman" w:cs="Times New Roman"/>
              </w:rPr>
              <w:t>18.43 (12.00–32.66)</w:t>
            </w:r>
          </w:p>
        </w:tc>
        <w:tc>
          <w:tcPr>
            <w:tcW w:w="1080" w:type="dxa"/>
            <w:tcBorders>
              <w:top w:val="nil"/>
              <w:left w:val="nil"/>
              <w:bottom w:val="nil"/>
              <w:right w:val="nil"/>
            </w:tcBorders>
            <w:noWrap w:val="0"/>
            <w:tcMar>
              <w:top w:w="-1" w:type="dxa"/>
              <w:left w:w="-1" w:type="dxa"/>
              <w:bottom w:w="-1" w:type="dxa"/>
              <w:right w:w="-1" w:type="dxa"/>
            </w:tcMar>
            <w:vAlign w:val="top"/>
          </w:tcPr>
          <w:p w14:paraId="03E07814">
            <w:pPr>
              <w:jc w:val="center"/>
              <w:rPr>
                <w:rFonts w:hint="default" w:ascii="Times New Roman" w:hAnsi="Times New Roman" w:cs="Times New Roman"/>
              </w:rPr>
            </w:pPr>
            <w:r>
              <w:rPr>
                <w:rFonts w:hint="default" w:ascii="Times New Roman" w:hAnsi="Times New Roman" w:cs="Times New Roman"/>
              </w:rPr>
              <w:t>32.13 (22.72–40.57)</w:t>
            </w:r>
          </w:p>
        </w:tc>
        <w:tc>
          <w:tcPr>
            <w:tcW w:w="1080" w:type="dxa"/>
            <w:tcBorders>
              <w:top w:val="nil"/>
              <w:left w:val="nil"/>
              <w:bottom w:val="nil"/>
              <w:right w:val="nil"/>
            </w:tcBorders>
            <w:noWrap w:val="0"/>
            <w:tcMar>
              <w:top w:w="-1" w:type="dxa"/>
              <w:left w:w="-1" w:type="dxa"/>
              <w:bottom w:w="-1" w:type="dxa"/>
              <w:right w:w="-1" w:type="dxa"/>
            </w:tcMar>
            <w:vAlign w:val="top"/>
          </w:tcPr>
          <w:p w14:paraId="7DFB81C5">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1339341B">
            <w:pPr>
              <w:jc w:val="center"/>
              <w:rPr>
                <w:rFonts w:hint="default" w:ascii="Times New Roman" w:hAnsi="Times New Roman" w:cs="Times New Roman"/>
              </w:rPr>
            </w:pPr>
            <w:r>
              <w:rPr>
                <w:rFonts w:hint="default" w:ascii="Times New Roman" w:hAnsi="Times New Roman" w:cs="Times New Roman"/>
              </w:rPr>
              <w:t>0.001</w:t>
            </w:r>
          </w:p>
        </w:tc>
        <w:tc>
          <w:tcPr>
            <w:tcW w:w="1080" w:type="dxa"/>
            <w:tcBorders>
              <w:top w:val="nil"/>
              <w:left w:val="nil"/>
              <w:bottom w:val="nil"/>
              <w:right w:val="nil"/>
            </w:tcBorders>
            <w:noWrap w:val="0"/>
            <w:tcMar>
              <w:top w:w="-1" w:type="dxa"/>
              <w:left w:w="-1" w:type="dxa"/>
              <w:bottom w:w="-1" w:type="dxa"/>
              <w:right w:w="-1" w:type="dxa"/>
            </w:tcMar>
            <w:vAlign w:val="top"/>
          </w:tcPr>
          <w:p w14:paraId="2A896790">
            <w:pPr>
              <w:jc w:val="center"/>
              <w:rPr>
                <w:rFonts w:hint="default" w:ascii="Times New Roman" w:hAnsi="Times New Roman" w:cs="Times New Roman"/>
              </w:rPr>
            </w:pPr>
            <w:r>
              <w:rPr>
                <w:rFonts w:hint="default" w:ascii="Times New Roman" w:hAnsi="Times New Roman" w:cs="Times New Roman"/>
              </w:rPr>
              <w:t>Yes</w:t>
            </w:r>
          </w:p>
        </w:tc>
      </w:tr>
      <w:tr w14:paraId="4EAE9BA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4B0FE5B">
            <w:pPr>
              <w:rPr>
                <w:rFonts w:hint="default" w:ascii="Times New Roman" w:hAnsi="Times New Roman" w:cs="Times New Roman"/>
              </w:rPr>
            </w:pPr>
            <w:r>
              <w:rPr>
                <w:rFonts w:hint="default" w:ascii="Times New Roman" w:hAnsi="Times New Roman" w:cs="Times New Roman"/>
              </w:rPr>
              <w:t>KtV</w:t>
            </w:r>
          </w:p>
        </w:tc>
        <w:tc>
          <w:tcPr>
            <w:tcW w:w="1080" w:type="dxa"/>
            <w:tcBorders>
              <w:top w:val="nil"/>
              <w:left w:val="nil"/>
              <w:bottom w:val="nil"/>
              <w:right w:val="nil"/>
            </w:tcBorders>
            <w:noWrap w:val="0"/>
            <w:tcMar>
              <w:top w:w="-1" w:type="dxa"/>
              <w:left w:w="-1" w:type="dxa"/>
              <w:bottom w:w="-1" w:type="dxa"/>
              <w:right w:w="-1" w:type="dxa"/>
            </w:tcMar>
            <w:vAlign w:val="top"/>
          </w:tcPr>
          <w:p w14:paraId="2EF30CBF">
            <w:pPr>
              <w:jc w:val="center"/>
              <w:rPr>
                <w:rFonts w:hint="default" w:ascii="Times New Roman" w:hAnsi="Times New Roman" w:cs="Times New Roman"/>
              </w:rPr>
            </w:pPr>
            <w:r>
              <w:rPr>
                <w:rFonts w:hint="default" w:ascii="Times New Roman" w:hAnsi="Times New Roman" w:cs="Times New Roman"/>
              </w:rPr>
              <w:t>74</w:t>
            </w:r>
          </w:p>
        </w:tc>
        <w:tc>
          <w:tcPr>
            <w:tcW w:w="1080" w:type="dxa"/>
            <w:tcBorders>
              <w:top w:val="nil"/>
              <w:left w:val="nil"/>
              <w:bottom w:val="nil"/>
              <w:right w:val="nil"/>
            </w:tcBorders>
            <w:noWrap w:val="0"/>
            <w:tcMar>
              <w:top w:w="-1" w:type="dxa"/>
              <w:left w:w="-1" w:type="dxa"/>
              <w:bottom w:w="-1" w:type="dxa"/>
              <w:right w:w="-1" w:type="dxa"/>
            </w:tcMar>
            <w:vAlign w:val="top"/>
          </w:tcPr>
          <w:p w14:paraId="7151A8C7">
            <w:pPr>
              <w:jc w:val="center"/>
              <w:rPr>
                <w:rFonts w:hint="default" w:ascii="Times New Roman" w:hAnsi="Times New Roman" w:cs="Times New Roman"/>
              </w:rPr>
            </w:pPr>
            <w:r>
              <w:rPr>
                <w:rFonts w:hint="default" w:ascii="Times New Roman" w:hAnsi="Times New Roman" w:cs="Times New Roman"/>
              </w:rPr>
              <w:t>79</w:t>
            </w:r>
          </w:p>
        </w:tc>
        <w:tc>
          <w:tcPr>
            <w:tcW w:w="1080" w:type="dxa"/>
            <w:tcBorders>
              <w:top w:val="nil"/>
              <w:left w:val="nil"/>
              <w:bottom w:val="nil"/>
              <w:right w:val="nil"/>
            </w:tcBorders>
            <w:noWrap w:val="0"/>
            <w:tcMar>
              <w:top w:w="-1" w:type="dxa"/>
              <w:left w:w="-1" w:type="dxa"/>
              <w:bottom w:w="-1" w:type="dxa"/>
              <w:right w:w="-1" w:type="dxa"/>
            </w:tcMar>
            <w:vAlign w:val="top"/>
          </w:tcPr>
          <w:p w14:paraId="13D82B6D">
            <w:pPr>
              <w:jc w:val="center"/>
              <w:rPr>
                <w:rFonts w:hint="default" w:ascii="Times New Roman" w:hAnsi="Times New Roman" w:cs="Times New Roman"/>
              </w:rPr>
            </w:pPr>
            <w:r>
              <w:rPr>
                <w:rFonts w:hint="default" w:ascii="Times New Roman" w:hAnsi="Times New Roman" w:cs="Times New Roman"/>
              </w:rPr>
              <w:t>1.37 (1.13–1.82)</w:t>
            </w:r>
          </w:p>
        </w:tc>
        <w:tc>
          <w:tcPr>
            <w:tcW w:w="1080" w:type="dxa"/>
            <w:tcBorders>
              <w:top w:val="nil"/>
              <w:left w:val="nil"/>
              <w:bottom w:val="nil"/>
              <w:right w:val="nil"/>
            </w:tcBorders>
            <w:noWrap w:val="0"/>
            <w:tcMar>
              <w:top w:w="-1" w:type="dxa"/>
              <w:left w:w="-1" w:type="dxa"/>
              <w:bottom w:w="-1" w:type="dxa"/>
              <w:right w:w="-1" w:type="dxa"/>
            </w:tcMar>
            <w:vAlign w:val="top"/>
          </w:tcPr>
          <w:p w14:paraId="3FCD199D">
            <w:pPr>
              <w:jc w:val="center"/>
              <w:rPr>
                <w:rFonts w:hint="default" w:ascii="Times New Roman" w:hAnsi="Times New Roman" w:cs="Times New Roman"/>
              </w:rPr>
            </w:pPr>
            <w:r>
              <w:rPr>
                <w:rFonts w:hint="default" w:ascii="Times New Roman" w:hAnsi="Times New Roman" w:cs="Times New Roman"/>
              </w:rPr>
              <w:t>1.74 (1.33–2.42)</w:t>
            </w:r>
          </w:p>
        </w:tc>
        <w:tc>
          <w:tcPr>
            <w:tcW w:w="1080" w:type="dxa"/>
            <w:tcBorders>
              <w:top w:val="nil"/>
              <w:left w:val="nil"/>
              <w:bottom w:val="nil"/>
              <w:right w:val="nil"/>
            </w:tcBorders>
            <w:noWrap w:val="0"/>
            <w:tcMar>
              <w:top w:w="-1" w:type="dxa"/>
              <w:left w:w="-1" w:type="dxa"/>
              <w:bottom w:w="-1" w:type="dxa"/>
              <w:right w:w="-1" w:type="dxa"/>
            </w:tcMar>
            <w:vAlign w:val="top"/>
          </w:tcPr>
          <w:p w14:paraId="6390DD34">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2EA2D93B">
            <w:pPr>
              <w:jc w:val="center"/>
              <w:rPr>
                <w:rFonts w:hint="default" w:ascii="Times New Roman" w:hAnsi="Times New Roman" w:cs="Times New Roman"/>
              </w:rPr>
            </w:pPr>
            <w:r>
              <w:rPr>
                <w:rFonts w:hint="default" w:ascii="Times New Roman" w:hAnsi="Times New Roman" w:cs="Times New Roman"/>
              </w:rPr>
              <w:t>0.001</w:t>
            </w:r>
          </w:p>
        </w:tc>
        <w:tc>
          <w:tcPr>
            <w:tcW w:w="1080" w:type="dxa"/>
            <w:tcBorders>
              <w:top w:val="nil"/>
              <w:left w:val="nil"/>
              <w:bottom w:val="nil"/>
              <w:right w:val="nil"/>
            </w:tcBorders>
            <w:noWrap w:val="0"/>
            <w:tcMar>
              <w:top w:w="-1" w:type="dxa"/>
              <w:left w:w="-1" w:type="dxa"/>
              <w:bottom w:w="-1" w:type="dxa"/>
              <w:right w:w="-1" w:type="dxa"/>
            </w:tcMar>
            <w:vAlign w:val="top"/>
          </w:tcPr>
          <w:p w14:paraId="45C4F664">
            <w:pPr>
              <w:jc w:val="center"/>
              <w:rPr>
                <w:rFonts w:hint="default" w:ascii="Times New Roman" w:hAnsi="Times New Roman" w:cs="Times New Roman"/>
              </w:rPr>
            </w:pPr>
            <w:r>
              <w:rPr>
                <w:rFonts w:hint="default" w:ascii="Times New Roman" w:hAnsi="Times New Roman" w:cs="Times New Roman"/>
              </w:rPr>
              <w:t>Yes</w:t>
            </w:r>
          </w:p>
        </w:tc>
      </w:tr>
      <w:tr w14:paraId="62E68599">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8365AEA">
            <w:pPr>
              <w:rPr>
                <w:rFonts w:hint="default" w:ascii="Times New Roman" w:hAnsi="Times New Roman" w:cs="Times New Roman"/>
              </w:rPr>
            </w:pPr>
            <w:r>
              <w:rPr>
                <w:rFonts w:hint="default" w:ascii="Times New Roman" w:hAnsi="Times New Roman" w:cs="Times New Roman"/>
              </w:rPr>
              <w:t>total_bilirubin</w:t>
            </w:r>
          </w:p>
        </w:tc>
        <w:tc>
          <w:tcPr>
            <w:tcW w:w="1080" w:type="dxa"/>
            <w:tcBorders>
              <w:top w:val="nil"/>
              <w:left w:val="nil"/>
              <w:bottom w:val="nil"/>
              <w:right w:val="nil"/>
            </w:tcBorders>
            <w:noWrap w:val="0"/>
            <w:tcMar>
              <w:top w:w="-1" w:type="dxa"/>
              <w:left w:w="-1" w:type="dxa"/>
              <w:bottom w:w="-1" w:type="dxa"/>
              <w:right w:w="-1" w:type="dxa"/>
            </w:tcMar>
            <w:vAlign w:val="top"/>
          </w:tcPr>
          <w:p w14:paraId="577A485D">
            <w:pPr>
              <w:jc w:val="center"/>
              <w:rPr>
                <w:rFonts w:hint="default" w:ascii="Times New Roman" w:hAnsi="Times New Roman" w:cs="Times New Roman"/>
              </w:rPr>
            </w:pPr>
            <w:r>
              <w:rPr>
                <w:rFonts w:hint="default" w:ascii="Times New Roman" w:hAnsi="Times New Roman" w:cs="Times New Roman"/>
              </w:rPr>
              <w:t>85</w:t>
            </w:r>
          </w:p>
        </w:tc>
        <w:tc>
          <w:tcPr>
            <w:tcW w:w="1080" w:type="dxa"/>
            <w:tcBorders>
              <w:top w:val="nil"/>
              <w:left w:val="nil"/>
              <w:bottom w:val="nil"/>
              <w:right w:val="nil"/>
            </w:tcBorders>
            <w:noWrap w:val="0"/>
            <w:tcMar>
              <w:top w:w="-1" w:type="dxa"/>
              <w:left w:w="-1" w:type="dxa"/>
              <w:bottom w:w="-1" w:type="dxa"/>
              <w:right w:w="-1" w:type="dxa"/>
            </w:tcMar>
            <w:vAlign w:val="top"/>
          </w:tcPr>
          <w:p w14:paraId="145D9DE5">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5A70967">
            <w:pPr>
              <w:jc w:val="center"/>
              <w:rPr>
                <w:rFonts w:hint="default" w:ascii="Times New Roman" w:hAnsi="Times New Roman" w:cs="Times New Roman"/>
              </w:rPr>
            </w:pPr>
            <w:r>
              <w:rPr>
                <w:rFonts w:hint="default" w:ascii="Times New Roman" w:hAnsi="Times New Roman" w:cs="Times New Roman"/>
              </w:rPr>
              <w:t>11.10 (7.90–16.10)</w:t>
            </w:r>
          </w:p>
        </w:tc>
        <w:tc>
          <w:tcPr>
            <w:tcW w:w="1080" w:type="dxa"/>
            <w:tcBorders>
              <w:top w:val="nil"/>
              <w:left w:val="nil"/>
              <w:bottom w:val="nil"/>
              <w:right w:val="nil"/>
            </w:tcBorders>
            <w:noWrap w:val="0"/>
            <w:tcMar>
              <w:top w:w="-1" w:type="dxa"/>
              <w:left w:w="-1" w:type="dxa"/>
              <w:bottom w:w="-1" w:type="dxa"/>
              <w:right w:w="-1" w:type="dxa"/>
            </w:tcMar>
            <w:vAlign w:val="top"/>
          </w:tcPr>
          <w:p w14:paraId="717605D4">
            <w:pPr>
              <w:jc w:val="center"/>
              <w:rPr>
                <w:rFonts w:hint="default" w:ascii="Times New Roman" w:hAnsi="Times New Roman" w:cs="Times New Roman"/>
              </w:rPr>
            </w:pPr>
            <w:r>
              <w:rPr>
                <w:rFonts w:hint="default" w:ascii="Times New Roman" w:hAnsi="Times New Roman" w:cs="Times New Roman"/>
              </w:rPr>
              <w:t>8.50 (6.50–11.00)</w:t>
            </w:r>
          </w:p>
        </w:tc>
        <w:tc>
          <w:tcPr>
            <w:tcW w:w="1080" w:type="dxa"/>
            <w:tcBorders>
              <w:top w:val="nil"/>
              <w:left w:val="nil"/>
              <w:bottom w:val="nil"/>
              <w:right w:val="nil"/>
            </w:tcBorders>
            <w:noWrap w:val="0"/>
            <w:tcMar>
              <w:top w:w="-1" w:type="dxa"/>
              <w:left w:w="-1" w:type="dxa"/>
              <w:bottom w:w="-1" w:type="dxa"/>
              <w:right w:w="-1" w:type="dxa"/>
            </w:tcMar>
            <w:vAlign w:val="top"/>
          </w:tcPr>
          <w:p w14:paraId="6C6DBA0A">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33FD9895">
            <w:pPr>
              <w:jc w:val="center"/>
              <w:rPr>
                <w:rFonts w:hint="default" w:ascii="Times New Roman" w:hAnsi="Times New Roman" w:cs="Times New Roman"/>
              </w:rPr>
            </w:pPr>
            <w:r>
              <w:rPr>
                <w:rFonts w:hint="default" w:ascii="Times New Roman" w:hAnsi="Times New Roman" w:cs="Times New Roman"/>
              </w:rPr>
              <w:t>0.001</w:t>
            </w:r>
          </w:p>
        </w:tc>
        <w:tc>
          <w:tcPr>
            <w:tcW w:w="1080" w:type="dxa"/>
            <w:tcBorders>
              <w:top w:val="nil"/>
              <w:left w:val="nil"/>
              <w:bottom w:val="nil"/>
              <w:right w:val="nil"/>
            </w:tcBorders>
            <w:noWrap w:val="0"/>
            <w:tcMar>
              <w:top w:w="-1" w:type="dxa"/>
              <w:left w:w="-1" w:type="dxa"/>
              <w:bottom w:w="-1" w:type="dxa"/>
              <w:right w:w="-1" w:type="dxa"/>
            </w:tcMar>
            <w:vAlign w:val="top"/>
          </w:tcPr>
          <w:p w14:paraId="1EE3E318">
            <w:pPr>
              <w:jc w:val="center"/>
              <w:rPr>
                <w:rFonts w:hint="default" w:ascii="Times New Roman" w:hAnsi="Times New Roman" w:cs="Times New Roman"/>
              </w:rPr>
            </w:pPr>
            <w:r>
              <w:rPr>
                <w:rFonts w:hint="default" w:ascii="Times New Roman" w:hAnsi="Times New Roman" w:cs="Times New Roman"/>
              </w:rPr>
              <w:t>Yes</w:t>
            </w:r>
          </w:p>
        </w:tc>
      </w:tr>
      <w:tr w14:paraId="0B23452C">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2352D86">
            <w:pPr>
              <w:rPr>
                <w:rFonts w:hint="default" w:ascii="Times New Roman" w:hAnsi="Times New Roman" w:cs="Times New Roman"/>
              </w:rPr>
            </w:pPr>
            <w:r>
              <w:rPr>
                <w:rFonts w:hint="default" w:ascii="Times New Roman" w:hAnsi="Times New Roman" w:cs="Times New Roman"/>
              </w:rPr>
              <w:t>pro_BNP</w:t>
            </w:r>
          </w:p>
        </w:tc>
        <w:tc>
          <w:tcPr>
            <w:tcW w:w="1080" w:type="dxa"/>
            <w:tcBorders>
              <w:top w:val="nil"/>
              <w:left w:val="nil"/>
              <w:bottom w:val="nil"/>
              <w:right w:val="nil"/>
            </w:tcBorders>
            <w:noWrap w:val="0"/>
            <w:tcMar>
              <w:top w:w="-1" w:type="dxa"/>
              <w:left w:w="-1" w:type="dxa"/>
              <w:bottom w:w="-1" w:type="dxa"/>
              <w:right w:w="-1" w:type="dxa"/>
            </w:tcMar>
            <w:vAlign w:val="top"/>
          </w:tcPr>
          <w:p w14:paraId="245A95DC">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6A9072D7">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0DB5101D">
            <w:pPr>
              <w:jc w:val="center"/>
              <w:rPr>
                <w:rFonts w:hint="default" w:ascii="Times New Roman" w:hAnsi="Times New Roman" w:cs="Times New Roman"/>
              </w:rPr>
            </w:pPr>
            <w:r>
              <w:rPr>
                <w:rFonts w:hint="default" w:ascii="Times New Roman" w:hAnsi="Times New Roman" w:cs="Times New Roman"/>
              </w:rPr>
              <w:t>5196.00 (2311.00–22074.50)</w:t>
            </w:r>
          </w:p>
        </w:tc>
        <w:tc>
          <w:tcPr>
            <w:tcW w:w="1080" w:type="dxa"/>
            <w:tcBorders>
              <w:top w:val="nil"/>
              <w:left w:val="nil"/>
              <w:bottom w:val="nil"/>
              <w:right w:val="nil"/>
            </w:tcBorders>
            <w:noWrap w:val="0"/>
            <w:tcMar>
              <w:top w:w="-1" w:type="dxa"/>
              <w:left w:w="-1" w:type="dxa"/>
              <w:bottom w:w="-1" w:type="dxa"/>
              <w:right w:w="-1" w:type="dxa"/>
            </w:tcMar>
            <w:vAlign w:val="top"/>
          </w:tcPr>
          <w:p w14:paraId="395FE86F">
            <w:pPr>
              <w:jc w:val="center"/>
              <w:rPr>
                <w:rFonts w:hint="default" w:ascii="Times New Roman" w:hAnsi="Times New Roman" w:cs="Times New Roman"/>
              </w:rPr>
            </w:pPr>
            <w:r>
              <w:rPr>
                <w:rFonts w:hint="default" w:ascii="Times New Roman" w:hAnsi="Times New Roman" w:cs="Times New Roman"/>
              </w:rPr>
              <w:t>2043.50 (1000.00–7541.00)</w:t>
            </w:r>
          </w:p>
        </w:tc>
        <w:tc>
          <w:tcPr>
            <w:tcW w:w="1080" w:type="dxa"/>
            <w:tcBorders>
              <w:top w:val="nil"/>
              <w:left w:val="nil"/>
              <w:bottom w:val="nil"/>
              <w:right w:val="nil"/>
            </w:tcBorders>
            <w:noWrap w:val="0"/>
            <w:tcMar>
              <w:top w:w="-1" w:type="dxa"/>
              <w:left w:w="-1" w:type="dxa"/>
              <w:bottom w:w="-1" w:type="dxa"/>
              <w:right w:w="-1" w:type="dxa"/>
            </w:tcMar>
            <w:vAlign w:val="top"/>
          </w:tcPr>
          <w:p w14:paraId="531B466E">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1B34CB67">
            <w:pPr>
              <w:jc w:val="center"/>
              <w:rPr>
                <w:rFonts w:hint="default" w:ascii="Times New Roman" w:hAnsi="Times New Roman" w:cs="Times New Roman"/>
              </w:rPr>
            </w:pPr>
            <w:r>
              <w:rPr>
                <w:rFonts w:hint="default" w:ascii="Times New Roman" w:hAnsi="Times New Roman" w:cs="Times New Roman"/>
              </w:rPr>
              <w:t>0.001</w:t>
            </w:r>
          </w:p>
        </w:tc>
        <w:tc>
          <w:tcPr>
            <w:tcW w:w="1080" w:type="dxa"/>
            <w:tcBorders>
              <w:top w:val="nil"/>
              <w:left w:val="nil"/>
              <w:bottom w:val="nil"/>
              <w:right w:val="nil"/>
            </w:tcBorders>
            <w:noWrap w:val="0"/>
            <w:tcMar>
              <w:top w:w="-1" w:type="dxa"/>
              <w:left w:w="-1" w:type="dxa"/>
              <w:bottom w:w="-1" w:type="dxa"/>
              <w:right w:w="-1" w:type="dxa"/>
            </w:tcMar>
            <w:vAlign w:val="top"/>
          </w:tcPr>
          <w:p w14:paraId="18D652C1">
            <w:pPr>
              <w:jc w:val="center"/>
              <w:rPr>
                <w:rFonts w:hint="default" w:ascii="Times New Roman" w:hAnsi="Times New Roman" w:cs="Times New Roman"/>
              </w:rPr>
            </w:pPr>
            <w:r>
              <w:rPr>
                <w:rFonts w:hint="default" w:ascii="Times New Roman" w:hAnsi="Times New Roman" w:cs="Times New Roman"/>
              </w:rPr>
              <w:t>Yes</w:t>
            </w:r>
          </w:p>
        </w:tc>
      </w:tr>
      <w:tr w14:paraId="7293D11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3CA412C8">
            <w:pPr>
              <w:rPr>
                <w:rFonts w:hint="default" w:ascii="Times New Roman" w:hAnsi="Times New Roman" w:cs="Times New Roman"/>
              </w:rPr>
            </w:pPr>
            <w:r>
              <w:rPr>
                <w:rFonts w:hint="default" w:ascii="Times New Roman" w:hAnsi="Times New Roman" w:cs="Times New Roman"/>
              </w:rPr>
              <w:t>monocyte_pct</w:t>
            </w:r>
          </w:p>
        </w:tc>
        <w:tc>
          <w:tcPr>
            <w:tcW w:w="1080" w:type="dxa"/>
            <w:tcBorders>
              <w:top w:val="nil"/>
              <w:left w:val="nil"/>
              <w:bottom w:val="nil"/>
              <w:right w:val="nil"/>
            </w:tcBorders>
            <w:noWrap w:val="0"/>
            <w:tcMar>
              <w:top w:w="-1" w:type="dxa"/>
              <w:left w:w="-1" w:type="dxa"/>
              <w:bottom w:w="-1" w:type="dxa"/>
              <w:right w:w="-1" w:type="dxa"/>
            </w:tcMar>
            <w:vAlign w:val="top"/>
          </w:tcPr>
          <w:p w14:paraId="68420BCE">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3B495F0A">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65E026E0">
            <w:pPr>
              <w:jc w:val="center"/>
              <w:rPr>
                <w:rFonts w:hint="default" w:ascii="Times New Roman" w:hAnsi="Times New Roman" w:cs="Times New Roman"/>
              </w:rPr>
            </w:pPr>
            <w:r>
              <w:rPr>
                <w:rFonts w:hint="default" w:ascii="Times New Roman" w:hAnsi="Times New Roman" w:cs="Times New Roman"/>
              </w:rPr>
              <w:t>5.80 (3.80–8.25)</w:t>
            </w:r>
          </w:p>
        </w:tc>
        <w:tc>
          <w:tcPr>
            <w:tcW w:w="1080" w:type="dxa"/>
            <w:tcBorders>
              <w:top w:val="nil"/>
              <w:left w:val="nil"/>
              <w:bottom w:val="nil"/>
              <w:right w:val="nil"/>
            </w:tcBorders>
            <w:noWrap w:val="0"/>
            <w:tcMar>
              <w:top w:w="-1" w:type="dxa"/>
              <w:left w:w="-1" w:type="dxa"/>
              <w:bottom w:w="-1" w:type="dxa"/>
              <w:right w:w="-1" w:type="dxa"/>
            </w:tcMar>
            <w:vAlign w:val="top"/>
          </w:tcPr>
          <w:p w14:paraId="52819B36">
            <w:pPr>
              <w:jc w:val="center"/>
              <w:rPr>
                <w:rFonts w:hint="default" w:ascii="Times New Roman" w:hAnsi="Times New Roman" w:cs="Times New Roman"/>
              </w:rPr>
            </w:pPr>
            <w:r>
              <w:rPr>
                <w:rFonts w:hint="default" w:ascii="Times New Roman" w:hAnsi="Times New Roman" w:cs="Times New Roman"/>
              </w:rPr>
              <w:t>7.70 ± 2.36</w:t>
            </w:r>
          </w:p>
        </w:tc>
        <w:tc>
          <w:tcPr>
            <w:tcW w:w="1080" w:type="dxa"/>
            <w:tcBorders>
              <w:top w:val="nil"/>
              <w:left w:val="nil"/>
              <w:bottom w:val="nil"/>
              <w:right w:val="nil"/>
            </w:tcBorders>
            <w:noWrap w:val="0"/>
            <w:tcMar>
              <w:top w:w="-1" w:type="dxa"/>
              <w:left w:w="-1" w:type="dxa"/>
              <w:bottom w:w="-1" w:type="dxa"/>
              <w:right w:w="-1" w:type="dxa"/>
            </w:tcMar>
            <w:vAlign w:val="top"/>
          </w:tcPr>
          <w:p w14:paraId="2339696D">
            <w:pPr>
              <w:jc w:val="center"/>
              <w:rPr>
                <w:rFonts w:hint="default" w:ascii="Times New Roman" w:hAnsi="Times New Roman" w:cs="Times New Roman"/>
              </w:rPr>
            </w:pPr>
            <w:r>
              <w:rPr>
                <w:rFonts w:hint="default" w:ascii="Times New Roman" w:hAnsi="Times New Roman" w:cs="Times New Roman"/>
              </w:rPr>
              <w:t>&lt;0.001</w:t>
            </w:r>
          </w:p>
        </w:tc>
        <w:tc>
          <w:tcPr>
            <w:tcW w:w="1080" w:type="dxa"/>
            <w:tcBorders>
              <w:top w:val="nil"/>
              <w:left w:val="nil"/>
              <w:bottom w:val="nil"/>
              <w:right w:val="nil"/>
            </w:tcBorders>
            <w:noWrap w:val="0"/>
            <w:tcMar>
              <w:top w:w="-1" w:type="dxa"/>
              <w:left w:w="-1" w:type="dxa"/>
              <w:bottom w:w="-1" w:type="dxa"/>
              <w:right w:w="-1" w:type="dxa"/>
            </w:tcMar>
            <w:vAlign w:val="top"/>
          </w:tcPr>
          <w:p w14:paraId="6276936B">
            <w:pPr>
              <w:jc w:val="center"/>
              <w:rPr>
                <w:rFonts w:hint="default" w:ascii="Times New Roman" w:hAnsi="Times New Roman" w:cs="Times New Roman"/>
              </w:rPr>
            </w:pPr>
            <w:r>
              <w:rPr>
                <w:rFonts w:hint="default" w:ascii="Times New Roman" w:hAnsi="Times New Roman" w:cs="Times New Roman"/>
              </w:rPr>
              <w:t>0.002</w:t>
            </w:r>
          </w:p>
        </w:tc>
        <w:tc>
          <w:tcPr>
            <w:tcW w:w="1080" w:type="dxa"/>
            <w:tcBorders>
              <w:top w:val="nil"/>
              <w:left w:val="nil"/>
              <w:bottom w:val="nil"/>
              <w:right w:val="nil"/>
            </w:tcBorders>
            <w:noWrap w:val="0"/>
            <w:tcMar>
              <w:top w:w="-1" w:type="dxa"/>
              <w:left w:w="-1" w:type="dxa"/>
              <w:bottom w:w="-1" w:type="dxa"/>
              <w:right w:w="-1" w:type="dxa"/>
            </w:tcMar>
            <w:vAlign w:val="top"/>
          </w:tcPr>
          <w:p w14:paraId="7D9D539C">
            <w:pPr>
              <w:jc w:val="center"/>
              <w:rPr>
                <w:rFonts w:hint="default" w:ascii="Times New Roman" w:hAnsi="Times New Roman" w:cs="Times New Roman"/>
              </w:rPr>
            </w:pPr>
            <w:r>
              <w:rPr>
                <w:rFonts w:hint="default" w:ascii="Times New Roman" w:hAnsi="Times New Roman" w:cs="Times New Roman"/>
              </w:rPr>
              <w:t>Yes</w:t>
            </w:r>
          </w:p>
        </w:tc>
      </w:tr>
      <w:tr w14:paraId="6EEB5E4E">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B4E5996">
            <w:pPr>
              <w:rPr>
                <w:rFonts w:hint="default" w:ascii="Times New Roman" w:hAnsi="Times New Roman" w:cs="Times New Roman"/>
              </w:rPr>
            </w:pPr>
            <w:r>
              <w:rPr>
                <w:rFonts w:hint="default" w:ascii="Times New Roman" w:hAnsi="Times New Roman" w:cs="Times New Roman"/>
              </w:rPr>
              <w:t>basophil_pct</w:t>
            </w:r>
          </w:p>
        </w:tc>
        <w:tc>
          <w:tcPr>
            <w:tcW w:w="1080" w:type="dxa"/>
            <w:tcBorders>
              <w:top w:val="nil"/>
              <w:left w:val="nil"/>
              <w:bottom w:val="nil"/>
              <w:right w:val="nil"/>
            </w:tcBorders>
            <w:noWrap w:val="0"/>
            <w:tcMar>
              <w:top w:w="-1" w:type="dxa"/>
              <w:left w:w="-1" w:type="dxa"/>
              <w:bottom w:w="-1" w:type="dxa"/>
              <w:right w:w="-1" w:type="dxa"/>
            </w:tcMar>
            <w:vAlign w:val="top"/>
          </w:tcPr>
          <w:p w14:paraId="4AA4BEB3">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56DCD7D4">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1653AA5F">
            <w:pPr>
              <w:jc w:val="center"/>
              <w:rPr>
                <w:rFonts w:hint="default" w:ascii="Times New Roman" w:hAnsi="Times New Roman" w:cs="Times New Roman"/>
              </w:rPr>
            </w:pPr>
            <w:r>
              <w:rPr>
                <w:rFonts w:hint="default" w:ascii="Times New Roman" w:hAnsi="Times New Roman" w:cs="Times New Roman"/>
              </w:rPr>
              <w:t>0.30 (0.15–0.40)</w:t>
            </w:r>
          </w:p>
        </w:tc>
        <w:tc>
          <w:tcPr>
            <w:tcW w:w="1080" w:type="dxa"/>
            <w:tcBorders>
              <w:top w:val="nil"/>
              <w:left w:val="nil"/>
              <w:bottom w:val="nil"/>
              <w:right w:val="nil"/>
            </w:tcBorders>
            <w:noWrap w:val="0"/>
            <w:tcMar>
              <w:top w:w="-1" w:type="dxa"/>
              <w:left w:w="-1" w:type="dxa"/>
              <w:bottom w:w="-1" w:type="dxa"/>
              <w:right w:w="-1" w:type="dxa"/>
            </w:tcMar>
            <w:vAlign w:val="top"/>
          </w:tcPr>
          <w:p w14:paraId="352F5CE5">
            <w:pPr>
              <w:jc w:val="center"/>
              <w:rPr>
                <w:rFonts w:hint="default" w:ascii="Times New Roman" w:hAnsi="Times New Roman" w:cs="Times New Roman"/>
              </w:rPr>
            </w:pPr>
            <w:r>
              <w:rPr>
                <w:rFonts w:hint="default" w:ascii="Times New Roman" w:hAnsi="Times New Roman" w:cs="Times New Roman"/>
              </w:rPr>
              <w:t>0.40 (0.30–0.60)</w:t>
            </w:r>
          </w:p>
        </w:tc>
        <w:tc>
          <w:tcPr>
            <w:tcW w:w="1080" w:type="dxa"/>
            <w:tcBorders>
              <w:top w:val="nil"/>
              <w:left w:val="nil"/>
              <w:bottom w:val="nil"/>
              <w:right w:val="nil"/>
            </w:tcBorders>
            <w:noWrap w:val="0"/>
            <w:tcMar>
              <w:top w:w="-1" w:type="dxa"/>
              <w:left w:w="-1" w:type="dxa"/>
              <w:bottom w:w="-1" w:type="dxa"/>
              <w:right w:w="-1" w:type="dxa"/>
            </w:tcMar>
            <w:vAlign w:val="top"/>
          </w:tcPr>
          <w:p w14:paraId="664580DE">
            <w:pPr>
              <w:jc w:val="center"/>
              <w:rPr>
                <w:rFonts w:hint="default" w:ascii="Times New Roman" w:hAnsi="Times New Roman" w:cs="Times New Roman"/>
              </w:rPr>
            </w:pPr>
            <w:r>
              <w:rPr>
                <w:rFonts w:hint="default" w:ascii="Times New Roman" w:hAnsi="Times New Roman" w:cs="Times New Roman"/>
              </w:rPr>
              <w:t>0.001</w:t>
            </w:r>
          </w:p>
        </w:tc>
        <w:tc>
          <w:tcPr>
            <w:tcW w:w="1080" w:type="dxa"/>
            <w:tcBorders>
              <w:top w:val="nil"/>
              <w:left w:val="nil"/>
              <w:bottom w:val="nil"/>
              <w:right w:val="nil"/>
            </w:tcBorders>
            <w:noWrap w:val="0"/>
            <w:tcMar>
              <w:top w:w="-1" w:type="dxa"/>
              <w:left w:w="-1" w:type="dxa"/>
              <w:bottom w:w="-1" w:type="dxa"/>
              <w:right w:w="-1" w:type="dxa"/>
            </w:tcMar>
            <w:vAlign w:val="top"/>
          </w:tcPr>
          <w:p w14:paraId="5704BC90">
            <w:pPr>
              <w:jc w:val="center"/>
              <w:rPr>
                <w:rFonts w:hint="default" w:ascii="Times New Roman" w:hAnsi="Times New Roman" w:cs="Times New Roman"/>
              </w:rPr>
            </w:pPr>
            <w:r>
              <w:rPr>
                <w:rFonts w:hint="default" w:ascii="Times New Roman" w:hAnsi="Times New Roman" w:cs="Times New Roman"/>
              </w:rPr>
              <w:t>0.002</w:t>
            </w:r>
          </w:p>
        </w:tc>
        <w:tc>
          <w:tcPr>
            <w:tcW w:w="1080" w:type="dxa"/>
            <w:tcBorders>
              <w:top w:val="nil"/>
              <w:left w:val="nil"/>
              <w:bottom w:val="nil"/>
              <w:right w:val="nil"/>
            </w:tcBorders>
            <w:noWrap w:val="0"/>
            <w:tcMar>
              <w:top w:w="-1" w:type="dxa"/>
              <w:left w:w="-1" w:type="dxa"/>
              <w:bottom w:w="-1" w:type="dxa"/>
              <w:right w:w="-1" w:type="dxa"/>
            </w:tcMar>
            <w:vAlign w:val="top"/>
          </w:tcPr>
          <w:p w14:paraId="3538EC01">
            <w:pPr>
              <w:jc w:val="center"/>
              <w:rPr>
                <w:rFonts w:hint="default" w:ascii="Times New Roman" w:hAnsi="Times New Roman" w:cs="Times New Roman"/>
              </w:rPr>
            </w:pPr>
            <w:r>
              <w:rPr>
                <w:rFonts w:hint="default" w:ascii="Times New Roman" w:hAnsi="Times New Roman" w:cs="Times New Roman"/>
              </w:rPr>
              <w:t>Yes</w:t>
            </w:r>
          </w:p>
        </w:tc>
      </w:tr>
      <w:tr w14:paraId="40121A14">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F38E14D">
            <w:pPr>
              <w:rPr>
                <w:rFonts w:hint="default" w:ascii="Times New Roman" w:hAnsi="Times New Roman" w:cs="Times New Roman"/>
              </w:rPr>
            </w:pPr>
            <w:r>
              <w:rPr>
                <w:rFonts w:hint="default" w:ascii="Times New Roman" w:hAnsi="Times New Roman" w:cs="Times New Roman"/>
              </w:rPr>
              <w:t>residual_Ccr</w:t>
            </w:r>
          </w:p>
        </w:tc>
        <w:tc>
          <w:tcPr>
            <w:tcW w:w="1080" w:type="dxa"/>
            <w:tcBorders>
              <w:top w:val="nil"/>
              <w:left w:val="nil"/>
              <w:bottom w:val="nil"/>
              <w:right w:val="nil"/>
            </w:tcBorders>
            <w:noWrap w:val="0"/>
            <w:tcMar>
              <w:top w:w="-1" w:type="dxa"/>
              <w:left w:w="-1" w:type="dxa"/>
              <w:bottom w:w="-1" w:type="dxa"/>
              <w:right w:w="-1" w:type="dxa"/>
            </w:tcMar>
            <w:vAlign w:val="top"/>
          </w:tcPr>
          <w:p w14:paraId="003CA4E4">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405E6802">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D69AB6A">
            <w:pPr>
              <w:jc w:val="center"/>
              <w:rPr>
                <w:rFonts w:hint="default" w:ascii="Times New Roman" w:hAnsi="Times New Roman" w:cs="Times New Roman"/>
              </w:rPr>
            </w:pPr>
            <w:r>
              <w:rPr>
                <w:rFonts w:hint="default" w:ascii="Times New Roman" w:hAnsi="Times New Roman" w:cs="Times New Roman"/>
              </w:rPr>
              <w:t>4.91 (0.14–21.11)</w:t>
            </w:r>
          </w:p>
        </w:tc>
        <w:tc>
          <w:tcPr>
            <w:tcW w:w="1080" w:type="dxa"/>
            <w:tcBorders>
              <w:top w:val="nil"/>
              <w:left w:val="nil"/>
              <w:bottom w:val="nil"/>
              <w:right w:val="nil"/>
            </w:tcBorders>
            <w:noWrap w:val="0"/>
            <w:tcMar>
              <w:top w:w="-1" w:type="dxa"/>
              <w:left w:w="-1" w:type="dxa"/>
              <w:bottom w:w="-1" w:type="dxa"/>
              <w:right w:w="-1" w:type="dxa"/>
            </w:tcMar>
            <w:vAlign w:val="top"/>
          </w:tcPr>
          <w:p w14:paraId="15AB5315">
            <w:pPr>
              <w:jc w:val="center"/>
              <w:rPr>
                <w:rFonts w:hint="default" w:ascii="Times New Roman" w:hAnsi="Times New Roman" w:cs="Times New Roman"/>
              </w:rPr>
            </w:pPr>
            <w:r>
              <w:rPr>
                <w:rFonts w:hint="default" w:ascii="Times New Roman" w:hAnsi="Times New Roman" w:cs="Times New Roman"/>
              </w:rPr>
              <w:t>20.19 (0.26–58.95)</w:t>
            </w:r>
          </w:p>
        </w:tc>
        <w:tc>
          <w:tcPr>
            <w:tcW w:w="1080" w:type="dxa"/>
            <w:tcBorders>
              <w:top w:val="nil"/>
              <w:left w:val="nil"/>
              <w:bottom w:val="nil"/>
              <w:right w:val="nil"/>
            </w:tcBorders>
            <w:noWrap w:val="0"/>
            <w:tcMar>
              <w:top w:w="-1" w:type="dxa"/>
              <w:left w:w="-1" w:type="dxa"/>
              <w:bottom w:w="-1" w:type="dxa"/>
              <w:right w:w="-1" w:type="dxa"/>
            </w:tcMar>
            <w:vAlign w:val="top"/>
          </w:tcPr>
          <w:p w14:paraId="26ED4894">
            <w:pPr>
              <w:jc w:val="center"/>
              <w:rPr>
                <w:rFonts w:hint="default" w:ascii="Times New Roman" w:hAnsi="Times New Roman" w:cs="Times New Roman"/>
              </w:rPr>
            </w:pPr>
            <w:r>
              <w:rPr>
                <w:rFonts w:hint="default" w:ascii="Times New Roman" w:hAnsi="Times New Roman" w:cs="Times New Roman"/>
              </w:rPr>
              <w:t>0.001</w:t>
            </w:r>
          </w:p>
        </w:tc>
        <w:tc>
          <w:tcPr>
            <w:tcW w:w="1080" w:type="dxa"/>
            <w:tcBorders>
              <w:top w:val="nil"/>
              <w:left w:val="nil"/>
              <w:bottom w:val="nil"/>
              <w:right w:val="nil"/>
            </w:tcBorders>
            <w:noWrap w:val="0"/>
            <w:tcMar>
              <w:top w:w="-1" w:type="dxa"/>
              <w:left w:w="-1" w:type="dxa"/>
              <w:bottom w:w="-1" w:type="dxa"/>
              <w:right w:w="-1" w:type="dxa"/>
            </w:tcMar>
            <w:vAlign w:val="top"/>
          </w:tcPr>
          <w:p w14:paraId="3E96D033">
            <w:pPr>
              <w:jc w:val="center"/>
              <w:rPr>
                <w:rFonts w:hint="default" w:ascii="Times New Roman" w:hAnsi="Times New Roman" w:cs="Times New Roman"/>
              </w:rPr>
            </w:pPr>
            <w:r>
              <w:rPr>
                <w:rFonts w:hint="default" w:ascii="Times New Roman" w:hAnsi="Times New Roman" w:cs="Times New Roman"/>
              </w:rPr>
              <w:t>0.004</w:t>
            </w:r>
          </w:p>
        </w:tc>
        <w:tc>
          <w:tcPr>
            <w:tcW w:w="1080" w:type="dxa"/>
            <w:tcBorders>
              <w:top w:val="nil"/>
              <w:left w:val="nil"/>
              <w:bottom w:val="nil"/>
              <w:right w:val="nil"/>
            </w:tcBorders>
            <w:noWrap w:val="0"/>
            <w:tcMar>
              <w:top w:w="-1" w:type="dxa"/>
              <w:left w:w="-1" w:type="dxa"/>
              <w:bottom w:w="-1" w:type="dxa"/>
              <w:right w:w="-1" w:type="dxa"/>
            </w:tcMar>
            <w:vAlign w:val="top"/>
          </w:tcPr>
          <w:p w14:paraId="00EB905C">
            <w:pPr>
              <w:jc w:val="center"/>
              <w:rPr>
                <w:rFonts w:hint="default" w:ascii="Times New Roman" w:hAnsi="Times New Roman" w:cs="Times New Roman"/>
              </w:rPr>
            </w:pPr>
            <w:r>
              <w:rPr>
                <w:rFonts w:hint="default" w:ascii="Times New Roman" w:hAnsi="Times New Roman" w:cs="Times New Roman"/>
              </w:rPr>
              <w:t>Yes</w:t>
            </w:r>
          </w:p>
        </w:tc>
      </w:tr>
      <w:tr w14:paraId="4744371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6FE1AC4">
            <w:pPr>
              <w:rPr>
                <w:rFonts w:hint="default" w:ascii="Times New Roman" w:hAnsi="Times New Roman" w:cs="Times New Roman"/>
              </w:rPr>
            </w:pPr>
            <w:r>
              <w:rPr>
                <w:rFonts w:hint="default" w:ascii="Times New Roman" w:hAnsi="Times New Roman" w:cs="Times New Roman"/>
              </w:rPr>
              <w:t>residual_KtV</w:t>
            </w:r>
          </w:p>
        </w:tc>
        <w:tc>
          <w:tcPr>
            <w:tcW w:w="1080" w:type="dxa"/>
            <w:tcBorders>
              <w:top w:val="nil"/>
              <w:left w:val="nil"/>
              <w:bottom w:val="nil"/>
              <w:right w:val="nil"/>
            </w:tcBorders>
            <w:noWrap w:val="0"/>
            <w:tcMar>
              <w:top w:w="-1" w:type="dxa"/>
              <w:left w:w="-1" w:type="dxa"/>
              <w:bottom w:w="-1" w:type="dxa"/>
              <w:right w:w="-1" w:type="dxa"/>
            </w:tcMar>
            <w:vAlign w:val="top"/>
          </w:tcPr>
          <w:p w14:paraId="7B19C634">
            <w:pPr>
              <w:jc w:val="center"/>
              <w:rPr>
                <w:rFonts w:hint="default" w:ascii="Times New Roman" w:hAnsi="Times New Roman" w:cs="Times New Roman"/>
              </w:rPr>
            </w:pPr>
            <w:r>
              <w:rPr>
                <w:rFonts w:hint="default" w:ascii="Times New Roman" w:hAnsi="Times New Roman" w:cs="Times New Roman"/>
              </w:rPr>
              <w:t>74</w:t>
            </w:r>
          </w:p>
        </w:tc>
        <w:tc>
          <w:tcPr>
            <w:tcW w:w="1080" w:type="dxa"/>
            <w:tcBorders>
              <w:top w:val="nil"/>
              <w:left w:val="nil"/>
              <w:bottom w:val="nil"/>
              <w:right w:val="nil"/>
            </w:tcBorders>
            <w:noWrap w:val="0"/>
            <w:tcMar>
              <w:top w:w="-1" w:type="dxa"/>
              <w:left w:w="-1" w:type="dxa"/>
              <w:bottom w:w="-1" w:type="dxa"/>
              <w:right w:w="-1" w:type="dxa"/>
            </w:tcMar>
            <w:vAlign w:val="top"/>
          </w:tcPr>
          <w:p w14:paraId="47DBE6D8">
            <w:pPr>
              <w:jc w:val="center"/>
              <w:rPr>
                <w:rFonts w:hint="default" w:ascii="Times New Roman" w:hAnsi="Times New Roman" w:cs="Times New Roman"/>
              </w:rPr>
            </w:pPr>
            <w:r>
              <w:rPr>
                <w:rFonts w:hint="default" w:ascii="Times New Roman" w:hAnsi="Times New Roman" w:cs="Times New Roman"/>
              </w:rPr>
              <w:t>79</w:t>
            </w:r>
          </w:p>
        </w:tc>
        <w:tc>
          <w:tcPr>
            <w:tcW w:w="1080" w:type="dxa"/>
            <w:tcBorders>
              <w:top w:val="nil"/>
              <w:left w:val="nil"/>
              <w:bottom w:val="nil"/>
              <w:right w:val="nil"/>
            </w:tcBorders>
            <w:noWrap w:val="0"/>
            <w:tcMar>
              <w:top w:w="-1" w:type="dxa"/>
              <w:left w:w="-1" w:type="dxa"/>
              <w:bottom w:w="-1" w:type="dxa"/>
              <w:right w:w="-1" w:type="dxa"/>
            </w:tcMar>
            <w:vAlign w:val="top"/>
          </w:tcPr>
          <w:p w14:paraId="6C2B52B9">
            <w:pPr>
              <w:jc w:val="center"/>
              <w:rPr>
                <w:rFonts w:hint="default" w:ascii="Times New Roman" w:hAnsi="Times New Roman" w:cs="Times New Roman"/>
              </w:rPr>
            </w:pPr>
            <w:r>
              <w:rPr>
                <w:rFonts w:hint="default" w:ascii="Times New Roman" w:hAnsi="Times New Roman" w:cs="Times New Roman"/>
              </w:rPr>
              <w:t>0.08 (0.00–0.32)</w:t>
            </w:r>
          </w:p>
        </w:tc>
        <w:tc>
          <w:tcPr>
            <w:tcW w:w="1080" w:type="dxa"/>
            <w:tcBorders>
              <w:top w:val="nil"/>
              <w:left w:val="nil"/>
              <w:bottom w:val="nil"/>
              <w:right w:val="nil"/>
            </w:tcBorders>
            <w:noWrap w:val="0"/>
            <w:tcMar>
              <w:top w:w="-1" w:type="dxa"/>
              <w:left w:w="-1" w:type="dxa"/>
              <w:bottom w:w="-1" w:type="dxa"/>
              <w:right w:w="-1" w:type="dxa"/>
            </w:tcMar>
            <w:vAlign w:val="top"/>
          </w:tcPr>
          <w:p w14:paraId="677D5BFA">
            <w:pPr>
              <w:jc w:val="center"/>
              <w:rPr>
                <w:rFonts w:hint="default" w:ascii="Times New Roman" w:hAnsi="Times New Roman" w:cs="Times New Roman"/>
              </w:rPr>
            </w:pPr>
            <w:r>
              <w:rPr>
                <w:rFonts w:hint="default" w:ascii="Times New Roman" w:hAnsi="Times New Roman" w:cs="Times New Roman"/>
              </w:rPr>
              <w:t>0.32 (0.01–1.16)</w:t>
            </w:r>
          </w:p>
        </w:tc>
        <w:tc>
          <w:tcPr>
            <w:tcW w:w="1080" w:type="dxa"/>
            <w:tcBorders>
              <w:top w:val="nil"/>
              <w:left w:val="nil"/>
              <w:bottom w:val="nil"/>
              <w:right w:val="nil"/>
            </w:tcBorders>
            <w:noWrap w:val="0"/>
            <w:tcMar>
              <w:top w:w="-1" w:type="dxa"/>
              <w:left w:w="-1" w:type="dxa"/>
              <w:bottom w:w="-1" w:type="dxa"/>
              <w:right w:w="-1" w:type="dxa"/>
            </w:tcMar>
            <w:vAlign w:val="top"/>
          </w:tcPr>
          <w:p w14:paraId="7AE0F605">
            <w:pPr>
              <w:jc w:val="center"/>
              <w:rPr>
                <w:rFonts w:hint="default" w:ascii="Times New Roman" w:hAnsi="Times New Roman" w:cs="Times New Roman"/>
              </w:rPr>
            </w:pPr>
            <w:r>
              <w:rPr>
                <w:rFonts w:hint="default" w:ascii="Times New Roman" w:hAnsi="Times New Roman" w:cs="Times New Roman"/>
              </w:rPr>
              <w:t>0.002</w:t>
            </w:r>
          </w:p>
        </w:tc>
        <w:tc>
          <w:tcPr>
            <w:tcW w:w="1080" w:type="dxa"/>
            <w:tcBorders>
              <w:top w:val="nil"/>
              <w:left w:val="nil"/>
              <w:bottom w:val="nil"/>
              <w:right w:val="nil"/>
            </w:tcBorders>
            <w:noWrap w:val="0"/>
            <w:tcMar>
              <w:top w:w="-1" w:type="dxa"/>
              <w:left w:w="-1" w:type="dxa"/>
              <w:bottom w:w="-1" w:type="dxa"/>
              <w:right w:w="-1" w:type="dxa"/>
            </w:tcMar>
            <w:vAlign w:val="top"/>
          </w:tcPr>
          <w:p w14:paraId="0AFE61F5">
            <w:pPr>
              <w:jc w:val="center"/>
              <w:rPr>
                <w:rFonts w:hint="default" w:ascii="Times New Roman" w:hAnsi="Times New Roman" w:cs="Times New Roman"/>
              </w:rPr>
            </w:pPr>
            <w:r>
              <w:rPr>
                <w:rFonts w:hint="default" w:ascii="Times New Roman" w:hAnsi="Times New Roman" w:cs="Times New Roman"/>
              </w:rPr>
              <w:t>0.005</w:t>
            </w:r>
          </w:p>
        </w:tc>
        <w:tc>
          <w:tcPr>
            <w:tcW w:w="1080" w:type="dxa"/>
            <w:tcBorders>
              <w:top w:val="nil"/>
              <w:left w:val="nil"/>
              <w:bottom w:val="nil"/>
              <w:right w:val="nil"/>
            </w:tcBorders>
            <w:noWrap w:val="0"/>
            <w:tcMar>
              <w:top w:w="-1" w:type="dxa"/>
              <w:left w:w="-1" w:type="dxa"/>
              <w:bottom w:w="-1" w:type="dxa"/>
              <w:right w:w="-1" w:type="dxa"/>
            </w:tcMar>
            <w:vAlign w:val="top"/>
          </w:tcPr>
          <w:p w14:paraId="12445750">
            <w:pPr>
              <w:jc w:val="center"/>
              <w:rPr>
                <w:rFonts w:hint="default" w:ascii="Times New Roman" w:hAnsi="Times New Roman" w:cs="Times New Roman"/>
              </w:rPr>
            </w:pPr>
            <w:r>
              <w:rPr>
                <w:rFonts w:hint="default" w:ascii="Times New Roman" w:hAnsi="Times New Roman" w:cs="Times New Roman"/>
              </w:rPr>
              <w:t>Yes</w:t>
            </w:r>
          </w:p>
        </w:tc>
      </w:tr>
      <w:tr w14:paraId="0A2326C7">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72A77451">
            <w:pPr>
              <w:rPr>
                <w:rFonts w:hint="default" w:ascii="Times New Roman" w:hAnsi="Times New Roman" w:cs="Times New Roman"/>
              </w:rPr>
            </w:pPr>
            <w:r>
              <w:rPr>
                <w:rFonts w:hint="default" w:ascii="Times New Roman" w:hAnsi="Times New Roman" w:cs="Times New Roman"/>
              </w:rPr>
              <w:t>uric_acid</w:t>
            </w:r>
          </w:p>
        </w:tc>
        <w:tc>
          <w:tcPr>
            <w:tcW w:w="1080" w:type="dxa"/>
            <w:tcBorders>
              <w:top w:val="nil"/>
              <w:left w:val="nil"/>
              <w:bottom w:val="nil"/>
              <w:right w:val="nil"/>
            </w:tcBorders>
            <w:noWrap w:val="0"/>
            <w:tcMar>
              <w:top w:w="-1" w:type="dxa"/>
              <w:left w:w="-1" w:type="dxa"/>
              <w:bottom w:w="-1" w:type="dxa"/>
              <w:right w:w="-1" w:type="dxa"/>
            </w:tcMar>
            <w:vAlign w:val="top"/>
          </w:tcPr>
          <w:p w14:paraId="20275235">
            <w:pPr>
              <w:jc w:val="center"/>
              <w:rPr>
                <w:rFonts w:hint="default" w:ascii="Times New Roman" w:hAnsi="Times New Roman" w:cs="Times New Roman"/>
              </w:rPr>
            </w:pPr>
            <w:r>
              <w:rPr>
                <w:rFonts w:hint="default" w:ascii="Times New Roman" w:hAnsi="Times New Roman" w:cs="Times New Roman"/>
              </w:rPr>
              <w:t>88</w:t>
            </w:r>
          </w:p>
        </w:tc>
        <w:tc>
          <w:tcPr>
            <w:tcW w:w="1080" w:type="dxa"/>
            <w:tcBorders>
              <w:top w:val="nil"/>
              <w:left w:val="nil"/>
              <w:bottom w:val="nil"/>
              <w:right w:val="nil"/>
            </w:tcBorders>
            <w:noWrap w:val="0"/>
            <w:tcMar>
              <w:top w:w="-1" w:type="dxa"/>
              <w:left w:w="-1" w:type="dxa"/>
              <w:bottom w:w="-1" w:type="dxa"/>
              <w:right w:w="-1" w:type="dxa"/>
            </w:tcMar>
            <w:vAlign w:val="top"/>
          </w:tcPr>
          <w:p w14:paraId="7CDED6DA">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6A29225F">
            <w:pPr>
              <w:jc w:val="center"/>
              <w:rPr>
                <w:rFonts w:hint="default" w:ascii="Times New Roman" w:hAnsi="Times New Roman" w:cs="Times New Roman"/>
              </w:rPr>
            </w:pPr>
            <w:r>
              <w:rPr>
                <w:rFonts w:hint="default" w:ascii="Times New Roman" w:hAnsi="Times New Roman" w:cs="Times New Roman"/>
              </w:rPr>
              <w:t>359.20 (284.93–437.25)</w:t>
            </w:r>
          </w:p>
        </w:tc>
        <w:tc>
          <w:tcPr>
            <w:tcW w:w="1080" w:type="dxa"/>
            <w:tcBorders>
              <w:top w:val="nil"/>
              <w:left w:val="nil"/>
              <w:bottom w:val="nil"/>
              <w:right w:val="nil"/>
            </w:tcBorders>
            <w:noWrap w:val="0"/>
            <w:tcMar>
              <w:top w:w="-1" w:type="dxa"/>
              <w:left w:w="-1" w:type="dxa"/>
              <w:bottom w:w="-1" w:type="dxa"/>
              <w:right w:w="-1" w:type="dxa"/>
            </w:tcMar>
            <w:vAlign w:val="top"/>
          </w:tcPr>
          <w:p w14:paraId="579E5FC3">
            <w:pPr>
              <w:jc w:val="center"/>
              <w:rPr>
                <w:rFonts w:hint="default" w:ascii="Times New Roman" w:hAnsi="Times New Roman" w:cs="Times New Roman"/>
              </w:rPr>
            </w:pPr>
            <w:r>
              <w:rPr>
                <w:rFonts w:hint="default" w:ascii="Times New Roman" w:hAnsi="Times New Roman" w:cs="Times New Roman"/>
              </w:rPr>
              <w:t>425.00 (358.50–482.77)</w:t>
            </w:r>
          </w:p>
        </w:tc>
        <w:tc>
          <w:tcPr>
            <w:tcW w:w="1080" w:type="dxa"/>
            <w:tcBorders>
              <w:top w:val="nil"/>
              <w:left w:val="nil"/>
              <w:bottom w:val="nil"/>
              <w:right w:val="nil"/>
            </w:tcBorders>
            <w:noWrap w:val="0"/>
            <w:tcMar>
              <w:top w:w="-1" w:type="dxa"/>
              <w:left w:w="-1" w:type="dxa"/>
              <w:bottom w:w="-1" w:type="dxa"/>
              <w:right w:w="-1" w:type="dxa"/>
            </w:tcMar>
            <w:vAlign w:val="top"/>
          </w:tcPr>
          <w:p w14:paraId="2217B73D">
            <w:pPr>
              <w:jc w:val="center"/>
              <w:rPr>
                <w:rFonts w:hint="default" w:ascii="Times New Roman" w:hAnsi="Times New Roman" w:cs="Times New Roman"/>
              </w:rPr>
            </w:pPr>
            <w:r>
              <w:rPr>
                <w:rFonts w:hint="default" w:ascii="Times New Roman" w:hAnsi="Times New Roman" w:cs="Times New Roman"/>
              </w:rPr>
              <w:t>0.002</w:t>
            </w:r>
          </w:p>
        </w:tc>
        <w:tc>
          <w:tcPr>
            <w:tcW w:w="1080" w:type="dxa"/>
            <w:tcBorders>
              <w:top w:val="nil"/>
              <w:left w:val="nil"/>
              <w:bottom w:val="nil"/>
              <w:right w:val="nil"/>
            </w:tcBorders>
            <w:noWrap w:val="0"/>
            <w:tcMar>
              <w:top w:w="-1" w:type="dxa"/>
              <w:left w:w="-1" w:type="dxa"/>
              <w:bottom w:w="-1" w:type="dxa"/>
              <w:right w:w="-1" w:type="dxa"/>
            </w:tcMar>
            <w:vAlign w:val="top"/>
          </w:tcPr>
          <w:p w14:paraId="40810A9F">
            <w:pPr>
              <w:jc w:val="center"/>
              <w:rPr>
                <w:rFonts w:hint="default" w:ascii="Times New Roman" w:hAnsi="Times New Roman" w:cs="Times New Roman"/>
              </w:rPr>
            </w:pPr>
            <w:r>
              <w:rPr>
                <w:rFonts w:hint="default" w:ascii="Times New Roman" w:hAnsi="Times New Roman" w:cs="Times New Roman"/>
              </w:rPr>
              <w:t>0.005</w:t>
            </w:r>
          </w:p>
        </w:tc>
        <w:tc>
          <w:tcPr>
            <w:tcW w:w="1080" w:type="dxa"/>
            <w:tcBorders>
              <w:top w:val="nil"/>
              <w:left w:val="nil"/>
              <w:bottom w:val="nil"/>
              <w:right w:val="nil"/>
            </w:tcBorders>
            <w:noWrap w:val="0"/>
            <w:tcMar>
              <w:top w:w="-1" w:type="dxa"/>
              <w:left w:w="-1" w:type="dxa"/>
              <w:bottom w:w="-1" w:type="dxa"/>
              <w:right w:w="-1" w:type="dxa"/>
            </w:tcMar>
            <w:vAlign w:val="top"/>
          </w:tcPr>
          <w:p w14:paraId="34B41D55">
            <w:pPr>
              <w:jc w:val="center"/>
              <w:rPr>
                <w:rFonts w:hint="default" w:ascii="Times New Roman" w:hAnsi="Times New Roman" w:cs="Times New Roman"/>
              </w:rPr>
            </w:pPr>
            <w:r>
              <w:rPr>
                <w:rFonts w:hint="default" w:ascii="Times New Roman" w:hAnsi="Times New Roman" w:cs="Times New Roman"/>
              </w:rPr>
              <w:t>Yes</w:t>
            </w:r>
          </w:p>
        </w:tc>
      </w:tr>
      <w:tr w14:paraId="15E06EF4">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0758391">
            <w:pPr>
              <w:rPr>
                <w:rFonts w:hint="default" w:ascii="Times New Roman" w:hAnsi="Times New Roman" w:cs="Times New Roman"/>
              </w:rPr>
            </w:pPr>
            <w:r>
              <w:rPr>
                <w:rFonts w:hint="default" w:ascii="Times New Roman" w:hAnsi="Times New Roman" w:cs="Times New Roman"/>
              </w:rPr>
              <w:t>total_Ccr</w:t>
            </w:r>
          </w:p>
        </w:tc>
        <w:tc>
          <w:tcPr>
            <w:tcW w:w="1080" w:type="dxa"/>
            <w:tcBorders>
              <w:top w:val="nil"/>
              <w:left w:val="nil"/>
              <w:bottom w:val="nil"/>
              <w:right w:val="nil"/>
            </w:tcBorders>
            <w:noWrap w:val="0"/>
            <w:tcMar>
              <w:top w:w="-1" w:type="dxa"/>
              <w:left w:w="-1" w:type="dxa"/>
              <w:bottom w:w="-1" w:type="dxa"/>
              <w:right w:w="-1" w:type="dxa"/>
            </w:tcMar>
            <w:vAlign w:val="top"/>
          </w:tcPr>
          <w:p w14:paraId="2E9EEF03">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1BDAC56B">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6E9B2902">
            <w:pPr>
              <w:jc w:val="center"/>
              <w:rPr>
                <w:rFonts w:hint="default" w:ascii="Times New Roman" w:hAnsi="Times New Roman" w:cs="Times New Roman"/>
              </w:rPr>
            </w:pPr>
            <w:r>
              <w:rPr>
                <w:rFonts w:hint="default" w:ascii="Times New Roman" w:hAnsi="Times New Roman" w:cs="Times New Roman"/>
              </w:rPr>
              <w:t>47.34 (39.48–59.66)</w:t>
            </w:r>
          </w:p>
        </w:tc>
        <w:tc>
          <w:tcPr>
            <w:tcW w:w="1080" w:type="dxa"/>
            <w:tcBorders>
              <w:top w:val="nil"/>
              <w:left w:val="nil"/>
              <w:bottom w:val="nil"/>
              <w:right w:val="nil"/>
            </w:tcBorders>
            <w:noWrap w:val="0"/>
            <w:tcMar>
              <w:top w:w="-1" w:type="dxa"/>
              <w:left w:w="-1" w:type="dxa"/>
              <w:bottom w:w="-1" w:type="dxa"/>
              <w:right w:w="-1" w:type="dxa"/>
            </w:tcMar>
            <w:vAlign w:val="top"/>
          </w:tcPr>
          <w:p w14:paraId="41B26086">
            <w:pPr>
              <w:jc w:val="center"/>
              <w:rPr>
                <w:rFonts w:hint="default" w:ascii="Times New Roman" w:hAnsi="Times New Roman" w:cs="Times New Roman"/>
              </w:rPr>
            </w:pPr>
            <w:r>
              <w:rPr>
                <w:rFonts w:hint="default" w:ascii="Times New Roman" w:hAnsi="Times New Roman" w:cs="Times New Roman"/>
              </w:rPr>
              <w:t>55.61 (42.82–93.98)</w:t>
            </w:r>
          </w:p>
        </w:tc>
        <w:tc>
          <w:tcPr>
            <w:tcW w:w="1080" w:type="dxa"/>
            <w:tcBorders>
              <w:top w:val="nil"/>
              <w:left w:val="nil"/>
              <w:bottom w:val="nil"/>
              <w:right w:val="nil"/>
            </w:tcBorders>
            <w:noWrap w:val="0"/>
            <w:tcMar>
              <w:top w:w="-1" w:type="dxa"/>
              <w:left w:w="-1" w:type="dxa"/>
              <w:bottom w:w="-1" w:type="dxa"/>
              <w:right w:w="-1" w:type="dxa"/>
            </w:tcMar>
            <w:vAlign w:val="top"/>
          </w:tcPr>
          <w:p w14:paraId="61F12354">
            <w:pPr>
              <w:jc w:val="center"/>
              <w:rPr>
                <w:rFonts w:hint="default" w:ascii="Times New Roman" w:hAnsi="Times New Roman" w:cs="Times New Roman"/>
              </w:rPr>
            </w:pPr>
            <w:r>
              <w:rPr>
                <w:rFonts w:hint="default" w:ascii="Times New Roman" w:hAnsi="Times New Roman" w:cs="Times New Roman"/>
              </w:rPr>
              <w:t>0.005</w:t>
            </w:r>
          </w:p>
        </w:tc>
        <w:tc>
          <w:tcPr>
            <w:tcW w:w="1080" w:type="dxa"/>
            <w:tcBorders>
              <w:top w:val="nil"/>
              <w:left w:val="nil"/>
              <w:bottom w:val="nil"/>
              <w:right w:val="nil"/>
            </w:tcBorders>
            <w:noWrap w:val="0"/>
            <w:tcMar>
              <w:top w:w="-1" w:type="dxa"/>
              <w:left w:w="-1" w:type="dxa"/>
              <w:bottom w:w="-1" w:type="dxa"/>
              <w:right w:w="-1" w:type="dxa"/>
            </w:tcMar>
            <w:vAlign w:val="top"/>
          </w:tcPr>
          <w:p w14:paraId="6139E7C2">
            <w:pPr>
              <w:jc w:val="center"/>
              <w:rPr>
                <w:rFonts w:hint="default" w:ascii="Times New Roman" w:hAnsi="Times New Roman" w:cs="Times New Roman"/>
              </w:rPr>
            </w:pPr>
            <w:r>
              <w:rPr>
                <w:rFonts w:hint="default" w:ascii="Times New Roman" w:hAnsi="Times New Roman" w:cs="Times New Roman"/>
              </w:rPr>
              <w:t>0.013</w:t>
            </w:r>
          </w:p>
        </w:tc>
        <w:tc>
          <w:tcPr>
            <w:tcW w:w="1080" w:type="dxa"/>
            <w:tcBorders>
              <w:top w:val="nil"/>
              <w:left w:val="nil"/>
              <w:bottom w:val="nil"/>
              <w:right w:val="nil"/>
            </w:tcBorders>
            <w:noWrap w:val="0"/>
            <w:tcMar>
              <w:top w:w="-1" w:type="dxa"/>
              <w:left w:w="-1" w:type="dxa"/>
              <w:bottom w:w="-1" w:type="dxa"/>
              <w:right w:w="-1" w:type="dxa"/>
            </w:tcMar>
            <w:vAlign w:val="top"/>
          </w:tcPr>
          <w:p w14:paraId="4AD47B9C">
            <w:pPr>
              <w:jc w:val="center"/>
              <w:rPr>
                <w:rFonts w:hint="default" w:ascii="Times New Roman" w:hAnsi="Times New Roman" w:cs="Times New Roman"/>
              </w:rPr>
            </w:pPr>
            <w:r>
              <w:rPr>
                <w:rFonts w:hint="default" w:ascii="Times New Roman" w:hAnsi="Times New Roman" w:cs="Times New Roman"/>
              </w:rPr>
              <w:t>Yes</w:t>
            </w:r>
          </w:p>
        </w:tc>
      </w:tr>
      <w:tr w14:paraId="476CACAF">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535CC65">
            <w:pPr>
              <w:rPr>
                <w:rFonts w:hint="default" w:ascii="Times New Roman" w:hAnsi="Times New Roman" w:cs="Times New Roman"/>
              </w:rPr>
            </w:pPr>
            <w:r>
              <w:rPr>
                <w:rFonts w:hint="default" w:ascii="Times New Roman" w:hAnsi="Times New Roman" w:cs="Times New Roman"/>
              </w:rPr>
              <w:t>TIBC</w:t>
            </w:r>
          </w:p>
        </w:tc>
        <w:tc>
          <w:tcPr>
            <w:tcW w:w="1080" w:type="dxa"/>
            <w:tcBorders>
              <w:top w:val="nil"/>
              <w:left w:val="nil"/>
              <w:bottom w:val="nil"/>
              <w:right w:val="nil"/>
            </w:tcBorders>
            <w:noWrap w:val="0"/>
            <w:tcMar>
              <w:top w:w="-1" w:type="dxa"/>
              <w:left w:w="-1" w:type="dxa"/>
              <w:bottom w:w="-1" w:type="dxa"/>
              <w:right w:w="-1" w:type="dxa"/>
            </w:tcMar>
            <w:vAlign w:val="top"/>
          </w:tcPr>
          <w:p w14:paraId="6C0E5786">
            <w:pPr>
              <w:jc w:val="center"/>
              <w:rPr>
                <w:rFonts w:hint="default" w:ascii="Times New Roman" w:hAnsi="Times New Roman" w:cs="Times New Roman"/>
              </w:rPr>
            </w:pPr>
            <w:r>
              <w:rPr>
                <w:rFonts w:hint="default" w:ascii="Times New Roman" w:hAnsi="Times New Roman" w:cs="Times New Roman"/>
              </w:rPr>
              <w:t>60</w:t>
            </w:r>
          </w:p>
        </w:tc>
        <w:tc>
          <w:tcPr>
            <w:tcW w:w="1080" w:type="dxa"/>
            <w:tcBorders>
              <w:top w:val="nil"/>
              <w:left w:val="nil"/>
              <w:bottom w:val="nil"/>
              <w:right w:val="nil"/>
            </w:tcBorders>
            <w:noWrap w:val="0"/>
            <w:tcMar>
              <w:top w:w="-1" w:type="dxa"/>
              <w:left w:w="-1" w:type="dxa"/>
              <w:bottom w:w="-1" w:type="dxa"/>
              <w:right w:w="-1" w:type="dxa"/>
            </w:tcMar>
            <w:vAlign w:val="top"/>
          </w:tcPr>
          <w:p w14:paraId="20B74059">
            <w:pPr>
              <w:jc w:val="center"/>
              <w:rPr>
                <w:rFonts w:hint="default" w:ascii="Times New Roman" w:hAnsi="Times New Roman" w:cs="Times New Roman"/>
              </w:rPr>
            </w:pPr>
            <w:r>
              <w:rPr>
                <w:rFonts w:hint="default" w:ascii="Times New Roman" w:hAnsi="Times New Roman" w:cs="Times New Roman"/>
              </w:rPr>
              <w:t>73</w:t>
            </w:r>
          </w:p>
        </w:tc>
        <w:tc>
          <w:tcPr>
            <w:tcW w:w="1080" w:type="dxa"/>
            <w:tcBorders>
              <w:top w:val="nil"/>
              <w:left w:val="nil"/>
              <w:bottom w:val="nil"/>
              <w:right w:val="nil"/>
            </w:tcBorders>
            <w:noWrap w:val="0"/>
            <w:tcMar>
              <w:top w:w="-1" w:type="dxa"/>
              <w:left w:w="-1" w:type="dxa"/>
              <w:bottom w:w="-1" w:type="dxa"/>
              <w:right w:w="-1" w:type="dxa"/>
            </w:tcMar>
            <w:vAlign w:val="top"/>
          </w:tcPr>
          <w:p w14:paraId="39369387">
            <w:pPr>
              <w:jc w:val="center"/>
              <w:rPr>
                <w:rFonts w:hint="default" w:ascii="Times New Roman" w:hAnsi="Times New Roman" w:cs="Times New Roman"/>
              </w:rPr>
            </w:pPr>
            <w:r>
              <w:rPr>
                <w:rFonts w:hint="default" w:ascii="Times New Roman" w:hAnsi="Times New Roman" w:cs="Times New Roman"/>
              </w:rPr>
              <w:t>38.23 ± 12.01</w:t>
            </w:r>
          </w:p>
        </w:tc>
        <w:tc>
          <w:tcPr>
            <w:tcW w:w="1080" w:type="dxa"/>
            <w:tcBorders>
              <w:top w:val="nil"/>
              <w:left w:val="nil"/>
              <w:bottom w:val="nil"/>
              <w:right w:val="nil"/>
            </w:tcBorders>
            <w:noWrap w:val="0"/>
            <w:tcMar>
              <w:top w:w="-1" w:type="dxa"/>
              <w:left w:w="-1" w:type="dxa"/>
              <w:bottom w:w="-1" w:type="dxa"/>
              <w:right w:w="-1" w:type="dxa"/>
            </w:tcMar>
            <w:vAlign w:val="top"/>
          </w:tcPr>
          <w:p w14:paraId="69D964B0">
            <w:pPr>
              <w:jc w:val="center"/>
              <w:rPr>
                <w:rFonts w:hint="default" w:ascii="Times New Roman" w:hAnsi="Times New Roman" w:cs="Times New Roman"/>
              </w:rPr>
            </w:pPr>
            <w:r>
              <w:rPr>
                <w:rFonts w:hint="default" w:ascii="Times New Roman" w:hAnsi="Times New Roman" w:cs="Times New Roman"/>
              </w:rPr>
              <w:t>42.67 (36.48–50.31)</w:t>
            </w:r>
          </w:p>
        </w:tc>
        <w:tc>
          <w:tcPr>
            <w:tcW w:w="1080" w:type="dxa"/>
            <w:tcBorders>
              <w:top w:val="nil"/>
              <w:left w:val="nil"/>
              <w:bottom w:val="nil"/>
              <w:right w:val="nil"/>
            </w:tcBorders>
            <w:noWrap w:val="0"/>
            <w:tcMar>
              <w:top w:w="-1" w:type="dxa"/>
              <w:left w:w="-1" w:type="dxa"/>
              <w:bottom w:w="-1" w:type="dxa"/>
              <w:right w:w="-1" w:type="dxa"/>
            </w:tcMar>
            <w:vAlign w:val="top"/>
          </w:tcPr>
          <w:p w14:paraId="4D6AC335">
            <w:pPr>
              <w:jc w:val="center"/>
              <w:rPr>
                <w:rFonts w:hint="default" w:ascii="Times New Roman" w:hAnsi="Times New Roman" w:cs="Times New Roman"/>
              </w:rPr>
            </w:pPr>
            <w:r>
              <w:rPr>
                <w:rFonts w:hint="default" w:ascii="Times New Roman" w:hAnsi="Times New Roman" w:cs="Times New Roman"/>
              </w:rPr>
              <w:t>0.005</w:t>
            </w:r>
          </w:p>
        </w:tc>
        <w:tc>
          <w:tcPr>
            <w:tcW w:w="1080" w:type="dxa"/>
            <w:tcBorders>
              <w:top w:val="nil"/>
              <w:left w:val="nil"/>
              <w:bottom w:val="nil"/>
              <w:right w:val="nil"/>
            </w:tcBorders>
            <w:noWrap w:val="0"/>
            <w:tcMar>
              <w:top w:w="-1" w:type="dxa"/>
              <w:left w:w="-1" w:type="dxa"/>
              <w:bottom w:w="-1" w:type="dxa"/>
              <w:right w:w="-1" w:type="dxa"/>
            </w:tcMar>
            <w:vAlign w:val="top"/>
          </w:tcPr>
          <w:p w14:paraId="3AF7179B">
            <w:pPr>
              <w:jc w:val="center"/>
              <w:rPr>
                <w:rFonts w:hint="default" w:ascii="Times New Roman" w:hAnsi="Times New Roman" w:cs="Times New Roman"/>
              </w:rPr>
            </w:pPr>
            <w:r>
              <w:rPr>
                <w:rFonts w:hint="default" w:ascii="Times New Roman" w:hAnsi="Times New Roman" w:cs="Times New Roman"/>
              </w:rPr>
              <w:t>0.014</w:t>
            </w:r>
          </w:p>
        </w:tc>
        <w:tc>
          <w:tcPr>
            <w:tcW w:w="1080" w:type="dxa"/>
            <w:tcBorders>
              <w:top w:val="nil"/>
              <w:left w:val="nil"/>
              <w:bottom w:val="nil"/>
              <w:right w:val="nil"/>
            </w:tcBorders>
            <w:noWrap w:val="0"/>
            <w:tcMar>
              <w:top w:w="-1" w:type="dxa"/>
              <w:left w:w="-1" w:type="dxa"/>
              <w:bottom w:w="-1" w:type="dxa"/>
              <w:right w:w="-1" w:type="dxa"/>
            </w:tcMar>
            <w:vAlign w:val="top"/>
          </w:tcPr>
          <w:p w14:paraId="0EF72210">
            <w:pPr>
              <w:jc w:val="center"/>
              <w:rPr>
                <w:rFonts w:hint="default" w:ascii="Times New Roman" w:hAnsi="Times New Roman" w:cs="Times New Roman"/>
              </w:rPr>
            </w:pPr>
            <w:r>
              <w:rPr>
                <w:rFonts w:hint="default" w:ascii="Times New Roman" w:hAnsi="Times New Roman" w:cs="Times New Roman"/>
              </w:rPr>
              <w:t>Yes</w:t>
            </w:r>
          </w:p>
        </w:tc>
      </w:tr>
      <w:tr w14:paraId="03D5298C">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9A2968A">
            <w:pPr>
              <w:rPr>
                <w:rFonts w:hint="default" w:ascii="Times New Roman" w:hAnsi="Times New Roman" w:cs="Times New Roman"/>
              </w:rPr>
            </w:pPr>
            <w:r>
              <w:rPr>
                <w:rFonts w:hint="default" w:ascii="Times New Roman" w:hAnsi="Times New Roman" w:cs="Times New Roman"/>
              </w:rPr>
              <w:t>urine_vol</w:t>
            </w:r>
          </w:p>
        </w:tc>
        <w:tc>
          <w:tcPr>
            <w:tcW w:w="1080" w:type="dxa"/>
            <w:tcBorders>
              <w:top w:val="nil"/>
              <w:left w:val="nil"/>
              <w:bottom w:val="nil"/>
              <w:right w:val="nil"/>
            </w:tcBorders>
            <w:noWrap w:val="0"/>
            <w:tcMar>
              <w:top w:w="-1" w:type="dxa"/>
              <w:left w:w="-1" w:type="dxa"/>
              <w:bottom w:w="-1" w:type="dxa"/>
              <w:right w:w="-1" w:type="dxa"/>
            </w:tcMar>
            <w:vAlign w:val="top"/>
          </w:tcPr>
          <w:p w14:paraId="7427B34F">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2A087D31">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5E17DB48">
            <w:pPr>
              <w:jc w:val="center"/>
              <w:rPr>
                <w:rFonts w:hint="default" w:ascii="Times New Roman" w:hAnsi="Times New Roman" w:cs="Times New Roman"/>
              </w:rPr>
            </w:pPr>
            <w:r>
              <w:rPr>
                <w:rFonts w:hint="default" w:ascii="Times New Roman" w:hAnsi="Times New Roman" w:cs="Times New Roman"/>
              </w:rPr>
              <w:t>0.40 (0.09–0.70)</w:t>
            </w:r>
          </w:p>
        </w:tc>
        <w:tc>
          <w:tcPr>
            <w:tcW w:w="1080" w:type="dxa"/>
            <w:tcBorders>
              <w:top w:val="nil"/>
              <w:left w:val="nil"/>
              <w:bottom w:val="nil"/>
              <w:right w:val="nil"/>
            </w:tcBorders>
            <w:noWrap w:val="0"/>
            <w:tcMar>
              <w:top w:w="-1" w:type="dxa"/>
              <w:left w:w="-1" w:type="dxa"/>
              <w:bottom w:w="-1" w:type="dxa"/>
              <w:right w:w="-1" w:type="dxa"/>
            </w:tcMar>
            <w:vAlign w:val="top"/>
          </w:tcPr>
          <w:p w14:paraId="0B7EAC0A">
            <w:pPr>
              <w:jc w:val="center"/>
              <w:rPr>
                <w:rFonts w:hint="default" w:ascii="Times New Roman" w:hAnsi="Times New Roman" w:cs="Times New Roman"/>
              </w:rPr>
            </w:pPr>
            <w:r>
              <w:rPr>
                <w:rFonts w:hint="default" w:ascii="Times New Roman" w:hAnsi="Times New Roman" w:cs="Times New Roman"/>
              </w:rPr>
              <w:t>0.62 (0.08–1.00)</w:t>
            </w:r>
          </w:p>
        </w:tc>
        <w:tc>
          <w:tcPr>
            <w:tcW w:w="1080" w:type="dxa"/>
            <w:tcBorders>
              <w:top w:val="nil"/>
              <w:left w:val="nil"/>
              <w:bottom w:val="nil"/>
              <w:right w:val="nil"/>
            </w:tcBorders>
            <w:noWrap w:val="0"/>
            <w:tcMar>
              <w:top w:w="-1" w:type="dxa"/>
              <w:left w:w="-1" w:type="dxa"/>
              <w:bottom w:w="-1" w:type="dxa"/>
              <w:right w:w="-1" w:type="dxa"/>
            </w:tcMar>
            <w:vAlign w:val="top"/>
          </w:tcPr>
          <w:p w14:paraId="24CE318B">
            <w:pPr>
              <w:jc w:val="center"/>
              <w:rPr>
                <w:rFonts w:hint="default" w:ascii="Times New Roman" w:hAnsi="Times New Roman" w:cs="Times New Roman"/>
              </w:rPr>
            </w:pPr>
            <w:r>
              <w:rPr>
                <w:rFonts w:hint="default" w:ascii="Times New Roman" w:hAnsi="Times New Roman" w:cs="Times New Roman"/>
              </w:rPr>
              <w:t>0.009</w:t>
            </w:r>
          </w:p>
        </w:tc>
        <w:tc>
          <w:tcPr>
            <w:tcW w:w="1080" w:type="dxa"/>
            <w:tcBorders>
              <w:top w:val="nil"/>
              <w:left w:val="nil"/>
              <w:bottom w:val="nil"/>
              <w:right w:val="nil"/>
            </w:tcBorders>
            <w:noWrap w:val="0"/>
            <w:tcMar>
              <w:top w:w="-1" w:type="dxa"/>
              <w:left w:w="-1" w:type="dxa"/>
              <w:bottom w:w="-1" w:type="dxa"/>
              <w:right w:w="-1" w:type="dxa"/>
            </w:tcMar>
            <w:vAlign w:val="top"/>
          </w:tcPr>
          <w:p w14:paraId="7FB0B5AA">
            <w:pPr>
              <w:jc w:val="center"/>
              <w:rPr>
                <w:rFonts w:hint="default" w:ascii="Times New Roman" w:hAnsi="Times New Roman" w:cs="Times New Roman"/>
              </w:rPr>
            </w:pPr>
            <w:r>
              <w:rPr>
                <w:rFonts w:hint="default" w:ascii="Times New Roman" w:hAnsi="Times New Roman" w:cs="Times New Roman"/>
              </w:rPr>
              <w:t>0.023</w:t>
            </w:r>
          </w:p>
        </w:tc>
        <w:tc>
          <w:tcPr>
            <w:tcW w:w="1080" w:type="dxa"/>
            <w:tcBorders>
              <w:top w:val="nil"/>
              <w:left w:val="nil"/>
              <w:bottom w:val="nil"/>
              <w:right w:val="nil"/>
            </w:tcBorders>
            <w:noWrap w:val="0"/>
            <w:tcMar>
              <w:top w:w="-1" w:type="dxa"/>
              <w:left w:w="-1" w:type="dxa"/>
              <w:bottom w:w="-1" w:type="dxa"/>
              <w:right w:w="-1" w:type="dxa"/>
            </w:tcMar>
            <w:vAlign w:val="top"/>
          </w:tcPr>
          <w:p w14:paraId="212CCC7A">
            <w:pPr>
              <w:jc w:val="center"/>
              <w:rPr>
                <w:rFonts w:hint="default" w:ascii="Times New Roman" w:hAnsi="Times New Roman" w:cs="Times New Roman"/>
              </w:rPr>
            </w:pPr>
            <w:r>
              <w:rPr>
                <w:rFonts w:hint="default" w:ascii="Times New Roman" w:hAnsi="Times New Roman" w:cs="Times New Roman"/>
              </w:rPr>
              <w:t>Yes</w:t>
            </w:r>
          </w:p>
        </w:tc>
      </w:tr>
      <w:tr w14:paraId="2C5DDD9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3C25AB97">
            <w:pPr>
              <w:rPr>
                <w:rFonts w:hint="default" w:ascii="Times New Roman" w:hAnsi="Times New Roman" w:cs="Times New Roman"/>
              </w:rPr>
            </w:pPr>
            <w:r>
              <w:rPr>
                <w:rFonts w:hint="default" w:ascii="Times New Roman" w:hAnsi="Times New Roman" w:cs="Times New Roman"/>
              </w:rPr>
              <w:t>TnI</w:t>
            </w:r>
          </w:p>
        </w:tc>
        <w:tc>
          <w:tcPr>
            <w:tcW w:w="1080" w:type="dxa"/>
            <w:tcBorders>
              <w:top w:val="nil"/>
              <w:left w:val="nil"/>
              <w:bottom w:val="nil"/>
              <w:right w:val="nil"/>
            </w:tcBorders>
            <w:noWrap w:val="0"/>
            <w:tcMar>
              <w:top w:w="-1" w:type="dxa"/>
              <w:left w:w="-1" w:type="dxa"/>
              <w:bottom w:w="-1" w:type="dxa"/>
              <w:right w:w="-1" w:type="dxa"/>
            </w:tcMar>
            <w:vAlign w:val="top"/>
          </w:tcPr>
          <w:p w14:paraId="5D45C7B9">
            <w:pPr>
              <w:jc w:val="center"/>
              <w:rPr>
                <w:rFonts w:hint="default" w:ascii="Times New Roman" w:hAnsi="Times New Roman" w:cs="Times New Roman"/>
              </w:rPr>
            </w:pPr>
            <w:r>
              <w:rPr>
                <w:rFonts w:hint="default" w:ascii="Times New Roman" w:hAnsi="Times New Roman" w:cs="Times New Roman"/>
              </w:rPr>
              <w:t>85</w:t>
            </w:r>
          </w:p>
        </w:tc>
        <w:tc>
          <w:tcPr>
            <w:tcW w:w="1080" w:type="dxa"/>
            <w:tcBorders>
              <w:top w:val="nil"/>
              <w:left w:val="nil"/>
              <w:bottom w:val="nil"/>
              <w:right w:val="nil"/>
            </w:tcBorders>
            <w:noWrap w:val="0"/>
            <w:tcMar>
              <w:top w:w="-1" w:type="dxa"/>
              <w:left w:w="-1" w:type="dxa"/>
              <w:bottom w:w="-1" w:type="dxa"/>
              <w:right w:w="-1" w:type="dxa"/>
            </w:tcMar>
            <w:vAlign w:val="top"/>
          </w:tcPr>
          <w:p w14:paraId="0D5DB922">
            <w:pPr>
              <w:jc w:val="center"/>
              <w:rPr>
                <w:rFonts w:hint="default" w:ascii="Times New Roman" w:hAnsi="Times New Roman" w:cs="Times New Roman"/>
              </w:rPr>
            </w:pPr>
            <w:r>
              <w:rPr>
                <w:rFonts w:hint="default" w:ascii="Times New Roman" w:hAnsi="Times New Roman" w:cs="Times New Roman"/>
              </w:rPr>
              <w:t>77</w:t>
            </w:r>
          </w:p>
        </w:tc>
        <w:tc>
          <w:tcPr>
            <w:tcW w:w="1080" w:type="dxa"/>
            <w:tcBorders>
              <w:top w:val="nil"/>
              <w:left w:val="nil"/>
              <w:bottom w:val="nil"/>
              <w:right w:val="nil"/>
            </w:tcBorders>
            <w:noWrap w:val="0"/>
            <w:tcMar>
              <w:top w:w="-1" w:type="dxa"/>
              <w:left w:w="-1" w:type="dxa"/>
              <w:bottom w:w="-1" w:type="dxa"/>
              <w:right w:w="-1" w:type="dxa"/>
            </w:tcMar>
            <w:vAlign w:val="top"/>
          </w:tcPr>
          <w:p w14:paraId="75206291">
            <w:pPr>
              <w:jc w:val="center"/>
              <w:rPr>
                <w:rFonts w:hint="default" w:ascii="Times New Roman" w:hAnsi="Times New Roman" w:cs="Times New Roman"/>
              </w:rPr>
            </w:pPr>
            <w:r>
              <w:rPr>
                <w:rFonts w:hint="default" w:ascii="Times New Roman" w:hAnsi="Times New Roman" w:cs="Times New Roman"/>
              </w:rPr>
              <w:t>0.03 (0.01–0.06)</w:t>
            </w:r>
          </w:p>
        </w:tc>
        <w:tc>
          <w:tcPr>
            <w:tcW w:w="1080" w:type="dxa"/>
            <w:tcBorders>
              <w:top w:val="nil"/>
              <w:left w:val="nil"/>
              <w:bottom w:val="nil"/>
              <w:right w:val="nil"/>
            </w:tcBorders>
            <w:noWrap w:val="0"/>
            <w:tcMar>
              <w:top w:w="-1" w:type="dxa"/>
              <w:left w:w="-1" w:type="dxa"/>
              <w:bottom w:w="-1" w:type="dxa"/>
              <w:right w:w="-1" w:type="dxa"/>
            </w:tcMar>
            <w:vAlign w:val="top"/>
          </w:tcPr>
          <w:p w14:paraId="19D7AE27">
            <w:pPr>
              <w:jc w:val="center"/>
              <w:rPr>
                <w:rFonts w:hint="default" w:ascii="Times New Roman" w:hAnsi="Times New Roman" w:cs="Times New Roman"/>
              </w:rPr>
            </w:pPr>
            <w:r>
              <w:rPr>
                <w:rFonts w:hint="default" w:ascii="Times New Roman" w:hAnsi="Times New Roman" w:cs="Times New Roman"/>
              </w:rPr>
              <w:t>0.02 (0.01–0.03)</w:t>
            </w:r>
          </w:p>
        </w:tc>
        <w:tc>
          <w:tcPr>
            <w:tcW w:w="1080" w:type="dxa"/>
            <w:tcBorders>
              <w:top w:val="nil"/>
              <w:left w:val="nil"/>
              <w:bottom w:val="nil"/>
              <w:right w:val="nil"/>
            </w:tcBorders>
            <w:noWrap w:val="0"/>
            <w:tcMar>
              <w:top w:w="-1" w:type="dxa"/>
              <w:left w:w="-1" w:type="dxa"/>
              <w:bottom w:w="-1" w:type="dxa"/>
              <w:right w:w="-1" w:type="dxa"/>
            </w:tcMar>
            <w:vAlign w:val="top"/>
          </w:tcPr>
          <w:p w14:paraId="0DB3F80F">
            <w:pPr>
              <w:jc w:val="center"/>
              <w:rPr>
                <w:rFonts w:hint="default" w:ascii="Times New Roman" w:hAnsi="Times New Roman" w:cs="Times New Roman"/>
              </w:rPr>
            </w:pPr>
            <w:r>
              <w:rPr>
                <w:rFonts w:hint="default" w:ascii="Times New Roman" w:hAnsi="Times New Roman" w:cs="Times New Roman"/>
              </w:rPr>
              <w:t>0.010</w:t>
            </w:r>
          </w:p>
        </w:tc>
        <w:tc>
          <w:tcPr>
            <w:tcW w:w="1080" w:type="dxa"/>
            <w:tcBorders>
              <w:top w:val="nil"/>
              <w:left w:val="nil"/>
              <w:bottom w:val="nil"/>
              <w:right w:val="nil"/>
            </w:tcBorders>
            <w:noWrap w:val="0"/>
            <w:tcMar>
              <w:top w:w="-1" w:type="dxa"/>
              <w:left w:w="-1" w:type="dxa"/>
              <w:bottom w:w="-1" w:type="dxa"/>
              <w:right w:w="-1" w:type="dxa"/>
            </w:tcMar>
            <w:vAlign w:val="top"/>
          </w:tcPr>
          <w:p w14:paraId="11E91EB8">
            <w:pPr>
              <w:jc w:val="center"/>
              <w:rPr>
                <w:rFonts w:hint="default" w:ascii="Times New Roman" w:hAnsi="Times New Roman" w:cs="Times New Roman"/>
              </w:rPr>
            </w:pPr>
            <w:r>
              <w:rPr>
                <w:rFonts w:hint="default" w:ascii="Times New Roman" w:hAnsi="Times New Roman" w:cs="Times New Roman"/>
              </w:rPr>
              <w:t>0.023</w:t>
            </w:r>
          </w:p>
        </w:tc>
        <w:tc>
          <w:tcPr>
            <w:tcW w:w="1080" w:type="dxa"/>
            <w:tcBorders>
              <w:top w:val="nil"/>
              <w:left w:val="nil"/>
              <w:bottom w:val="nil"/>
              <w:right w:val="nil"/>
            </w:tcBorders>
            <w:noWrap w:val="0"/>
            <w:tcMar>
              <w:top w:w="-1" w:type="dxa"/>
              <w:left w:w="-1" w:type="dxa"/>
              <w:bottom w:w="-1" w:type="dxa"/>
              <w:right w:w="-1" w:type="dxa"/>
            </w:tcMar>
            <w:vAlign w:val="top"/>
          </w:tcPr>
          <w:p w14:paraId="486C1ACC">
            <w:pPr>
              <w:jc w:val="center"/>
              <w:rPr>
                <w:rFonts w:hint="default" w:ascii="Times New Roman" w:hAnsi="Times New Roman" w:cs="Times New Roman"/>
              </w:rPr>
            </w:pPr>
            <w:r>
              <w:rPr>
                <w:rFonts w:hint="default" w:ascii="Times New Roman" w:hAnsi="Times New Roman" w:cs="Times New Roman"/>
              </w:rPr>
              <w:t>Yes</w:t>
            </w:r>
          </w:p>
        </w:tc>
      </w:tr>
      <w:tr w14:paraId="7D1504E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B40DA6B">
            <w:pPr>
              <w:rPr>
                <w:rFonts w:hint="default" w:ascii="Times New Roman" w:hAnsi="Times New Roman" w:cs="Times New Roman"/>
              </w:rPr>
            </w:pPr>
            <w:r>
              <w:rPr>
                <w:rFonts w:hint="default" w:ascii="Times New Roman" w:hAnsi="Times New Roman" w:cs="Times New Roman"/>
              </w:rPr>
              <w:t>phosphorus</w:t>
            </w:r>
          </w:p>
        </w:tc>
        <w:tc>
          <w:tcPr>
            <w:tcW w:w="1080" w:type="dxa"/>
            <w:tcBorders>
              <w:top w:val="nil"/>
              <w:left w:val="nil"/>
              <w:bottom w:val="nil"/>
              <w:right w:val="nil"/>
            </w:tcBorders>
            <w:noWrap w:val="0"/>
            <w:tcMar>
              <w:top w:w="-1" w:type="dxa"/>
              <w:left w:w="-1" w:type="dxa"/>
              <w:bottom w:w="-1" w:type="dxa"/>
              <w:right w:w="-1" w:type="dxa"/>
            </w:tcMar>
            <w:vAlign w:val="top"/>
          </w:tcPr>
          <w:p w14:paraId="7950657E">
            <w:pPr>
              <w:jc w:val="center"/>
              <w:rPr>
                <w:rFonts w:hint="default" w:ascii="Times New Roman" w:hAnsi="Times New Roman" w:cs="Times New Roman"/>
              </w:rPr>
            </w:pPr>
            <w:r>
              <w:rPr>
                <w:rFonts w:hint="default" w:ascii="Times New Roman" w:hAnsi="Times New Roman" w:cs="Times New Roman"/>
              </w:rPr>
              <w:t>82</w:t>
            </w:r>
          </w:p>
        </w:tc>
        <w:tc>
          <w:tcPr>
            <w:tcW w:w="1080" w:type="dxa"/>
            <w:tcBorders>
              <w:top w:val="nil"/>
              <w:left w:val="nil"/>
              <w:bottom w:val="nil"/>
              <w:right w:val="nil"/>
            </w:tcBorders>
            <w:noWrap w:val="0"/>
            <w:tcMar>
              <w:top w:w="-1" w:type="dxa"/>
              <w:left w:w="-1" w:type="dxa"/>
              <w:bottom w:w="-1" w:type="dxa"/>
              <w:right w:w="-1" w:type="dxa"/>
            </w:tcMar>
            <w:vAlign w:val="top"/>
          </w:tcPr>
          <w:p w14:paraId="20FCF5A1">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71A7A522">
            <w:pPr>
              <w:jc w:val="center"/>
              <w:rPr>
                <w:rFonts w:hint="default" w:ascii="Times New Roman" w:hAnsi="Times New Roman" w:cs="Times New Roman"/>
              </w:rPr>
            </w:pPr>
            <w:r>
              <w:rPr>
                <w:rFonts w:hint="default" w:ascii="Times New Roman" w:hAnsi="Times New Roman" w:cs="Times New Roman"/>
              </w:rPr>
              <w:t>1.40 (1.06–1.76)</w:t>
            </w:r>
          </w:p>
        </w:tc>
        <w:tc>
          <w:tcPr>
            <w:tcW w:w="1080" w:type="dxa"/>
            <w:tcBorders>
              <w:top w:val="nil"/>
              <w:left w:val="nil"/>
              <w:bottom w:val="nil"/>
              <w:right w:val="nil"/>
            </w:tcBorders>
            <w:noWrap w:val="0"/>
            <w:tcMar>
              <w:top w:w="-1" w:type="dxa"/>
              <w:left w:w="-1" w:type="dxa"/>
              <w:bottom w:w="-1" w:type="dxa"/>
              <w:right w:w="-1" w:type="dxa"/>
            </w:tcMar>
            <w:vAlign w:val="top"/>
          </w:tcPr>
          <w:p w14:paraId="70AC245E">
            <w:pPr>
              <w:jc w:val="center"/>
              <w:rPr>
                <w:rFonts w:hint="default" w:ascii="Times New Roman" w:hAnsi="Times New Roman" w:cs="Times New Roman"/>
              </w:rPr>
            </w:pPr>
            <w:r>
              <w:rPr>
                <w:rFonts w:hint="default" w:ascii="Times New Roman" w:hAnsi="Times New Roman" w:cs="Times New Roman"/>
              </w:rPr>
              <w:t>1.57 (1.29–2.09)</w:t>
            </w:r>
          </w:p>
        </w:tc>
        <w:tc>
          <w:tcPr>
            <w:tcW w:w="1080" w:type="dxa"/>
            <w:tcBorders>
              <w:top w:val="nil"/>
              <w:left w:val="nil"/>
              <w:bottom w:val="nil"/>
              <w:right w:val="nil"/>
            </w:tcBorders>
            <w:noWrap w:val="0"/>
            <w:tcMar>
              <w:top w:w="-1" w:type="dxa"/>
              <w:left w:w="-1" w:type="dxa"/>
              <w:bottom w:w="-1" w:type="dxa"/>
              <w:right w:w="-1" w:type="dxa"/>
            </w:tcMar>
            <w:vAlign w:val="top"/>
          </w:tcPr>
          <w:p w14:paraId="0E6F3BF3">
            <w:pPr>
              <w:jc w:val="center"/>
              <w:rPr>
                <w:rFonts w:hint="default" w:ascii="Times New Roman" w:hAnsi="Times New Roman" w:cs="Times New Roman"/>
              </w:rPr>
            </w:pPr>
            <w:r>
              <w:rPr>
                <w:rFonts w:hint="default" w:ascii="Times New Roman" w:hAnsi="Times New Roman" w:cs="Times New Roman"/>
              </w:rPr>
              <w:t>0.011</w:t>
            </w:r>
          </w:p>
        </w:tc>
        <w:tc>
          <w:tcPr>
            <w:tcW w:w="1080" w:type="dxa"/>
            <w:tcBorders>
              <w:top w:val="nil"/>
              <w:left w:val="nil"/>
              <w:bottom w:val="nil"/>
              <w:right w:val="nil"/>
            </w:tcBorders>
            <w:noWrap w:val="0"/>
            <w:tcMar>
              <w:top w:w="-1" w:type="dxa"/>
              <w:left w:w="-1" w:type="dxa"/>
              <w:bottom w:w="-1" w:type="dxa"/>
              <w:right w:w="-1" w:type="dxa"/>
            </w:tcMar>
            <w:vAlign w:val="top"/>
          </w:tcPr>
          <w:p w14:paraId="428A2F9F">
            <w:pPr>
              <w:jc w:val="center"/>
              <w:rPr>
                <w:rFonts w:hint="default" w:ascii="Times New Roman" w:hAnsi="Times New Roman" w:cs="Times New Roman"/>
              </w:rPr>
            </w:pPr>
            <w:r>
              <w:rPr>
                <w:rFonts w:hint="default" w:ascii="Times New Roman" w:hAnsi="Times New Roman" w:cs="Times New Roman"/>
              </w:rPr>
              <w:t>0.024</w:t>
            </w:r>
          </w:p>
        </w:tc>
        <w:tc>
          <w:tcPr>
            <w:tcW w:w="1080" w:type="dxa"/>
            <w:tcBorders>
              <w:top w:val="nil"/>
              <w:left w:val="nil"/>
              <w:bottom w:val="nil"/>
              <w:right w:val="nil"/>
            </w:tcBorders>
            <w:noWrap w:val="0"/>
            <w:tcMar>
              <w:top w:w="-1" w:type="dxa"/>
              <w:left w:w="-1" w:type="dxa"/>
              <w:bottom w:w="-1" w:type="dxa"/>
              <w:right w:w="-1" w:type="dxa"/>
            </w:tcMar>
            <w:vAlign w:val="top"/>
          </w:tcPr>
          <w:p w14:paraId="5DB27742">
            <w:pPr>
              <w:jc w:val="center"/>
              <w:rPr>
                <w:rFonts w:hint="default" w:ascii="Times New Roman" w:hAnsi="Times New Roman" w:cs="Times New Roman"/>
              </w:rPr>
            </w:pPr>
            <w:r>
              <w:rPr>
                <w:rFonts w:hint="default" w:ascii="Times New Roman" w:hAnsi="Times New Roman" w:cs="Times New Roman"/>
              </w:rPr>
              <w:t>Yes</w:t>
            </w:r>
          </w:p>
        </w:tc>
      </w:tr>
      <w:tr w14:paraId="25752C4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018794C8">
            <w:pPr>
              <w:rPr>
                <w:rFonts w:hint="default" w:ascii="Times New Roman" w:hAnsi="Times New Roman" w:cs="Times New Roman"/>
              </w:rPr>
            </w:pPr>
            <w:r>
              <w:rPr>
                <w:rFonts w:hint="default" w:ascii="Times New Roman" w:hAnsi="Times New Roman" w:cs="Times New Roman"/>
              </w:rPr>
              <w:t>ESR</w:t>
            </w:r>
          </w:p>
        </w:tc>
        <w:tc>
          <w:tcPr>
            <w:tcW w:w="1080" w:type="dxa"/>
            <w:tcBorders>
              <w:top w:val="nil"/>
              <w:left w:val="nil"/>
              <w:bottom w:val="nil"/>
              <w:right w:val="nil"/>
            </w:tcBorders>
            <w:noWrap w:val="0"/>
            <w:tcMar>
              <w:top w:w="-1" w:type="dxa"/>
              <w:left w:w="-1" w:type="dxa"/>
              <w:bottom w:w="-1" w:type="dxa"/>
              <w:right w:w="-1" w:type="dxa"/>
            </w:tcMar>
            <w:vAlign w:val="top"/>
          </w:tcPr>
          <w:p w14:paraId="51902372">
            <w:pPr>
              <w:jc w:val="center"/>
              <w:rPr>
                <w:rFonts w:hint="default" w:ascii="Times New Roman" w:hAnsi="Times New Roman" w:cs="Times New Roman"/>
              </w:rPr>
            </w:pPr>
            <w:r>
              <w:rPr>
                <w:rFonts w:hint="default" w:ascii="Times New Roman" w:hAnsi="Times New Roman" w:cs="Times New Roman"/>
              </w:rPr>
              <w:t>21</w:t>
            </w:r>
          </w:p>
        </w:tc>
        <w:tc>
          <w:tcPr>
            <w:tcW w:w="1080" w:type="dxa"/>
            <w:tcBorders>
              <w:top w:val="nil"/>
              <w:left w:val="nil"/>
              <w:bottom w:val="nil"/>
              <w:right w:val="nil"/>
            </w:tcBorders>
            <w:noWrap w:val="0"/>
            <w:tcMar>
              <w:top w:w="-1" w:type="dxa"/>
              <w:left w:w="-1" w:type="dxa"/>
              <w:bottom w:w="-1" w:type="dxa"/>
              <w:right w:w="-1" w:type="dxa"/>
            </w:tcMar>
            <w:vAlign w:val="top"/>
          </w:tcPr>
          <w:p w14:paraId="3701DE6A">
            <w:pPr>
              <w:jc w:val="center"/>
              <w:rPr>
                <w:rFonts w:hint="default" w:ascii="Times New Roman" w:hAnsi="Times New Roman" w:cs="Times New Roman"/>
              </w:rPr>
            </w:pPr>
            <w:r>
              <w:rPr>
                <w:rFonts w:hint="default" w:ascii="Times New Roman" w:hAnsi="Times New Roman" w:cs="Times New Roman"/>
              </w:rPr>
              <w:t>25</w:t>
            </w:r>
          </w:p>
        </w:tc>
        <w:tc>
          <w:tcPr>
            <w:tcW w:w="1080" w:type="dxa"/>
            <w:tcBorders>
              <w:top w:val="nil"/>
              <w:left w:val="nil"/>
              <w:bottom w:val="nil"/>
              <w:right w:val="nil"/>
            </w:tcBorders>
            <w:noWrap w:val="0"/>
            <w:tcMar>
              <w:top w:w="-1" w:type="dxa"/>
              <w:left w:w="-1" w:type="dxa"/>
              <w:bottom w:w="-1" w:type="dxa"/>
              <w:right w:w="-1" w:type="dxa"/>
            </w:tcMar>
            <w:vAlign w:val="top"/>
          </w:tcPr>
          <w:p w14:paraId="3463B8E6">
            <w:pPr>
              <w:jc w:val="center"/>
              <w:rPr>
                <w:rFonts w:hint="default" w:ascii="Times New Roman" w:hAnsi="Times New Roman" w:cs="Times New Roman"/>
              </w:rPr>
            </w:pPr>
            <w:r>
              <w:rPr>
                <w:rFonts w:hint="default" w:ascii="Times New Roman" w:hAnsi="Times New Roman" w:cs="Times New Roman"/>
              </w:rPr>
              <w:t>75.52 ± 27.79</w:t>
            </w:r>
          </w:p>
        </w:tc>
        <w:tc>
          <w:tcPr>
            <w:tcW w:w="1080" w:type="dxa"/>
            <w:tcBorders>
              <w:top w:val="nil"/>
              <w:left w:val="nil"/>
              <w:bottom w:val="nil"/>
              <w:right w:val="nil"/>
            </w:tcBorders>
            <w:noWrap w:val="0"/>
            <w:tcMar>
              <w:top w:w="-1" w:type="dxa"/>
              <w:left w:w="-1" w:type="dxa"/>
              <w:bottom w:w="-1" w:type="dxa"/>
              <w:right w:w="-1" w:type="dxa"/>
            </w:tcMar>
            <w:vAlign w:val="top"/>
          </w:tcPr>
          <w:p w14:paraId="7EC964B3">
            <w:pPr>
              <w:jc w:val="center"/>
              <w:rPr>
                <w:rFonts w:hint="default" w:ascii="Times New Roman" w:hAnsi="Times New Roman" w:cs="Times New Roman"/>
              </w:rPr>
            </w:pPr>
            <w:r>
              <w:rPr>
                <w:rFonts w:hint="default" w:ascii="Times New Roman" w:hAnsi="Times New Roman" w:cs="Times New Roman"/>
              </w:rPr>
              <w:t>53.52 ± 24.79</w:t>
            </w:r>
          </w:p>
        </w:tc>
        <w:tc>
          <w:tcPr>
            <w:tcW w:w="1080" w:type="dxa"/>
            <w:tcBorders>
              <w:top w:val="nil"/>
              <w:left w:val="nil"/>
              <w:bottom w:val="nil"/>
              <w:right w:val="nil"/>
            </w:tcBorders>
            <w:noWrap w:val="0"/>
            <w:tcMar>
              <w:top w:w="-1" w:type="dxa"/>
              <w:left w:w="-1" w:type="dxa"/>
              <w:bottom w:w="-1" w:type="dxa"/>
              <w:right w:w="-1" w:type="dxa"/>
            </w:tcMar>
            <w:vAlign w:val="top"/>
          </w:tcPr>
          <w:p w14:paraId="4DEB9905">
            <w:pPr>
              <w:jc w:val="center"/>
              <w:rPr>
                <w:rFonts w:hint="default" w:ascii="Times New Roman" w:hAnsi="Times New Roman" w:cs="Times New Roman"/>
              </w:rPr>
            </w:pPr>
            <w:r>
              <w:rPr>
                <w:rFonts w:hint="default" w:ascii="Times New Roman" w:hAnsi="Times New Roman" w:cs="Times New Roman"/>
              </w:rPr>
              <w:t>0.012</w:t>
            </w:r>
          </w:p>
        </w:tc>
        <w:tc>
          <w:tcPr>
            <w:tcW w:w="1080" w:type="dxa"/>
            <w:tcBorders>
              <w:top w:val="nil"/>
              <w:left w:val="nil"/>
              <w:bottom w:val="nil"/>
              <w:right w:val="nil"/>
            </w:tcBorders>
            <w:noWrap w:val="0"/>
            <w:tcMar>
              <w:top w:w="-1" w:type="dxa"/>
              <w:left w:w="-1" w:type="dxa"/>
              <w:bottom w:w="-1" w:type="dxa"/>
              <w:right w:w="-1" w:type="dxa"/>
            </w:tcMar>
            <w:vAlign w:val="top"/>
          </w:tcPr>
          <w:p w14:paraId="6CFA4D53">
            <w:pPr>
              <w:jc w:val="center"/>
              <w:rPr>
                <w:rFonts w:hint="default" w:ascii="Times New Roman" w:hAnsi="Times New Roman" w:cs="Times New Roman"/>
              </w:rPr>
            </w:pPr>
            <w:r>
              <w:rPr>
                <w:rFonts w:hint="default" w:ascii="Times New Roman" w:hAnsi="Times New Roman" w:cs="Times New Roman"/>
              </w:rPr>
              <w:t>0.027</w:t>
            </w:r>
          </w:p>
        </w:tc>
        <w:tc>
          <w:tcPr>
            <w:tcW w:w="1080" w:type="dxa"/>
            <w:tcBorders>
              <w:top w:val="nil"/>
              <w:left w:val="nil"/>
              <w:bottom w:val="nil"/>
              <w:right w:val="nil"/>
            </w:tcBorders>
            <w:noWrap w:val="0"/>
            <w:tcMar>
              <w:top w:w="-1" w:type="dxa"/>
              <w:left w:w="-1" w:type="dxa"/>
              <w:bottom w:w="-1" w:type="dxa"/>
              <w:right w:w="-1" w:type="dxa"/>
            </w:tcMar>
            <w:vAlign w:val="top"/>
          </w:tcPr>
          <w:p w14:paraId="6D7DA143">
            <w:pPr>
              <w:jc w:val="center"/>
              <w:rPr>
                <w:rFonts w:hint="default" w:ascii="Times New Roman" w:hAnsi="Times New Roman" w:cs="Times New Roman"/>
              </w:rPr>
            </w:pPr>
            <w:r>
              <w:rPr>
                <w:rFonts w:hint="default" w:ascii="Times New Roman" w:hAnsi="Times New Roman" w:cs="Times New Roman"/>
              </w:rPr>
              <w:t>Yes</w:t>
            </w:r>
          </w:p>
        </w:tc>
      </w:tr>
      <w:tr w14:paraId="08A5A284">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7BA30A3F">
            <w:pPr>
              <w:rPr>
                <w:rFonts w:hint="default" w:ascii="Times New Roman" w:hAnsi="Times New Roman" w:cs="Times New Roman"/>
              </w:rPr>
            </w:pPr>
            <w:r>
              <w:rPr>
                <w:rFonts w:hint="default" w:ascii="Times New Roman" w:hAnsi="Times New Roman" w:cs="Times New Roman"/>
              </w:rPr>
              <w:t>ferritin</w:t>
            </w:r>
          </w:p>
        </w:tc>
        <w:tc>
          <w:tcPr>
            <w:tcW w:w="1080" w:type="dxa"/>
            <w:tcBorders>
              <w:top w:val="nil"/>
              <w:left w:val="nil"/>
              <w:bottom w:val="nil"/>
              <w:right w:val="nil"/>
            </w:tcBorders>
            <w:noWrap w:val="0"/>
            <w:tcMar>
              <w:top w:w="-1" w:type="dxa"/>
              <w:left w:w="-1" w:type="dxa"/>
              <w:bottom w:w="-1" w:type="dxa"/>
              <w:right w:w="-1" w:type="dxa"/>
            </w:tcMar>
            <w:vAlign w:val="top"/>
          </w:tcPr>
          <w:p w14:paraId="3F7E7ED4">
            <w:pPr>
              <w:jc w:val="center"/>
              <w:rPr>
                <w:rFonts w:hint="default" w:ascii="Times New Roman" w:hAnsi="Times New Roman" w:cs="Times New Roman"/>
              </w:rPr>
            </w:pPr>
            <w:r>
              <w:rPr>
                <w:rFonts w:hint="default" w:ascii="Times New Roman" w:hAnsi="Times New Roman" w:cs="Times New Roman"/>
              </w:rPr>
              <w:t>51</w:t>
            </w:r>
          </w:p>
        </w:tc>
        <w:tc>
          <w:tcPr>
            <w:tcW w:w="1080" w:type="dxa"/>
            <w:tcBorders>
              <w:top w:val="nil"/>
              <w:left w:val="nil"/>
              <w:bottom w:val="nil"/>
              <w:right w:val="nil"/>
            </w:tcBorders>
            <w:noWrap w:val="0"/>
            <w:tcMar>
              <w:top w:w="-1" w:type="dxa"/>
              <w:left w:w="-1" w:type="dxa"/>
              <w:bottom w:w="-1" w:type="dxa"/>
              <w:right w:w="-1" w:type="dxa"/>
            </w:tcMar>
            <w:vAlign w:val="top"/>
          </w:tcPr>
          <w:p w14:paraId="50BA44A4">
            <w:pPr>
              <w:jc w:val="center"/>
              <w:rPr>
                <w:rFonts w:hint="default" w:ascii="Times New Roman" w:hAnsi="Times New Roman" w:cs="Times New Roman"/>
              </w:rPr>
            </w:pPr>
            <w:r>
              <w:rPr>
                <w:rFonts w:hint="default" w:ascii="Times New Roman" w:hAnsi="Times New Roman" w:cs="Times New Roman"/>
              </w:rPr>
              <w:t>72</w:t>
            </w:r>
          </w:p>
        </w:tc>
        <w:tc>
          <w:tcPr>
            <w:tcW w:w="1080" w:type="dxa"/>
            <w:tcBorders>
              <w:top w:val="nil"/>
              <w:left w:val="nil"/>
              <w:bottom w:val="nil"/>
              <w:right w:val="nil"/>
            </w:tcBorders>
            <w:noWrap w:val="0"/>
            <w:tcMar>
              <w:top w:w="-1" w:type="dxa"/>
              <w:left w:w="-1" w:type="dxa"/>
              <w:bottom w:w="-1" w:type="dxa"/>
              <w:right w:w="-1" w:type="dxa"/>
            </w:tcMar>
            <w:vAlign w:val="top"/>
          </w:tcPr>
          <w:p w14:paraId="152DD5D8">
            <w:pPr>
              <w:jc w:val="center"/>
              <w:rPr>
                <w:rFonts w:hint="default" w:ascii="Times New Roman" w:hAnsi="Times New Roman" w:cs="Times New Roman"/>
              </w:rPr>
            </w:pPr>
            <w:r>
              <w:rPr>
                <w:rFonts w:hint="default" w:ascii="Times New Roman" w:hAnsi="Times New Roman" w:cs="Times New Roman"/>
              </w:rPr>
              <w:t>308.20 (177.60–614.09)</w:t>
            </w:r>
          </w:p>
        </w:tc>
        <w:tc>
          <w:tcPr>
            <w:tcW w:w="1080" w:type="dxa"/>
            <w:tcBorders>
              <w:top w:val="nil"/>
              <w:left w:val="nil"/>
              <w:bottom w:val="nil"/>
              <w:right w:val="nil"/>
            </w:tcBorders>
            <w:noWrap w:val="0"/>
            <w:tcMar>
              <w:top w:w="-1" w:type="dxa"/>
              <w:left w:w="-1" w:type="dxa"/>
              <w:bottom w:w="-1" w:type="dxa"/>
              <w:right w:w="-1" w:type="dxa"/>
            </w:tcMar>
            <w:vAlign w:val="top"/>
          </w:tcPr>
          <w:p w14:paraId="2B3DD758">
            <w:pPr>
              <w:jc w:val="center"/>
              <w:rPr>
                <w:rFonts w:hint="default" w:ascii="Times New Roman" w:hAnsi="Times New Roman" w:cs="Times New Roman"/>
              </w:rPr>
            </w:pPr>
            <w:r>
              <w:rPr>
                <w:rFonts w:hint="default" w:ascii="Times New Roman" w:hAnsi="Times New Roman" w:cs="Times New Roman"/>
              </w:rPr>
              <w:t>202.73 (98.16–363.50)</w:t>
            </w:r>
          </w:p>
        </w:tc>
        <w:tc>
          <w:tcPr>
            <w:tcW w:w="1080" w:type="dxa"/>
            <w:tcBorders>
              <w:top w:val="nil"/>
              <w:left w:val="nil"/>
              <w:bottom w:val="nil"/>
              <w:right w:val="nil"/>
            </w:tcBorders>
            <w:noWrap w:val="0"/>
            <w:tcMar>
              <w:top w:w="-1" w:type="dxa"/>
              <w:left w:w="-1" w:type="dxa"/>
              <w:bottom w:w="-1" w:type="dxa"/>
              <w:right w:w="-1" w:type="dxa"/>
            </w:tcMar>
            <w:vAlign w:val="top"/>
          </w:tcPr>
          <w:p w14:paraId="01B11C62">
            <w:pPr>
              <w:jc w:val="center"/>
              <w:rPr>
                <w:rFonts w:hint="default" w:ascii="Times New Roman" w:hAnsi="Times New Roman" w:cs="Times New Roman"/>
              </w:rPr>
            </w:pPr>
            <w:r>
              <w:rPr>
                <w:rFonts w:hint="default" w:ascii="Times New Roman" w:hAnsi="Times New Roman" w:cs="Times New Roman"/>
              </w:rPr>
              <w:t>0.022</w:t>
            </w:r>
          </w:p>
        </w:tc>
        <w:tc>
          <w:tcPr>
            <w:tcW w:w="1080" w:type="dxa"/>
            <w:tcBorders>
              <w:top w:val="nil"/>
              <w:left w:val="nil"/>
              <w:bottom w:val="nil"/>
              <w:right w:val="nil"/>
            </w:tcBorders>
            <w:noWrap w:val="0"/>
            <w:tcMar>
              <w:top w:w="-1" w:type="dxa"/>
              <w:left w:w="-1" w:type="dxa"/>
              <w:bottom w:w="-1" w:type="dxa"/>
              <w:right w:w="-1" w:type="dxa"/>
            </w:tcMar>
            <w:vAlign w:val="top"/>
          </w:tcPr>
          <w:p w14:paraId="0F38087C">
            <w:pPr>
              <w:jc w:val="center"/>
              <w:rPr>
                <w:rFonts w:hint="default" w:ascii="Times New Roman" w:hAnsi="Times New Roman" w:cs="Times New Roman"/>
              </w:rPr>
            </w:pPr>
            <w:r>
              <w:rPr>
                <w:rFonts w:hint="default" w:ascii="Times New Roman" w:hAnsi="Times New Roman" w:cs="Times New Roman"/>
              </w:rPr>
              <w:t>0.047</w:t>
            </w:r>
          </w:p>
        </w:tc>
        <w:tc>
          <w:tcPr>
            <w:tcW w:w="1080" w:type="dxa"/>
            <w:tcBorders>
              <w:top w:val="nil"/>
              <w:left w:val="nil"/>
              <w:bottom w:val="nil"/>
              <w:right w:val="nil"/>
            </w:tcBorders>
            <w:noWrap w:val="0"/>
            <w:tcMar>
              <w:top w:w="-1" w:type="dxa"/>
              <w:left w:w="-1" w:type="dxa"/>
              <w:bottom w:w="-1" w:type="dxa"/>
              <w:right w:w="-1" w:type="dxa"/>
            </w:tcMar>
            <w:vAlign w:val="top"/>
          </w:tcPr>
          <w:p w14:paraId="7C744D4D">
            <w:pPr>
              <w:jc w:val="center"/>
              <w:rPr>
                <w:rFonts w:hint="default" w:ascii="Times New Roman" w:hAnsi="Times New Roman" w:cs="Times New Roman"/>
              </w:rPr>
            </w:pPr>
            <w:r>
              <w:rPr>
                <w:rFonts w:hint="default" w:ascii="Times New Roman" w:hAnsi="Times New Roman" w:cs="Times New Roman"/>
              </w:rPr>
              <w:t>Yes</w:t>
            </w:r>
          </w:p>
        </w:tc>
      </w:tr>
      <w:tr w14:paraId="667FF796">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9984BAE">
            <w:pPr>
              <w:rPr>
                <w:rFonts w:hint="default" w:ascii="Times New Roman" w:hAnsi="Times New Roman" w:cs="Times New Roman"/>
              </w:rPr>
            </w:pPr>
            <w:r>
              <w:rPr>
                <w:rFonts w:hint="default" w:ascii="Times New Roman" w:hAnsi="Times New Roman" w:cs="Times New Roman"/>
              </w:rPr>
              <w:t>EF</w:t>
            </w:r>
          </w:p>
        </w:tc>
        <w:tc>
          <w:tcPr>
            <w:tcW w:w="1080" w:type="dxa"/>
            <w:tcBorders>
              <w:top w:val="nil"/>
              <w:left w:val="nil"/>
              <w:bottom w:val="nil"/>
              <w:right w:val="nil"/>
            </w:tcBorders>
            <w:noWrap w:val="0"/>
            <w:tcMar>
              <w:top w:w="-1" w:type="dxa"/>
              <w:left w:w="-1" w:type="dxa"/>
              <w:bottom w:w="-1" w:type="dxa"/>
              <w:right w:w="-1" w:type="dxa"/>
            </w:tcMar>
            <w:vAlign w:val="top"/>
          </w:tcPr>
          <w:p w14:paraId="562525EC">
            <w:pPr>
              <w:jc w:val="center"/>
              <w:rPr>
                <w:rFonts w:hint="default" w:ascii="Times New Roman" w:hAnsi="Times New Roman" w:cs="Times New Roman"/>
              </w:rPr>
            </w:pPr>
            <w:r>
              <w:rPr>
                <w:rFonts w:hint="default" w:ascii="Times New Roman" w:hAnsi="Times New Roman" w:cs="Times New Roman"/>
              </w:rPr>
              <w:t>44</w:t>
            </w:r>
          </w:p>
        </w:tc>
        <w:tc>
          <w:tcPr>
            <w:tcW w:w="1080" w:type="dxa"/>
            <w:tcBorders>
              <w:top w:val="nil"/>
              <w:left w:val="nil"/>
              <w:bottom w:val="nil"/>
              <w:right w:val="nil"/>
            </w:tcBorders>
            <w:noWrap w:val="0"/>
            <w:tcMar>
              <w:top w:w="-1" w:type="dxa"/>
              <w:left w:w="-1" w:type="dxa"/>
              <w:bottom w:w="-1" w:type="dxa"/>
              <w:right w:w="-1" w:type="dxa"/>
            </w:tcMar>
            <w:vAlign w:val="top"/>
          </w:tcPr>
          <w:p w14:paraId="590ABB42">
            <w:pPr>
              <w:jc w:val="center"/>
              <w:rPr>
                <w:rFonts w:hint="default" w:ascii="Times New Roman" w:hAnsi="Times New Roman" w:cs="Times New Roman"/>
              </w:rPr>
            </w:pPr>
            <w:r>
              <w:rPr>
                <w:rFonts w:hint="default" w:ascii="Times New Roman" w:hAnsi="Times New Roman" w:cs="Times New Roman"/>
              </w:rPr>
              <w:t>68</w:t>
            </w:r>
          </w:p>
        </w:tc>
        <w:tc>
          <w:tcPr>
            <w:tcW w:w="1080" w:type="dxa"/>
            <w:tcBorders>
              <w:top w:val="nil"/>
              <w:left w:val="nil"/>
              <w:bottom w:val="nil"/>
              <w:right w:val="nil"/>
            </w:tcBorders>
            <w:noWrap w:val="0"/>
            <w:tcMar>
              <w:top w:w="-1" w:type="dxa"/>
              <w:left w:w="-1" w:type="dxa"/>
              <w:bottom w:w="-1" w:type="dxa"/>
              <w:right w:w="-1" w:type="dxa"/>
            </w:tcMar>
            <w:vAlign w:val="top"/>
          </w:tcPr>
          <w:p w14:paraId="31AC930C">
            <w:pPr>
              <w:jc w:val="center"/>
              <w:rPr>
                <w:rFonts w:hint="default" w:ascii="Times New Roman" w:hAnsi="Times New Roman" w:cs="Times New Roman"/>
              </w:rPr>
            </w:pPr>
            <w:r>
              <w:rPr>
                <w:rFonts w:hint="default" w:ascii="Times New Roman" w:hAnsi="Times New Roman" w:cs="Times New Roman"/>
              </w:rPr>
              <w:t>61.00 (60.00–64.25)</w:t>
            </w:r>
          </w:p>
        </w:tc>
        <w:tc>
          <w:tcPr>
            <w:tcW w:w="1080" w:type="dxa"/>
            <w:tcBorders>
              <w:top w:val="nil"/>
              <w:left w:val="nil"/>
              <w:bottom w:val="nil"/>
              <w:right w:val="nil"/>
            </w:tcBorders>
            <w:noWrap w:val="0"/>
            <w:tcMar>
              <w:top w:w="-1" w:type="dxa"/>
              <w:left w:w="-1" w:type="dxa"/>
              <w:bottom w:w="-1" w:type="dxa"/>
              <w:right w:w="-1" w:type="dxa"/>
            </w:tcMar>
            <w:vAlign w:val="top"/>
          </w:tcPr>
          <w:p w14:paraId="06476EE5">
            <w:pPr>
              <w:jc w:val="center"/>
              <w:rPr>
                <w:rFonts w:hint="default" w:ascii="Times New Roman" w:hAnsi="Times New Roman" w:cs="Times New Roman"/>
              </w:rPr>
            </w:pPr>
            <w:r>
              <w:rPr>
                <w:rFonts w:hint="default" w:ascii="Times New Roman" w:hAnsi="Times New Roman" w:cs="Times New Roman"/>
              </w:rPr>
              <w:t>62.00 (60.00–66.00)</w:t>
            </w:r>
          </w:p>
        </w:tc>
        <w:tc>
          <w:tcPr>
            <w:tcW w:w="1080" w:type="dxa"/>
            <w:tcBorders>
              <w:top w:val="nil"/>
              <w:left w:val="nil"/>
              <w:bottom w:val="nil"/>
              <w:right w:val="nil"/>
            </w:tcBorders>
            <w:noWrap w:val="0"/>
            <w:tcMar>
              <w:top w:w="-1" w:type="dxa"/>
              <w:left w:w="-1" w:type="dxa"/>
              <w:bottom w:w="-1" w:type="dxa"/>
              <w:right w:w="-1" w:type="dxa"/>
            </w:tcMar>
            <w:vAlign w:val="top"/>
          </w:tcPr>
          <w:p w14:paraId="6AAF782C">
            <w:pPr>
              <w:jc w:val="center"/>
              <w:rPr>
                <w:rFonts w:hint="default" w:ascii="Times New Roman" w:hAnsi="Times New Roman" w:cs="Times New Roman"/>
              </w:rPr>
            </w:pPr>
            <w:r>
              <w:rPr>
                <w:rFonts w:hint="default" w:ascii="Times New Roman" w:hAnsi="Times New Roman" w:cs="Times New Roman"/>
              </w:rPr>
              <w:t>0.027</w:t>
            </w:r>
          </w:p>
        </w:tc>
        <w:tc>
          <w:tcPr>
            <w:tcW w:w="1080" w:type="dxa"/>
            <w:tcBorders>
              <w:top w:val="nil"/>
              <w:left w:val="nil"/>
              <w:bottom w:val="nil"/>
              <w:right w:val="nil"/>
            </w:tcBorders>
            <w:noWrap w:val="0"/>
            <w:tcMar>
              <w:top w:w="-1" w:type="dxa"/>
              <w:left w:w="-1" w:type="dxa"/>
              <w:bottom w:w="-1" w:type="dxa"/>
              <w:right w:w="-1" w:type="dxa"/>
            </w:tcMar>
            <w:vAlign w:val="top"/>
          </w:tcPr>
          <w:p w14:paraId="2E225610">
            <w:pPr>
              <w:jc w:val="center"/>
              <w:rPr>
                <w:rFonts w:hint="default" w:ascii="Times New Roman" w:hAnsi="Times New Roman" w:cs="Times New Roman"/>
              </w:rPr>
            </w:pPr>
            <w:r>
              <w:rPr>
                <w:rFonts w:hint="default" w:ascii="Times New Roman" w:hAnsi="Times New Roman" w:cs="Times New Roman"/>
              </w:rPr>
              <w:t>0.054</w:t>
            </w:r>
          </w:p>
        </w:tc>
        <w:tc>
          <w:tcPr>
            <w:tcW w:w="1080" w:type="dxa"/>
            <w:tcBorders>
              <w:top w:val="nil"/>
              <w:left w:val="nil"/>
              <w:bottom w:val="nil"/>
              <w:right w:val="nil"/>
            </w:tcBorders>
            <w:noWrap w:val="0"/>
            <w:tcMar>
              <w:top w:w="-1" w:type="dxa"/>
              <w:left w:w="-1" w:type="dxa"/>
              <w:bottom w:w="-1" w:type="dxa"/>
              <w:right w:w="-1" w:type="dxa"/>
            </w:tcMar>
            <w:vAlign w:val="top"/>
          </w:tcPr>
          <w:p w14:paraId="2CA710CD">
            <w:pPr>
              <w:jc w:val="center"/>
              <w:rPr>
                <w:rFonts w:hint="default" w:ascii="Times New Roman" w:hAnsi="Times New Roman" w:cs="Times New Roman"/>
              </w:rPr>
            </w:pPr>
            <w:r>
              <w:rPr>
                <w:rFonts w:hint="default" w:ascii="Times New Roman" w:hAnsi="Times New Roman" w:cs="Times New Roman"/>
              </w:rPr>
              <w:t>No</w:t>
            </w:r>
          </w:p>
        </w:tc>
      </w:tr>
      <w:tr w14:paraId="697794E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595D04B">
            <w:pPr>
              <w:rPr>
                <w:rFonts w:hint="default" w:ascii="Times New Roman" w:hAnsi="Times New Roman" w:cs="Times New Roman"/>
              </w:rPr>
            </w:pPr>
            <w:r>
              <w:rPr>
                <w:rFonts w:hint="default" w:ascii="Times New Roman" w:hAnsi="Times New Roman" w:cs="Times New Roman"/>
              </w:rPr>
              <w:t>albumin</w:t>
            </w:r>
          </w:p>
        </w:tc>
        <w:tc>
          <w:tcPr>
            <w:tcW w:w="1080" w:type="dxa"/>
            <w:tcBorders>
              <w:top w:val="nil"/>
              <w:left w:val="nil"/>
              <w:bottom w:val="nil"/>
              <w:right w:val="nil"/>
            </w:tcBorders>
            <w:noWrap w:val="0"/>
            <w:tcMar>
              <w:top w:w="-1" w:type="dxa"/>
              <w:left w:w="-1" w:type="dxa"/>
              <w:bottom w:w="-1" w:type="dxa"/>
              <w:right w:w="-1" w:type="dxa"/>
            </w:tcMar>
            <w:vAlign w:val="top"/>
          </w:tcPr>
          <w:p w14:paraId="398E0C0A">
            <w:pPr>
              <w:jc w:val="center"/>
              <w:rPr>
                <w:rFonts w:hint="default" w:ascii="Times New Roman" w:hAnsi="Times New Roman" w:cs="Times New Roman"/>
              </w:rPr>
            </w:pPr>
            <w:r>
              <w:rPr>
                <w:rFonts w:hint="default" w:ascii="Times New Roman" w:hAnsi="Times New Roman" w:cs="Times New Roman"/>
              </w:rPr>
              <w:t>88</w:t>
            </w:r>
          </w:p>
        </w:tc>
        <w:tc>
          <w:tcPr>
            <w:tcW w:w="1080" w:type="dxa"/>
            <w:tcBorders>
              <w:top w:val="nil"/>
              <w:left w:val="nil"/>
              <w:bottom w:val="nil"/>
              <w:right w:val="nil"/>
            </w:tcBorders>
            <w:noWrap w:val="0"/>
            <w:tcMar>
              <w:top w:w="-1" w:type="dxa"/>
              <w:left w:w="-1" w:type="dxa"/>
              <w:bottom w:w="-1" w:type="dxa"/>
              <w:right w:w="-1" w:type="dxa"/>
            </w:tcMar>
            <w:vAlign w:val="top"/>
          </w:tcPr>
          <w:p w14:paraId="1378C0BC">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1E689618">
            <w:pPr>
              <w:jc w:val="center"/>
              <w:rPr>
                <w:rFonts w:hint="default" w:ascii="Times New Roman" w:hAnsi="Times New Roman" w:cs="Times New Roman"/>
              </w:rPr>
            </w:pPr>
            <w:r>
              <w:rPr>
                <w:rFonts w:hint="default" w:ascii="Times New Roman" w:hAnsi="Times New Roman" w:cs="Times New Roman"/>
              </w:rPr>
              <w:t>29.10 (24.59–33.65)</w:t>
            </w:r>
          </w:p>
        </w:tc>
        <w:tc>
          <w:tcPr>
            <w:tcW w:w="1080" w:type="dxa"/>
            <w:tcBorders>
              <w:top w:val="nil"/>
              <w:left w:val="nil"/>
              <w:bottom w:val="nil"/>
              <w:right w:val="nil"/>
            </w:tcBorders>
            <w:noWrap w:val="0"/>
            <w:tcMar>
              <w:top w:w="-1" w:type="dxa"/>
              <w:left w:w="-1" w:type="dxa"/>
              <w:bottom w:w="-1" w:type="dxa"/>
              <w:right w:w="-1" w:type="dxa"/>
            </w:tcMar>
            <w:vAlign w:val="top"/>
          </w:tcPr>
          <w:p w14:paraId="2D2CACDC">
            <w:pPr>
              <w:jc w:val="center"/>
              <w:rPr>
                <w:rFonts w:hint="default" w:ascii="Times New Roman" w:hAnsi="Times New Roman" w:cs="Times New Roman"/>
              </w:rPr>
            </w:pPr>
            <w:r>
              <w:rPr>
                <w:rFonts w:hint="default" w:ascii="Times New Roman" w:hAnsi="Times New Roman" w:cs="Times New Roman"/>
              </w:rPr>
              <w:t>31.60 ± 5.10</w:t>
            </w:r>
          </w:p>
        </w:tc>
        <w:tc>
          <w:tcPr>
            <w:tcW w:w="1080" w:type="dxa"/>
            <w:tcBorders>
              <w:top w:val="nil"/>
              <w:left w:val="nil"/>
              <w:bottom w:val="nil"/>
              <w:right w:val="nil"/>
            </w:tcBorders>
            <w:noWrap w:val="0"/>
            <w:tcMar>
              <w:top w:w="-1" w:type="dxa"/>
              <w:left w:w="-1" w:type="dxa"/>
              <w:bottom w:w="-1" w:type="dxa"/>
              <w:right w:w="-1" w:type="dxa"/>
            </w:tcMar>
            <w:vAlign w:val="top"/>
          </w:tcPr>
          <w:p w14:paraId="0367E1A4">
            <w:pPr>
              <w:jc w:val="center"/>
              <w:rPr>
                <w:rFonts w:hint="default" w:ascii="Times New Roman" w:hAnsi="Times New Roman" w:cs="Times New Roman"/>
              </w:rPr>
            </w:pPr>
            <w:r>
              <w:rPr>
                <w:rFonts w:hint="default" w:ascii="Times New Roman" w:hAnsi="Times New Roman" w:cs="Times New Roman"/>
              </w:rPr>
              <w:t>0.031</w:t>
            </w:r>
          </w:p>
        </w:tc>
        <w:tc>
          <w:tcPr>
            <w:tcW w:w="1080" w:type="dxa"/>
            <w:tcBorders>
              <w:top w:val="nil"/>
              <w:left w:val="nil"/>
              <w:bottom w:val="nil"/>
              <w:right w:val="nil"/>
            </w:tcBorders>
            <w:noWrap w:val="0"/>
            <w:tcMar>
              <w:top w:w="-1" w:type="dxa"/>
              <w:left w:w="-1" w:type="dxa"/>
              <w:bottom w:w="-1" w:type="dxa"/>
              <w:right w:w="-1" w:type="dxa"/>
            </w:tcMar>
            <w:vAlign w:val="top"/>
          </w:tcPr>
          <w:p w14:paraId="718DD205">
            <w:pPr>
              <w:jc w:val="center"/>
              <w:rPr>
                <w:rFonts w:hint="default" w:ascii="Times New Roman" w:hAnsi="Times New Roman" w:cs="Times New Roman"/>
              </w:rPr>
            </w:pPr>
            <w:r>
              <w:rPr>
                <w:rFonts w:hint="default" w:ascii="Times New Roman" w:hAnsi="Times New Roman" w:cs="Times New Roman"/>
              </w:rPr>
              <w:t>0.060</w:t>
            </w:r>
          </w:p>
        </w:tc>
        <w:tc>
          <w:tcPr>
            <w:tcW w:w="1080" w:type="dxa"/>
            <w:tcBorders>
              <w:top w:val="nil"/>
              <w:left w:val="nil"/>
              <w:bottom w:val="nil"/>
              <w:right w:val="nil"/>
            </w:tcBorders>
            <w:noWrap w:val="0"/>
            <w:tcMar>
              <w:top w:w="-1" w:type="dxa"/>
              <w:left w:w="-1" w:type="dxa"/>
              <w:bottom w:w="-1" w:type="dxa"/>
              <w:right w:w="-1" w:type="dxa"/>
            </w:tcMar>
            <w:vAlign w:val="top"/>
          </w:tcPr>
          <w:p w14:paraId="4F8DF9A1">
            <w:pPr>
              <w:jc w:val="center"/>
              <w:rPr>
                <w:rFonts w:hint="default" w:ascii="Times New Roman" w:hAnsi="Times New Roman" w:cs="Times New Roman"/>
              </w:rPr>
            </w:pPr>
            <w:r>
              <w:rPr>
                <w:rFonts w:hint="default" w:ascii="Times New Roman" w:hAnsi="Times New Roman" w:cs="Times New Roman"/>
              </w:rPr>
              <w:t>No</w:t>
            </w:r>
          </w:p>
        </w:tc>
      </w:tr>
      <w:tr w14:paraId="4A8AF966">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16AD950">
            <w:pPr>
              <w:rPr>
                <w:rFonts w:hint="default" w:ascii="Times New Roman" w:hAnsi="Times New Roman" w:cs="Times New Roman"/>
              </w:rPr>
            </w:pPr>
            <w:r>
              <w:rPr>
                <w:rFonts w:hint="default" w:ascii="Times New Roman" w:hAnsi="Times New Roman" w:cs="Times New Roman"/>
              </w:rPr>
              <w:t>potassium</w:t>
            </w:r>
          </w:p>
        </w:tc>
        <w:tc>
          <w:tcPr>
            <w:tcW w:w="1080" w:type="dxa"/>
            <w:tcBorders>
              <w:top w:val="nil"/>
              <w:left w:val="nil"/>
              <w:bottom w:val="nil"/>
              <w:right w:val="nil"/>
            </w:tcBorders>
            <w:noWrap w:val="0"/>
            <w:tcMar>
              <w:top w:w="-1" w:type="dxa"/>
              <w:left w:w="-1" w:type="dxa"/>
              <w:bottom w:w="-1" w:type="dxa"/>
              <w:right w:w="-1" w:type="dxa"/>
            </w:tcMar>
            <w:vAlign w:val="top"/>
          </w:tcPr>
          <w:p w14:paraId="3755A9EA">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2E84BAC4">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ACE3537">
            <w:pPr>
              <w:jc w:val="center"/>
              <w:rPr>
                <w:rFonts w:hint="default" w:ascii="Times New Roman" w:hAnsi="Times New Roman" w:cs="Times New Roman"/>
              </w:rPr>
            </w:pPr>
            <w:r>
              <w:rPr>
                <w:rFonts w:hint="default" w:ascii="Times New Roman" w:hAnsi="Times New Roman" w:cs="Times New Roman"/>
              </w:rPr>
              <w:t>3.56 (3.30–4.11)</w:t>
            </w:r>
          </w:p>
        </w:tc>
        <w:tc>
          <w:tcPr>
            <w:tcW w:w="1080" w:type="dxa"/>
            <w:tcBorders>
              <w:top w:val="nil"/>
              <w:left w:val="nil"/>
              <w:bottom w:val="nil"/>
              <w:right w:val="nil"/>
            </w:tcBorders>
            <w:noWrap w:val="0"/>
            <w:tcMar>
              <w:top w:w="-1" w:type="dxa"/>
              <w:left w:w="-1" w:type="dxa"/>
              <w:bottom w:w="-1" w:type="dxa"/>
              <w:right w:w="-1" w:type="dxa"/>
            </w:tcMar>
            <w:vAlign w:val="top"/>
          </w:tcPr>
          <w:p w14:paraId="534B29FC">
            <w:pPr>
              <w:jc w:val="center"/>
              <w:rPr>
                <w:rFonts w:hint="default" w:ascii="Times New Roman" w:hAnsi="Times New Roman" w:cs="Times New Roman"/>
              </w:rPr>
            </w:pPr>
            <w:r>
              <w:rPr>
                <w:rFonts w:hint="default" w:ascii="Times New Roman" w:hAnsi="Times New Roman" w:cs="Times New Roman"/>
              </w:rPr>
              <w:t>3.94 ± 0.76</w:t>
            </w:r>
          </w:p>
        </w:tc>
        <w:tc>
          <w:tcPr>
            <w:tcW w:w="1080" w:type="dxa"/>
            <w:tcBorders>
              <w:top w:val="nil"/>
              <w:left w:val="nil"/>
              <w:bottom w:val="nil"/>
              <w:right w:val="nil"/>
            </w:tcBorders>
            <w:noWrap w:val="0"/>
            <w:tcMar>
              <w:top w:w="-1" w:type="dxa"/>
              <w:left w:w="-1" w:type="dxa"/>
              <w:bottom w:w="-1" w:type="dxa"/>
              <w:right w:w="-1" w:type="dxa"/>
            </w:tcMar>
            <w:vAlign w:val="top"/>
          </w:tcPr>
          <w:p w14:paraId="37B9F097">
            <w:pPr>
              <w:jc w:val="center"/>
              <w:rPr>
                <w:rFonts w:hint="default" w:ascii="Times New Roman" w:hAnsi="Times New Roman" w:cs="Times New Roman"/>
              </w:rPr>
            </w:pPr>
            <w:r>
              <w:rPr>
                <w:rFonts w:hint="default" w:ascii="Times New Roman" w:hAnsi="Times New Roman" w:cs="Times New Roman"/>
              </w:rPr>
              <w:t>0.031</w:t>
            </w:r>
          </w:p>
        </w:tc>
        <w:tc>
          <w:tcPr>
            <w:tcW w:w="1080" w:type="dxa"/>
            <w:tcBorders>
              <w:top w:val="nil"/>
              <w:left w:val="nil"/>
              <w:bottom w:val="nil"/>
              <w:right w:val="nil"/>
            </w:tcBorders>
            <w:noWrap w:val="0"/>
            <w:tcMar>
              <w:top w:w="-1" w:type="dxa"/>
              <w:left w:w="-1" w:type="dxa"/>
              <w:bottom w:w="-1" w:type="dxa"/>
              <w:right w:w="-1" w:type="dxa"/>
            </w:tcMar>
            <w:vAlign w:val="top"/>
          </w:tcPr>
          <w:p w14:paraId="553B9970">
            <w:pPr>
              <w:jc w:val="center"/>
              <w:rPr>
                <w:rFonts w:hint="default" w:ascii="Times New Roman" w:hAnsi="Times New Roman" w:cs="Times New Roman"/>
              </w:rPr>
            </w:pPr>
            <w:r>
              <w:rPr>
                <w:rFonts w:hint="default" w:ascii="Times New Roman" w:hAnsi="Times New Roman" w:cs="Times New Roman"/>
              </w:rPr>
              <w:t>0.060</w:t>
            </w:r>
          </w:p>
        </w:tc>
        <w:tc>
          <w:tcPr>
            <w:tcW w:w="1080" w:type="dxa"/>
            <w:tcBorders>
              <w:top w:val="nil"/>
              <w:left w:val="nil"/>
              <w:bottom w:val="nil"/>
              <w:right w:val="nil"/>
            </w:tcBorders>
            <w:noWrap w:val="0"/>
            <w:tcMar>
              <w:top w:w="-1" w:type="dxa"/>
              <w:left w:w="-1" w:type="dxa"/>
              <w:bottom w:w="-1" w:type="dxa"/>
              <w:right w:w="-1" w:type="dxa"/>
            </w:tcMar>
            <w:vAlign w:val="top"/>
          </w:tcPr>
          <w:p w14:paraId="23A86DC6">
            <w:pPr>
              <w:jc w:val="center"/>
              <w:rPr>
                <w:rFonts w:hint="default" w:ascii="Times New Roman" w:hAnsi="Times New Roman" w:cs="Times New Roman"/>
              </w:rPr>
            </w:pPr>
            <w:r>
              <w:rPr>
                <w:rFonts w:hint="default" w:ascii="Times New Roman" w:hAnsi="Times New Roman" w:cs="Times New Roman"/>
              </w:rPr>
              <w:t>No</w:t>
            </w:r>
          </w:p>
        </w:tc>
      </w:tr>
      <w:tr w14:paraId="7FE8C594">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D0343A9">
            <w:pPr>
              <w:rPr>
                <w:rFonts w:hint="default" w:ascii="Times New Roman" w:hAnsi="Times New Roman" w:cs="Times New Roman"/>
              </w:rPr>
            </w:pPr>
            <w:r>
              <w:rPr>
                <w:rFonts w:hint="default" w:ascii="Times New Roman" w:hAnsi="Times New Roman" w:cs="Times New Roman"/>
              </w:rPr>
              <w:t>sdLDL</w:t>
            </w:r>
          </w:p>
        </w:tc>
        <w:tc>
          <w:tcPr>
            <w:tcW w:w="1080" w:type="dxa"/>
            <w:tcBorders>
              <w:top w:val="nil"/>
              <w:left w:val="nil"/>
              <w:bottom w:val="nil"/>
              <w:right w:val="nil"/>
            </w:tcBorders>
            <w:noWrap w:val="0"/>
            <w:tcMar>
              <w:top w:w="-1" w:type="dxa"/>
              <w:left w:w="-1" w:type="dxa"/>
              <w:bottom w:w="-1" w:type="dxa"/>
              <w:right w:w="-1" w:type="dxa"/>
            </w:tcMar>
            <w:vAlign w:val="top"/>
          </w:tcPr>
          <w:p w14:paraId="51ADE1AB">
            <w:pPr>
              <w:jc w:val="center"/>
              <w:rPr>
                <w:rFonts w:hint="default" w:ascii="Times New Roman" w:hAnsi="Times New Roman" w:cs="Times New Roman"/>
              </w:rPr>
            </w:pPr>
            <w:r>
              <w:rPr>
                <w:rFonts w:hint="default" w:ascii="Times New Roman" w:hAnsi="Times New Roman" w:cs="Times New Roman"/>
              </w:rPr>
              <w:t>52</w:t>
            </w:r>
          </w:p>
        </w:tc>
        <w:tc>
          <w:tcPr>
            <w:tcW w:w="1080" w:type="dxa"/>
            <w:tcBorders>
              <w:top w:val="nil"/>
              <w:left w:val="nil"/>
              <w:bottom w:val="nil"/>
              <w:right w:val="nil"/>
            </w:tcBorders>
            <w:noWrap w:val="0"/>
            <w:tcMar>
              <w:top w:w="-1" w:type="dxa"/>
              <w:left w:w="-1" w:type="dxa"/>
              <w:bottom w:w="-1" w:type="dxa"/>
              <w:right w:w="-1" w:type="dxa"/>
            </w:tcMar>
            <w:vAlign w:val="top"/>
          </w:tcPr>
          <w:p w14:paraId="51719F35">
            <w:pPr>
              <w:jc w:val="center"/>
              <w:rPr>
                <w:rFonts w:hint="default" w:ascii="Times New Roman" w:hAnsi="Times New Roman" w:cs="Times New Roman"/>
              </w:rPr>
            </w:pPr>
            <w:r>
              <w:rPr>
                <w:rFonts w:hint="default" w:ascii="Times New Roman" w:hAnsi="Times New Roman" w:cs="Times New Roman"/>
              </w:rPr>
              <w:t>68</w:t>
            </w:r>
          </w:p>
        </w:tc>
        <w:tc>
          <w:tcPr>
            <w:tcW w:w="1080" w:type="dxa"/>
            <w:tcBorders>
              <w:top w:val="nil"/>
              <w:left w:val="nil"/>
              <w:bottom w:val="nil"/>
              <w:right w:val="nil"/>
            </w:tcBorders>
            <w:noWrap w:val="0"/>
            <w:tcMar>
              <w:top w:w="-1" w:type="dxa"/>
              <w:left w:w="-1" w:type="dxa"/>
              <w:bottom w:w="-1" w:type="dxa"/>
              <w:right w:w="-1" w:type="dxa"/>
            </w:tcMar>
            <w:vAlign w:val="top"/>
          </w:tcPr>
          <w:p w14:paraId="48081B30">
            <w:pPr>
              <w:jc w:val="center"/>
              <w:rPr>
                <w:rFonts w:hint="default" w:ascii="Times New Roman" w:hAnsi="Times New Roman" w:cs="Times New Roman"/>
              </w:rPr>
            </w:pPr>
            <w:r>
              <w:rPr>
                <w:rFonts w:hint="default" w:ascii="Times New Roman" w:hAnsi="Times New Roman" w:cs="Times New Roman"/>
              </w:rPr>
              <w:t>185.38 (128.33–263.30)</w:t>
            </w:r>
          </w:p>
        </w:tc>
        <w:tc>
          <w:tcPr>
            <w:tcW w:w="1080" w:type="dxa"/>
            <w:tcBorders>
              <w:top w:val="nil"/>
              <w:left w:val="nil"/>
              <w:bottom w:val="nil"/>
              <w:right w:val="nil"/>
            </w:tcBorders>
            <w:noWrap w:val="0"/>
            <w:tcMar>
              <w:top w:w="-1" w:type="dxa"/>
              <w:left w:w="-1" w:type="dxa"/>
              <w:bottom w:w="-1" w:type="dxa"/>
              <w:right w:w="-1" w:type="dxa"/>
            </w:tcMar>
            <w:vAlign w:val="top"/>
          </w:tcPr>
          <w:p w14:paraId="3A699830">
            <w:pPr>
              <w:jc w:val="center"/>
              <w:rPr>
                <w:rFonts w:hint="default" w:ascii="Times New Roman" w:hAnsi="Times New Roman" w:cs="Times New Roman"/>
              </w:rPr>
            </w:pPr>
            <w:r>
              <w:rPr>
                <w:rFonts w:hint="default" w:ascii="Times New Roman" w:hAnsi="Times New Roman" w:cs="Times New Roman"/>
              </w:rPr>
              <w:t>229.40 (162.98–326.44)</w:t>
            </w:r>
          </w:p>
        </w:tc>
        <w:tc>
          <w:tcPr>
            <w:tcW w:w="1080" w:type="dxa"/>
            <w:tcBorders>
              <w:top w:val="nil"/>
              <w:left w:val="nil"/>
              <w:bottom w:val="nil"/>
              <w:right w:val="nil"/>
            </w:tcBorders>
            <w:noWrap w:val="0"/>
            <w:tcMar>
              <w:top w:w="-1" w:type="dxa"/>
              <w:left w:w="-1" w:type="dxa"/>
              <w:bottom w:w="-1" w:type="dxa"/>
              <w:right w:w="-1" w:type="dxa"/>
            </w:tcMar>
            <w:vAlign w:val="top"/>
          </w:tcPr>
          <w:p w14:paraId="386B3702">
            <w:pPr>
              <w:jc w:val="center"/>
              <w:rPr>
                <w:rFonts w:hint="default" w:ascii="Times New Roman" w:hAnsi="Times New Roman" w:cs="Times New Roman"/>
              </w:rPr>
            </w:pPr>
            <w:r>
              <w:rPr>
                <w:rFonts w:hint="default" w:ascii="Times New Roman" w:hAnsi="Times New Roman" w:cs="Times New Roman"/>
              </w:rPr>
              <w:t>0.036</w:t>
            </w:r>
          </w:p>
        </w:tc>
        <w:tc>
          <w:tcPr>
            <w:tcW w:w="1080" w:type="dxa"/>
            <w:tcBorders>
              <w:top w:val="nil"/>
              <w:left w:val="nil"/>
              <w:bottom w:val="nil"/>
              <w:right w:val="nil"/>
            </w:tcBorders>
            <w:noWrap w:val="0"/>
            <w:tcMar>
              <w:top w:w="-1" w:type="dxa"/>
              <w:left w:w="-1" w:type="dxa"/>
              <w:bottom w:w="-1" w:type="dxa"/>
              <w:right w:w="-1" w:type="dxa"/>
            </w:tcMar>
            <w:vAlign w:val="top"/>
          </w:tcPr>
          <w:p w14:paraId="407D826C">
            <w:pPr>
              <w:jc w:val="center"/>
              <w:rPr>
                <w:rFonts w:hint="default" w:ascii="Times New Roman" w:hAnsi="Times New Roman" w:cs="Times New Roman"/>
              </w:rPr>
            </w:pPr>
            <w:r>
              <w:rPr>
                <w:rFonts w:hint="default" w:ascii="Times New Roman" w:hAnsi="Times New Roman" w:cs="Times New Roman"/>
              </w:rPr>
              <w:t>0.065</w:t>
            </w:r>
          </w:p>
        </w:tc>
        <w:tc>
          <w:tcPr>
            <w:tcW w:w="1080" w:type="dxa"/>
            <w:tcBorders>
              <w:top w:val="nil"/>
              <w:left w:val="nil"/>
              <w:bottom w:val="nil"/>
              <w:right w:val="nil"/>
            </w:tcBorders>
            <w:noWrap w:val="0"/>
            <w:tcMar>
              <w:top w:w="-1" w:type="dxa"/>
              <w:left w:w="-1" w:type="dxa"/>
              <w:bottom w:w="-1" w:type="dxa"/>
              <w:right w:w="-1" w:type="dxa"/>
            </w:tcMar>
            <w:vAlign w:val="top"/>
          </w:tcPr>
          <w:p w14:paraId="32C5BCF2">
            <w:pPr>
              <w:jc w:val="center"/>
              <w:rPr>
                <w:rFonts w:hint="default" w:ascii="Times New Roman" w:hAnsi="Times New Roman" w:cs="Times New Roman"/>
              </w:rPr>
            </w:pPr>
            <w:r>
              <w:rPr>
                <w:rFonts w:hint="default" w:ascii="Times New Roman" w:hAnsi="Times New Roman" w:cs="Times New Roman"/>
              </w:rPr>
              <w:t>No</w:t>
            </w:r>
          </w:p>
        </w:tc>
      </w:tr>
      <w:tr w14:paraId="57FBDE1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34319950">
            <w:pPr>
              <w:rPr>
                <w:rFonts w:hint="default" w:ascii="Times New Roman" w:hAnsi="Times New Roman" w:cs="Times New Roman"/>
              </w:rPr>
            </w:pPr>
            <w:r>
              <w:rPr>
                <w:rFonts w:hint="default" w:ascii="Times New Roman" w:hAnsi="Times New Roman" w:cs="Times New Roman"/>
              </w:rPr>
              <w:t>peritoneal_Ccr</w:t>
            </w:r>
          </w:p>
        </w:tc>
        <w:tc>
          <w:tcPr>
            <w:tcW w:w="1080" w:type="dxa"/>
            <w:tcBorders>
              <w:top w:val="nil"/>
              <w:left w:val="nil"/>
              <w:bottom w:val="nil"/>
              <w:right w:val="nil"/>
            </w:tcBorders>
            <w:noWrap w:val="0"/>
            <w:tcMar>
              <w:top w:w="-1" w:type="dxa"/>
              <w:left w:w="-1" w:type="dxa"/>
              <w:bottom w:w="-1" w:type="dxa"/>
              <w:right w:w="-1" w:type="dxa"/>
            </w:tcMar>
            <w:vAlign w:val="top"/>
          </w:tcPr>
          <w:p w14:paraId="1B1688D1">
            <w:pPr>
              <w:jc w:val="center"/>
              <w:rPr>
                <w:rFonts w:hint="default" w:ascii="Times New Roman" w:hAnsi="Times New Roman" w:cs="Times New Roman"/>
              </w:rPr>
            </w:pPr>
            <w:r>
              <w:rPr>
                <w:rFonts w:hint="default" w:ascii="Times New Roman" w:hAnsi="Times New Roman" w:cs="Times New Roman"/>
              </w:rPr>
              <w:t>76</w:t>
            </w:r>
          </w:p>
        </w:tc>
        <w:tc>
          <w:tcPr>
            <w:tcW w:w="1080" w:type="dxa"/>
            <w:tcBorders>
              <w:top w:val="nil"/>
              <w:left w:val="nil"/>
              <w:bottom w:val="nil"/>
              <w:right w:val="nil"/>
            </w:tcBorders>
            <w:noWrap w:val="0"/>
            <w:tcMar>
              <w:top w:w="-1" w:type="dxa"/>
              <w:left w:w="-1" w:type="dxa"/>
              <w:bottom w:w="-1" w:type="dxa"/>
              <w:right w:w="-1" w:type="dxa"/>
            </w:tcMar>
            <w:vAlign w:val="top"/>
          </w:tcPr>
          <w:p w14:paraId="680CED76">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6C1D4D42">
            <w:pPr>
              <w:jc w:val="center"/>
              <w:rPr>
                <w:rFonts w:hint="default" w:ascii="Times New Roman" w:hAnsi="Times New Roman" w:cs="Times New Roman"/>
              </w:rPr>
            </w:pPr>
            <w:r>
              <w:rPr>
                <w:rFonts w:hint="default" w:ascii="Times New Roman" w:hAnsi="Times New Roman" w:cs="Times New Roman"/>
              </w:rPr>
              <w:t>39.32 (28.12–47.22)</w:t>
            </w:r>
          </w:p>
        </w:tc>
        <w:tc>
          <w:tcPr>
            <w:tcW w:w="1080" w:type="dxa"/>
            <w:tcBorders>
              <w:top w:val="nil"/>
              <w:left w:val="nil"/>
              <w:bottom w:val="nil"/>
              <w:right w:val="nil"/>
            </w:tcBorders>
            <w:noWrap w:val="0"/>
            <w:tcMar>
              <w:top w:w="-1" w:type="dxa"/>
              <w:left w:w="-1" w:type="dxa"/>
              <w:bottom w:w="-1" w:type="dxa"/>
              <w:right w:w="-1" w:type="dxa"/>
            </w:tcMar>
            <w:vAlign w:val="top"/>
          </w:tcPr>
          <w:p w14:paraId="76732CE5">
            <w:pPr>
              <w:jc w:val="center"/>
              <w:rPr>
                <w:rFonts w:hint="default" w:ascii="Times New Roman" w:hAnsi="Times New Roman" w:cs="Times New Roman"/>
              </w:rPr>
            </w:pPr>
            <w:r>
              <w:rPr>
                <w:rFonts w:hint="default" w:ascii="Times New Roman" w:hAnsi="Times New Roman" w:cs="Times New Roman"/>
              </w:rPr>
              <w:t>33.92 ± 10.58</w:t>
            </w:r>
          </w:p>
        </w:tc>
        <w:tc>
          <w:tcPr>
            <w:tcW w:w="1080" w:type="dxa"/>
            <w:tcBorders>
              <w:top w:val="nil"/>
              <w:left w:val="nil"/>
              <w:bottom w:val="nil"/>
              <w:right w:val="nil"/>
            </w:tcBorders>
            <w:noWrap w:val="0"/>
            <w:tcMar>
              <w:top w:w="-1" w:type="dxa"/>
              <w:left w:w="-1" w:type="dxa"/>
              <w:bottom w:w="-1" w:type="dxa"/>
              <w:right w:w="-1" w:type="dxa"/>
            </w:tcMar>
            <w:vAlign w:val="top"/>
          </w:tcPr>
          <w:p w14:paraId="336BED11">
            <w:pPr>
              <w:jc w:val="center"/>
              <w:rPr>
                <w:rFonts w:hint="default" w:ascii="Times New Roman" w:hAnsi="Times New Roman" w:cs="Times New Roman"/>
              </w:rPr>
            </w:pPr>
            <w:r>
              <w:rPr>
                <w:rFonts w:hint="default" w:ascii="Times New Roman" w:hAnsi="Times New Roman" w:cs="Times New Roman"/>
              </w:rPr>
              <w:t>0.040</w:t>
            </w:r>
          </w:p>
        </w:tc>
        <w:tc>
          <w:tcPr>
            <w:tcW w:w="1080" w:type="dxa"/>
            <w:tcBorders>
              <w:top w:val="nil"/>
              <w:left w:val="nil"/>
              <w:bottom w:val="nil"/>
              <w:right w:val="nil"/>
            </w:tcBorders>
            <w:noWrap w:val="0"/>
            <w:tcMar>
              <w:top w:w="-1" w:type="dxa"/>
              <w:left w:w="-1" w:type="dxa"/>
              <w:bottom w:w="-1" w:type="dxa"/>
              <w:right w:w="-1" w:type="dxa"/>
            </w:tcMar>
            <w:vAlign w:val="top"/>
          </w:tcPr>
          <w:p w14:paraId="4380532E">
            <w:pPr>
              <w:jc w:val="center"/>
              <w:rPr>
                <w:rFonts w:hint="default" w:ascii="Times New Roman" w:hAnsi="Times New Roman" w:cs="Times New Roman"/>
              </w:rPr>
            </w:pPr>
            <w:r>
              <w:rPr>
                <w:rFonts w:hint="default" w:ascii="Times New Roman" w:hAnsi="Times New Roman" w:cs="Times New Roman"/>
              </w:rPr>
              <w:t>0.071</w:t>
            </w:r>
          </w:p>
        </w:tc>
        <w:tc>
          <w:tcPr>
            <w:tcW w:w="1080" w:type="dxa"/>
            <w:tcBorders>
              <w:top w:val="nil"/>
              <w:left w:val="nil"/>
              <w:bottom w:val="nil"/>
              <w:right w:val="nil"/>
            </w:tcBorders>
            <w:noWrap w:val="0"/>
            <w:tcMar>
              <w:top w:w="-1" w:type="dxa"/>
              <w:left w:w="-1" w:type="dxa"/>
              <w:bottom w:w="-1" w:type="dxa"/>
              <w:right w:w="-1" w:type="dxa"/>
            </w:tcMar>
            <w:vAlign w:val="top"/>
          </w:tcPr>
          <w:p w14:paraId="61EC78A0">
            <w:pPr>
              <w:jc w:val="center"/>
              <w:rPr>
                <w:rFonts w:hint="default" w:ascii="Times New Roman" w:hAnsi="Times New Roman" w:cs="Times New Roman"/>
              </w:rPr>
            </w:pPr>
            <w:r>
              <w:rPr>
                <w:rFonts w:hint="default" w:ascii="Times New Roman" w:hAnsi="Times New Roman" w:cs="Times New Roman"/>
              </w:rPr>
              <w:t>No</w:t>
            </w:r>
          </w:p>
        </w:tc>
      </w:tr>
      <w:tr w14:paraId="18C80B4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6BFFBEA">
            <w:pPr>
              <w:rPr>
                <w:rFonts w:hint="default" w:ascii="Times New Roman" w:hAnsi="Times New Roman" w:cs="Times New Roman"/>
              </w:rPr>
            </w:pPr>
            <w:r>
              <w:rPr>
                <w:rFonts w:hint="default" w:ascii="Times New Roman" w:hAnsi="Times New Roman" w:cs="Times New Roman"/>
              </w:rPr>
              <w:t>triglycerides</w:t>
            </w:r>
          </w:p>
        </w:tc>
        <w:tc>
          <w:tcPr>
            <w:tcW w:w="1080" w:type="dxa"/>
            <w:tcBorders>
              <w:top w:val="nil"/>
              <w:left w:val="nil"/>
              <w:bottom w:val="nil"/>
              <w:right w:val="nil"/>
            </w:tcBorders>
            <w:noWrap w:val="0"/>
            <w:tcMar>
              <w:top w:w="-1" w:type="dxa"/>
              <w:left w:w="-1" w:type="dxa"/>
              <w:bottom w:w="-1" w:type="dxa"/>
              <w:right w:w="-1" w:type="dxa"/>
            </w:tcMar>
            <w:vAlign w:val="top"/>
          </w:tcPr>
          <w:p w14:paraId="2B619B0B">
            <w:pPr>
              <w:jc w:val="center"/>
              <w:rPr>
                <w:rFonts w:hint="default" w:ascii="Times New Roman" w:hAnsi="Times New Roman" w:cs="Times New Roman"/>
              </w:rPr>
            </w:pPr>
            <w:r>
              <w:rPr>
                <w:rFonts w:hint="default" w:ascii="Times New Roman" w:hAnsi="Times New Roman" w:cs="Times New Roman"/>
              </w:rPr>
              <w:t>56</w:t>
            </w:r>
          </w:p>
        </w:tc>
        <w:tc>
          <w:tcPr>
            <w:tcW w:w="1080" w:type="dxa"/>
            <w:tcBorders>
              <w:top w:val="nil"/>
              <w:left w:val="nil"/>
              <w:bottom w:val="nil"/>
              <w:right w:val="nil"/>
            </w:tcBorders>
            <w:noWrap w:val="0"/>
            <w:tcMar>
              <w:top w:w="-1" w:type="dxa"/>
              <w:left w:w="-1" w:type="dxa"/>
              <w:bottom w:w="-1" w:type="dxa"/>
              <w:right w:w="-1" w:type="dxa"/>
            </w:tcMar>
            <w:vAlign w:val="top"/>
          </w:tcPr>
          <w:p w14:paraId="2FB8A06A">
            <w:pPr>
              <w:jc w:val="center"/>
              <w:rPr>
                <w:rFonts w:hint="default" w:ascii="Times New Roman" w:hAnsi="Times New Roman" w:cs="Times New Roman"/>
              </w:rPr>
            </w:pPr>
            <w:r>
              <w:rPr>
                <w:rFonts w:hint="default" w:ascii="Times New Roman" w:hAnsi="Times New Roman" w:cs="Times New Roman"/>
              </w:rPr>
              <w:t>70</w:t>
            </w:r>
          </w:p>
        </w:tc>
        <w:tc>
          <w:tcPr>
            <w:tcW w:w="1080" w:type="dxa"/>
            <w:tcBorders>
              <w:top w:val="nil"/>
              <w:left w:val="nil"/>
              <w:bottom w:val="nil"/>
              <w:right w:val="nil"/>
            </w:tcBorders>
            <w:noWrap w:val="0"/>
            <w:tcMar>
              <w:top w:w="-1" w:type="dxa"/>
              <w:left w:w="-1" w:type="dxa"/>
              <w:bottom w:w="-1" w:type="dxa"/>
              <w:right w:w="-1" w:type="dxa"/>
            </w:tcMar>
            <w:vAlign w:val="top"/>
          </w:tcPr>
          <w:p w14:paraId="319407AC">
            <w:pPr>
              <w:jc w:val="center"/>
              <w:rPr>
                <w:rFonts w:hint="default" w:ascii="Times New Roman" w:hAnsi="Times New Roman" w:cs="Times New Roman"/>
              </w:rPr>
            </w:pPr>
            <w:r>
              <w:rPr>
                <w:rFonts w:hint="default" w:ascii="Times New Roman" w:hAnsi="Times New Roman" w:cs="Times New Roman"/>
              </w:rPr>
              <w:t>1.04 (0.82–1.53)</w:t>
            </w:r>
          </w:p>
        </w:tc>
        <w:tc>
          <w:tcPr>
            <w:tcW w:w="1080" w:type="dxa"/>
            <w:tcBorders>
              <w:top w:val="nil"/>
              <w:left w:val="nil"/>
              <w:bottom w:val="nil"/>
              <w:right w:val="nil"/>
            </w:tcBorders>
            <w:noWrap w:val="0"/>
            <w:tcMar>
              <w:top w:w="-1" w:type="dxa"/>
              <w:left w:w="-1" w:type="dxa"/>
              <w:bottom w:w="-1" w:type="dxa"/>
              <w:right w:w="-1" w:type="dxa"/>
            </w:tcMar>
            <w:vAlign w:val="top"/>
          </w:tcPr>
          <w:p w14:paraId="06297C1B">
            <w:pPr>
              <w:jc w:val="center"/>
              <w:rPr>
                <w:rFonts w:hint="default" w:ascii="Times New Roman" w:hAnsi="Times New Roman" w:cs="Times New Roman"/>
              </w:rPr>
            </w:pPr>
            <w:r>
              <w:rPr>
                <w:rFonts w:hint="default" w:ascii="Times New Roman" w:hAnsi="Times New Roman" w:cs="Times New Roman"/>
              </w:rPr>
              <w:t>1.31 (0.95–2.03)</w:t>
            </w:r>
          </w:p>
        </w:tc>
        <w:tc>
          <w:tcPr>
            <w:tcW w:w="1080" w:type="dxa"/>
            <w:tcBorders>
              <w:top w:val="nil"/>
              <w:left w:val="nil"/>
              <w:bottom w:val="nil"/>
              <w:right w:val="nil"/>
            </w:tcBorders>
            <w:noWrap w:val="0"/>
            <w:tcMar>
              <w:top w:w="-1" w:type="dxa"/>
              <w:left w:w="-1" w:type="dxa"/>
              <w:bottom w:w="-1" w:type="dxa"/>
              <w:right w:w="-1" w:type="dxa"/>
            </w:tcMar>
            <w:vAlign w:val="top"/>
          </w:tcPr>
          <w:p w14:paraId="447FF3F0">
            <w:pPr>
              <w:jc w:val="center"/>
              <w:rPr>
                <w:rFonts w:hint="default" w:ascii="Times New Roman" w:hAnsi="Times New Roman" w:cs="Times New Roman"/>
              </w:rPr>
            </w:pPr>
            <w:r>
              <w:rPr>
                <w:rFonts w:hint="default" w:ascii="Times New Roman" w:hAnsi="Times New Roman" w:cs="Times New Roman"/>
              </w:rPr>
              <w:t>0.046</w:t>
            </w:r>
          </w:p>
        </w:tc>
        <w:tc>
          <w:tcPr>
            <w:tcW w:w="1080" w:type="dxa"/>
            <w:tcBorders>
              <w:top w:val="nil"/>
              <w:left w:val="nil"/>
              <w:bottom w:val="nil"/>
              <w:right w:val="nil"/>
            </w:tcBorders>
            <w:noWrap w:val="0"/>
            <w:tcMar>
              <w:top w:w="-1" w:type="dxa"/>
              <w:left w:w="-1" w:type="dxa"/>
              <w:bottom w:w="-1" w:type="dxa"/>
              <w:right w:w="-1" w:type="dxa"/>
            </w:tcMar>
            <w:vAlign w:val="top"/>
          </w:tcPr>
          <w:p w14:paraId="24890C2D">
            <w:pPr>
              <w:jc w:val="center"/>
              <w:rPr>
                <w:rFonts w:hint="default" w:ascii="Times New Roman" w:hAnsi="Times New Roman" w:cs="Times New Roman"/>
              </w:rPr>
            </w:pPr>
            <w:r>
              <w:rPr>
                <w:rFonts w:hint="default" w:ascii="Times New Roman" w:hAnsi="Times New Roman" w:cs="Times New Roman"/>
              </w:rPr>
              <w:t>0.079</w:t>
            </w:r>
          </w:p>
        </w:tc>
        <w:tc>
          <w:tcPr>
            <w:tcW w:w="1080" w:type="dxa"/>
            <w:tcBorders>
              <w:top w:val="nil"/>
              <w:left w:val="nil"/>
              <w:bottom w:val="nil"/>
              <w:right w:val="nil"/>
            </w:tcBorders>
            <w:noWrap w:val="0"/>
            <w:tcMar>
              <w:top w:w="-1" w:type="dxa"/>
              <w:left w:w="-1" w:type="dxa"/>
              <w:bottom w:w="-1" w:type="dxa"/>
              <w:right w:w="-1" w:type="dxa"/>
            </w:tcMar>
            <w:vAlign w:val="top"/>
          </w:tcPr>
          <w:p w14:paraId="2374EE50">
            <w:pPr>
              <w:jc w:val="center"/>
              <w:rPr>
                <w:rFonts w:hint="default" w:ascii="Times New Roman" w:hAnsi="Times New Roman" w:cs="Times New Roman"/>
              </w:rPr>
            </w:pPr>
            <w:r>
              <w:rPr>
                <w:rFonts w:hint="default" w:ascii="Times New Roman" w:hAnsi="Times New Roman" w:cs="Times New Roman"/>
              </w:rPr>
              <w:t>No</w:t>
            </w:r>
          </w:p>
        </w:tc>
      </w:tr>
      <w:tr w14:paraId="55A53ACA">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4FCA639">
            <w:pPr>
              <w:rPr>
                <w:rFonts w:hint="default" w:ascii="Times New Roman" w:hAnsi="Times New Roman" w:cs="Times New Roman"/>
              </w:rPr>
            </w:pPr>
            <w:r>
              <w:rPr>
                <w:rFonts w:hint="default" w:ascii="Times New Roman" w:hAnsi="Times New Roman" w:cs="Times New Roman"/>
              </w:rPr>
              <w:t>ApoA1</w:t>
            </w:r>
          </w:p>
        </w:tc>
        <w:tc>
          <w:tcPr>
            <w:tcW w:w="1080" w:type="dxa"/>
            <w:tcBorders>
              <w:top w:val="nil"/>
              <w:left w:val="nil"/>
              <w:bottom w:val="nil"/>
              <w:right w:val="nil"/>
            </w:tcBorders>
            <w:noWrap w:val="0"/>
            <w:tcMar>
              <w:top w:w="-1" w:type="dxa"/>
              <w:left w:w="-1" w:type="dxa"/>
              <w:bottom w:w="-1" w:type="dxa"/>
              <w:right w:w="-1" w:type="dxa"/>
            </w:tcMar>
            <w:vAlign w:val="top"/>
          </w:tcPr>
          <w:p w14:paraId="1ABCA57F">
            <w:pPr>
              <w:jc w:val="center"/>
              <w:rPr>
                <w:rFonts w:hint="default" w:ascii="Times New Roman" w:hAnsi="Times New Roman" w:cs="Times New Roman"/>
              </w:rPr>
            </w:pPr>
            <w:r>
              <w:rPr>
                <w:rFonts w:hint="default" w:ascii="Times New Roman" w:hAnsi="Times New Roman" w:cs="Times New Roman"/>
              </w:rPr>
              <w:t>52</w:t>
            </w:r>
          </w:p>
        </w:tc>
        <w:tc>
          <w:tcPr>
            <w:tcW w:w="1080" w:type="dxa"/>
            <w:tcBorders>
              <w:top w:val="nil"/>
              <w:left w:val="nil"/>
              <w:bottom w:val="nil"/>
              <w:right w:val="nil"/>
            </w:tcBorders>
            <w:noWrap w:val="0"/>
            <w:tcMar>
              <w:top w:w="-1" w:type="dxa"/>
              <w:left w:w="-1" w:type="dxa"/>
              <w:bottom w:w="-1" w:type="dxa"/>
              <w:right w:w="-1" w:type="dxa"/>
            </w:tcMar>
            <w:vAlign w:val="top"/>
          </w:tcPr>
          <w:p w14:paraId="58C97704">
            <w:pPr>
              <w:jc w:val="center"/>
              <w:rPr>
                <w:rFonts w:hint="default" w:ascii="Times New Roman" w:hAnsi="Times New Roman" w:cs="Times New Roman"/>
              </w:rPr>
            </w:pPr>
            <w:r>
              <w:rPr>
                <w:rFonts w:hint="default" w:ascii="Times New Roman" w:hAnsi="Times New Roman" w:cs="Times New Roman"/>
              </w:rPr>
              <w:t>69</w:t>
            </w:r>
          </w:p>
        </w:tc>
        <w:tc>
          <w:tcPr>
            <w:tcW w:w="1080" w:type="dxa"/>
            <w:tcBorders>
              <w:top w:val="nil"/>
              <w:left w:val="nil"/>
              <w:bottom w:val="nil"/>
              <w:right w:val="nil"/>
            </w:tcBorders>
            <w:noWrap w:val="0"/>
            <w:tcMar>
              <w:top w:w="-1" w:type="dxa"/>
              <w:left w:w="-1" w:type="dxa"/>
              <w:bottom w:w="-1" w:type="dxa"/>
              <w:right w:w="-1" w:type="dxa"/>
            </w:tcMar>
            <w:vAlign w:val="top"/>
          </w:tcPr>
          <w:p w14:paraId="674DBC66">
            <w:pPr>
              <w:jc w:val="center"/>
              <w:rPr>
                <w:rFonts w:hint="default" w:ascii="Times New Roman" w:hAnsi="Times New Roman" w:cs="Times New Roman"/>
              </w:rPr>
            </w:pPr>
            <w:r>
              <w:rPr>
                <w:rFonts w:hint="default" w:ascii="Times New Roman" w:hAnsi="Times New Roman" w:cs="Times New Roman"/>
              </w:rPr>
              <w:t>0.81 (0.67–0.89)</w:t>
            </w:r>
          </w:p>
        </w:tc>
        <w:tc>
          <w:tcPr>
            <w:tcW w:w="1080" w:type="dxa"/>
            <w:tcBorders>
              <w:top w:val="nil"/>
              <w:left w:val="nil"/>
              <w:bottom w:val="nil"/>
              <w:right w:val="nil"/>
            </w:tcBorders>
            <w:noWrap w:val="0"/>
            <w:tcMar>
              <w:top w:w="-1" w:type="dxa"/>
              <w:left w:w="-1" w:type="dxa"/>
              <w:bottom w:w="-1" w:type="dxa"/>
              <w:right w:w="-1" w:type="dxa"/>
            </w:tcMar>
            <w:vAlign w:val="top"/>
          </w:tcPr>
          <w:p w14:paraId="6F5ED6DE">
            <w:pPr>
              <w:jc w:val="center"/>
              <w:rPr>
                <w:rFonts w:hint="default" w:ascii="Times New Roman" w:hAnsi="Times New Roman" w:cs="Times New Roman"/>
              </w:rPr>
            </w:pPr>
            <w:r>
              <w:rPr>
                <w:rFonts w:hint="default" w:ascii="Times New Roman" w:hAnsi="Times New Roman" w:cs="Times New Roman"/>
              </w:rPr>
              <w:t>0.85 ± 0.17</w:t>
            </w:r>
          </w:p>
        </w:tc>
        <w:tc>
          <w:tcPr>
            <w:tcW w:w="1080" w:type="dxa"/>
            <w:tcBorders>
              <w:top w:val="nil"/>
              <w:left w:val="nil"/>
              <w:bottom w:val="nil"/>
              <w:right w:val="nil"/>
            </w:tcBorders>
            <w:noWrap w:val="0"/>
            <w:tcMar>
              <w:top w:w="-1" w:type="dxa"/>
              <w:left w:w="-1" w:type="dxa"/>
              <w:bottom w:w="-1" w:type="dxa"/>
              <w:right w:w="-1" w:type="dxa"/>
            </w:tcMar>
            <w:vAlign w:val="top"/>
          </w:tcPr>
          <w:p w14:paraId="174168A0">
            <w:pPr>
              <w:jc w:val="center"/>
              <w:rPr>
                <w:rFonts w:hint="default" w:ascii="Times New Roman" w:hAnsi="Times New Roman" w:cs="Times New Roman"/>
              </w:rPr>
            </w:pPr>
            <w:r>
              <w:rPr>
                <w:rFonts w:hint="default" w:ascii="Times New Roman" w:hAnsi="Times New Roman" w:cs="Times New Roman"/>
              </w:rPr>
              <w:t>0.049</w:t>
            </w:r>
          </w:p>
        </w:tc>
        <w:tc>
          <w:tcPr>
            <w:tcW w:w="1080" w:type="dxa"/>
            <w:tcBorders>
              <w:top w:val="nil"/>
              <w:left w:val="nil"/>
              <w:bottom w:val="nil"/>
              <w:right w:val="nil"/>
            </w:tcBorders>
            <w:noWrap w:val="0"/>
            <w:tcMar>
              <w:top w:w="-1" w:type="dxa"/>
              <w:left w:w="-1" w:type="dxa"/>
              <w:bottom w:w="-1" w:type="dxa"/>
              <w:right w:w="-1" w:type="dxa"/>
            </w:tcMar>
            <w:vAlign w:val="top"/>
          </w:tcPr>
          <w:p w14:paraId="2FF0372E">
            <w:pPr>
              <w:jc w:val="center"/>
              <w:rPr>
                <w:rFonts w:hint="default" w:ascii="Times New Roman" w:hAnsi="Times New Roman" w:cs="Times New Roman"/>
              </w:rPr>
            </w:pPr>
            <w:r>
              <w:rPr>
                <w:rFonts w:hint="default" w:ascii="Times New Roman" w:hAnsi="Times New Roman" w:cs="Times New Roman"/>
              </w:rPr>
              <w:t>0.081</w:t>
            </w:r>
          </w:p>
        </w:tc>
        <w:tc>
          <w:tcPr>
            <w:tcW w:w="1080" w:type="dxa"/>
            <w:tcBorders>
              <w:top w:val="nil"/>
              <w:left w:val="nil"/>
              <w:bottom w:val="nil"/>
              <w:right w:val="nil"/>
            </w:tcBorders>
            <w:noWrap w:val="0"/>
            <w:tcMar>
              <w:top w:w="-1" w:type="dxa"/>
              <w:left w:w="-1" w:type="dxa"/>
              <w:bottom w:w="-1" w:type="dxa"/>
              <w:right w:w="-1" w:type="dxa"/>
            </w:tcMar>
            <w:vAlign w:val="top"/>
          </w:tcPr>
          <w:p w14:paraId="3BEF545F">
            <w:pPr>
              <w:jc w:val="center"/>
              <w:rPr>
                <w:rFonts w:hint="default" w:ascii="Times New Roman" w:hAnsi="Times New Roman" w:cs="Times New Roman"/>
              </w:rPr>
            </w:pPr>
            <w:r>
              <w:rPr>
                <w:rFonts w:hint="default" w:ascii="Times New Roman" w:hAnsi="Times New Roman" w:cs="Times New Roman"/>
              </w:rPr>
              <w:t>No</w:t>
            </w:r>
          </w:p>
        </w:tc>
      </w:tr>
      <w:tr w14:paraId="1CBBB482">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B25B25D">
            <w:pPr>
              <w:rPr>
                <w:rFonts w:hint="default" w:ascii="Times New Roman" w:hAnsi="Times New Roman" w:cs="Times New Roman"/>
              </w:rPr>
            </w:pPr>
            <w:r>
              <w:rPr>
                <w:rFonts w:hint="default" w:ascii="Times New Roman" w:hAnsi="Times New Roman" w:cs="Times New Roman"/>
              </w:rPr>
              <w:t>AST</w:t>
            </w:r>
          </w:p>
        </w:tc>
        <w:tc>
          <w:tcPr>
            <w:tcW w:w="1080" w:type="dxa"/>
            <w:tcBorders>
              <w:top w:val="nil"/>
              <w:left w:val="nil"/>
              <w:bottom w:val="nil"/>
              <w:right w:val="nil"/>
            </w:tcBorders>
            <w:noWrap w:val="0"/>
            <w:tcMar>
              <w:top w:w="-1" w:type="dxa"/>
              <w:left w:w="-1" w:type="dxa"/>
              <w:bottom w:w="-1" w:type="dxa"/>
              <w:right w:w="-1" w:type="dxa"/>
            </w:tcMar>
            <w:vAlign w:val="top"/>
          </w:tcPr>
          <w:p w14:paraId="3D163094">
            <w:pPr>
              <w:jc w:val="center"/>
              <w:rPr>
                <w:rFonts w:hint="default" w:ascii="Times New Roman" w:hAnsi="Times New Roman" w:cs="Times New Roman"/>
              </w:rPr>
            </w:pPr>
            <w:r>
              <w:rPr>
                <w:rFonts w:hint="default" w:ascii="Times New Roman" w:hAnsi="Times New Roman" w:cs="Times New Roman"/>
              </w:rPr>
              <w:t>88</w:t>
            </w:r>
          </w:p>
        </w:tc>
        <w:tc>
          <w:tcPr>
            <w:tcW w:w="1080" w:type="dxa"/>
            <w:tcBorders>
              <w:top w:val="nil"/>
              <w:left w:val="nil"/>
              <w:bottom w:val="nil"/>
              <w:right w:val="nil"/>
            </w:tcBorders>
            <w:noWrap w:val="0"/>
            <w:tcMar>
              <w:top w:w="-1" w:type="dxa"/>
              <w:left w:w="-1" w:type="dxa"/>
              <w:bottom w:w="-1" w:type="dxa"/>
              <w:right w:w="-1" w:type="dxa"/>
            </w:tcMar>
            <w:vAlign w:val="top"/>
          </w:tcPr>
          <w:p w14:paraId="4E0E30FC">
            <w:pPr>
              <w:jc w:val="center"/>
              <w:rPr>
                <w:rFonts w:hint="default" w:ascii="Times New Roman" w:hAnsi="Times New Roman" w:cs="Times New Roman"/>
              </w:rPr>
            </w:pPr>
            <w:r>
              <w:rPr>
                <w:rFonts w:hint="default" w:ascii="Times New Roman" w:hAnsi="Times New Roman" w:cs="Times New Roman"/>
              </w:rPr>
              <w:t>79</w:t>
            </w:r>
          </w:p>
        </w:tc>
        <w:tc>
          <w:tcPr>
            <w:tcW w:w="1080" w:type="dxa"/>
            <w:tcBorders>
              <w:top w:val="nil"/>
              <w:left w:val="nil"/>
              <w:bottom w:val="nil"/>
              <w:right w:val="nil"/>
            </w:tcBorders>
            <w:noWrap w:val="0"/>
            <w:tcMar>
              <w:top w:w="-1" w:type="dxa"/>
              <w:left w:w="-1" w:type="dxa"/>
              <w:bottom w:w="-1" w:type="dxa"/>
              <w:right w:w="-1" w:type="dxa"/>
            </w:tcMar>
            <w:vAlign w:val="top"/>
          </w:tcPr>
          <w:p w14:paraId="758930F7">
            <w:pPr>
              <w:jc w:val="center"/>
              <w:rPr>
                <w:rFonts w:hint="default" w:ascii="Times New Roman" w:hAnsi="Times New Roman" w:cs="Times New Roman"/>
              </w:rPr>
            </w:pPr>
            <w:r>
              <w:rPr>
                <w:rFonts w:hint="default" w:ascii="Times New Roman" w:hAnsi="Times New Roman" w:cs="Times New Roman"/>
              </w:rPr>
              <w:t>20.00 (14.00–27.50)</w:t>
            </w:r>
          </w:p>
        </w:tc>
        <w:tc>
          <w:tcPr>
            <w:tcW w:w="1080" w:type="dxa"/>
            <w:tcBorders>
              <w:top w:val="nil"/>
              <w:left w:val="nil"/>
              <w:bottom w:val="nil"/>
              <w:right w:val="nil"/>
            </w:tcBorders>
            <w:noWrap w:val="0"/>
            <w:tcMar>
              <w:top w:w="-1" w:type="dxa"/>
              <w:left w:w="-1" w:type="dxa"/>
              <w:bottom w:w="-1" w:type="dxa"/>
              <w:right w:w="-1" w:type="dxa"/>
            </w:tcMar>
            <w:vAlign w:val="top"/>
          </w:tcPr>
          <w:p w14:paraId="5F766948">
            <w:pPr>
              <w:jc w:val="center"/>
              <w:rPr>
                <w:rFonts w:hint="default" w:ascii="Times New Roman" w:hAnsi="Times New Roman" w:cs="Times New Roman"/>
              </w:rPr>
            </w:pPr>
            <w:r>
              <w:rPr>
                <w:rFonts w:hint="default" w:ascii="Times New Roman" w:hAnsi="Times New Roman" w:cs="Times New Roman"/>
              </w:rPr>
              <w:t>17.00 (14.00–23.50)</w:t>
            </w:r>
          </w:p>
        </w:tc>
        <w:tc>
          <w:tcPr>
            <w:tcW w:w="1080" w:type="dxa"/>
            <w:tcBorders>
              <w:top w:val="nil"/>
              <w:left w:val="nil"/>
              <w:bottom w:val="nil"/>
              <w:right w:val="nil"/>
            </w:tcBorders>
            <w:noWrap w:val="0"/>
            <w:tcMar>
              <w:top w:w="-1" w:type="dxa"/>
              <w:left w:w="-1" w:type="dxa"/>
              <w:bottom w:w="-1" w:type="dxa"/>
              <w:right w:w="-1" w:type="dxa"/>
            </w:tcMar>
            <w:vAlign w:val="top"/>
          </w:tcPr>
          <w:p w14:paraId="7C6D340B">
            <w:pPr>
              <w:jc w:val="center"/>
              <w:rPr>
                <w:rFonts w:hint="default" w:ascii="Times New Roman" w:hAnsi="Times New Roman" w:cs="Times New Roman"/>
              </w:rPr>
            </w:pPr>
            <w:r>
              <w:rPr>
                <w:rFonts w:hint="default" w:ascii="Times New Roman" w:hAnsi="Times New Roman" w:cs="Times New Roman"/>
              </w:rPr>
              <w:t>0.083</w:t>
            </w:r>
          </w:p>
        </w:tc>
        <w:tc>
          <w:tcPr>
            <w:tcW w:w="1080" w:type="dxa"/>
            <w:tcBorders>
              <w:top w:val="nil"/>
              <w:left w:val="nil"/>
              <w:bottom w:val="nil"/>
              <w:right w:val="nil"/>
            </w:tcBorders>
            <w:noWrap w:val="0"/>
            <w:tcMar>
              <w:top w:w="-1" w:type="dxa"/>
              <w:left w:w="-1" w:type="dxa"/>
              <w:bottom w:w="-1" w:type="dxa"/>
              <w:right w:w="-1" w:type="dxa"/>
            </w:tcMar>
            <w:vAlign w:val="top"/>
          </w:tcPr>
          <w:p w14:paraId="16B6A68B">
            <w:pPr>
              <w:jc w:val="center"/>
              <w:rPr>
                <w:rFonts w:hint="default" w:ascii="Times New Roman" w:hAnsi="Times New Roman" w:cs="Times New Roman"/>
              </w:rPr>
            </w:pPr>
            <w:r>
              <w:rPr>
                <w:rFonts w:hint="default" w:ascii="Times New Roman" w:hAnsi="Times New Roman" w:cs="Times New Roman"/>
              </w:rPr>
              <w:t>0.135</w:t>
            </w:r>
          </w:p>
        </w:tc>
        <w:tc>
          <w:tcPr>
            <w:tcW w:w="1080" w:type="dxa"/>
            <w:tcBorders>
              <w:top w:val="nil"/>
              <w:left w:val="nil"/>
              <w:bottom w:val="nil"/>
              <w:right w:val="nil"/>
            </w:tcBorders>
            <w:noWrap w:val="0"/>
            <w:tcMar>
              <w:top w:w="-1" w:type="dxa"/>
              <w:left w:w="-1" w:type="dxa"/>
              <w:bottom w:w="-1" w:type="dxa"/>
              <w:right w:w="-1" w:type="dxa"/>
            </w:tcMar>
            <w:vAlign w:val="top"/>
          </w:tcPr>
          <w:p w14:paraId="34A15D34">
            <w:pPr>
              <w:jc w:val="center"/>
              <w:rPr>
                <w:rFonts w:hint="default" w:ascii="Times New Roman" w:hAnsi="Times New Roman" w:cs="Times New Roman"/>
              </w:rPr>
            </w:pPr>
            <w:r>
              <w:rPr>
                <w:rFonts w:hint="default" w:ascii="Times New Roman" w:hAnsi="Times New Roman" w:cs="Times New Roman"/>
              </w:rPr>
              <w:t>No</w:t>
            </w:r>
          </w:p>
        </w:tc>
      </w:tr>
      <w:tr w14:paraId="13D61F96">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DF93BF5">
            <w:pPr>
              <w:rPr>
                <w:rFonts w:hint="default" w:ascii="Times New Roman" w:hAnsi="Times New Roman" w:cs="Times New Roman"/>
              </w:rPr>
            </w:pPr>
            <w:r>
              <w:rPr>
                <w:rFonts w:hint="default" w:ascii="Times New Roman" w:hAnsi="Times New Roman" w:cs="Times New Roman"/>
              </w:rPr>
              <w:t>RBC</w:t>
            </w:r>
          </w:p>
        </w:tc>
        <w:tc>
          <w:tcPr>
            <w:tcW w:w="1080" w:type="dxa"/>
            <w:tcBorders>
              <w:top w:val="nil"/>
              <w:left w:val="nil"/>
              <w:bottom w:val="nil"/>
              <w:right w:val="nil"/>
            </w:tcBorders>
            <w:noWrap w:val="0"/>
            <w:tcMar>
              <w:top w:w="-1" w:type="dxa"/>
              <w:left w:w="-1" w:type="dxa"/>
              <w:bottom w:w="-1" w:type="dxa"/>
              <w:right w:w="-1" w:type="dxa"/>
            </w:tcMar>
            <w:vAlign w:val="top"/>
          </w:tcPr>
          <w:p w14:paraId="23FD2A81">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7142B557">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714A15D">
            <w:pPr>
              <w:jc w:val="center"/>
              <w:rPr>
                <w:rFonts w:hint="default" w:ascii="Times New Roman" w:hAnsi="Times New Roman" w:cs="Times New Roman"/>
              </w:rPr>
            </w:pPr>
            <w:r>
              <w:rPr>
                <w:rFonts w:hint="default" w:ascii="Times New Roman" w:hAnsi="Times New Roman" w:cs="Times New Roman"/>
              </w:rPr>
              <w:t>3.74 ± 0.67</w:t>
            </w:r>
          </w:p>
        </w:tc>
        <w:tc>
          <w:tcPr>
            <w:tcW w:w="1080" w:type="dxa"/>
            <w:tcBorders>
              <w:top w:val="nil"/>
              <w:left w:val="nil"/>
              <w:bottom w:val="nil"/>
              <w:right w:val="nil"/>
            </w:tcBorders>
            <w:noWrap w:val="0"/>
            <w:tcMar>
              <w:top w:w="-1" w:type="dxa"/>
              <w:left w:w="-1" w:type="dxa"/>
              <w:bottom w:w="-1" w:type="dxa"/>
              <w:right w:w="-1" w:type="dxa"/>
            </w:tcMar>
            <w:vAlign w:val="top"/>
          </w:tcPr>
          <w:p w14:paraId="133FC9A5">
            <w:pPr>
              <w:jc w:val="center"/>
              <w:rPr>
                <w:rFonts w:hint="default" w:ascii="Times New Roman" w:hAnsi="Times New Roman" w:cs="Times New Roman"/>
              </w:rPr>
            </w:pPr>
            <w:r>
              <w:rPr>
                <w:rFonts w:hint="default" w:ascii="Times New Roman" w:hAnsi="Times New Roman" w:cs="Times New Roman"/>
              </w:rPr>
              <w:t>3.60 (3.12–4.07)</w:t>
            </w:r>
          </w:p>
        </w:tc>
        <w:tc>
          <w:tcPr>
            <w:tcW w:w="1080" w:type="dxa"/>
            <w:tcBorders>
              <w:top w:val="nil"/>
              <w:left w:val="nil"/>
              <w:bottom w:val="nil"/>
              <w:right w:val="nil"/>
            </w:tcBorders>
            <w:noWrap w:val="0"/>
            <w:tcMar>
              <w:top w:w="-1" w:type="dxa"/>
              <w:left w:w="-1" w:type="dxa"/>
              <w:bottom w:w="-1" w:type="dxa"/>
              <w:right w:w="-1" w:type="dxa"/>
            </w:tcMar>
            <w:vAlign w:val="top"/>
          </w:tcPr>
          <w:p w14:paraId="649F8DA8">
            <w:pPr>
              <w:jc w:val="center"/>
              <w:rPr>
                <w:rFonts w:hint="default" w:ascii="Times New Roman" w:hAnsi="Times New Roman" w:cs="Times New Roman"/>
              </w:rPr>
            </w:pPr>
            <w:r>
              <w:rPr>
                <w:rFonts w:hint="default" w:ascii="Times New Roman" w:hAnsi="Times New Roman" w:cs="Times New Roman"/>
              </w:rPr>
              <w:t>0.138</w:t>
            </w:r>
          </w:p>
        </w:tc>
        <w:tc>
          <w:tcPr>
            <w:tcW w:w="1080" w:type="dxa"/>
            <w:tcBorders>
              <w:top w:val="nil"/>
              <w:left w:val="nil"/>
              <w:bottom w:val="nil"/>
              <w:right w:val="nil"/>
            </w:tcBorders>
            <w:noWrap w:val="0"/>
            <w:tcMar>
              <w:top w:w="-1" w:type="dxa"/>
              <w:left w:w="-1" w:type="dxa"/>
              <w:bottom w:w="-1" w:type="dxa"/>
              <w:right w:w="-1" w:type="dxa"/>
            </w:tcMar>
            <w:vAlign w:val="top"/>
          </w:tcPr>
          <w:p w14:paraId="4361AC67">
            <w:pPr>
              <w:jc w:val="center"/>
              <w:rPr>
                <w:rFonts w:hint="default" w:ascii="Times New Roman" w:hAnsi="Times New Roman" w:cs="Times New Roman"/>
              </w:rPr>
            </w:pPr>
            <w:r>
              <w:rPr>
                <w:rFonts w:hint="default" w:ascii="Times New Roman" w:hAnsi="Times New Roman" w:cs="Times New Roman"/>
              </w:rPr>
              <w:t>0.218</w:t>
            </w:r>
          </w:p>
        </w:tc>
        <w:tc>
          <w:tcPr>
            <w:tcW w:w="1080" w:type="dxa"/>
            <w:tcBorders>
              <w:top w:val="nil"/>
              <w:left w:val="nil"/>
              <w:bottom w:val="nil"/>
              <w:right w:val="nil"/>
            </w:tcBorders>
            <w:noWrap w:val="0"/>
            <w:tcMar>
              <w:top w:w="-1" w:type="dxa"/>
              <w:left w:w="-1" w:type="dxa"/>
              <w:bottom w:w="-1" w:type="dxa"/>
              <w:right w:w="-1" w:type="dxa"/>
            </w:tcMar>
            <w:vAlign w:val="top"/>
          </w:tcPr>
          <w:p w14:paraId="0A7A0B03">
            <w:pPr>
              <w:jc w:val="center"/>
              <w:rPr>
                <w:rFonts w:hint="default" w:ascii="Times New Roman" w:hAnsi="Times New Roman" w:cs="Times New Roman"/>
              </w:rPr>
            </w:pPr>
            <w:r>
              <w:rPr>
                <w:rFonts w:hint="default" w:ascii="Times New Roman" w:hAnsi="Times New Roman" w:cs="Times New Roman"/>
              </w:rPr>
              <w:t>No</w:t>
            </w:r>
          </w:p>
        </w:tc>
      </w:tr>
      <w:tr w14:paraId="32A562F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81402CB">
            <w:pPr>
              <w:rPr>
                <w:rFonts w:hint="default" w:ascii="Times New Roman" w:hAnsi="Times New Roman" w:cs="Times New Roman"/>
              </w:rPr>
            </w:pPr>
            <w:r>
              <w:rPr>
                <w:rFonts w:hint="default" w:ascii="Times New Roman" w:hAnsi="Times New Roman" w:cs="Times New Roman"/>
              </w:rPr>
              <w:t>calcium</w:t>
            </w:r>
          </w:p>
        </w:tc>
        <w:tc>
          <w:tcPr>
            <w:tcW w:w="1080" w:type="dxa"/>
            <w:tcBorders>
              <w:top w:val="nil"/>
              <w:left w:val="nil"/>
              <w:bottom w:val="nil"/>
              <w:right w:val="nil"/>
            </w:tcBorders>
            <w:noWrap w:val="0"/>
            <w:tcMar>
              <w:top w:w="-1" w:type="dxa"/>
              <w:left w:w="-1" w:type="dxa"/>
              <w:bottom w:w="-1" w:type="dxa"/>
              <w:right w:w="-1" w:type="dxa"/>
            </w:tcMar>
            <w:vAlign w:val="top"/>
          </w:tcPr>
          <w:p w14:paraId="2EF1842E">
            <w:pPr>
              <w:jc w:val="center"/>
              <w:rPr>
                <w:rFonts w:hint="default" w:ascii="Times New Roman" w:hAnsi="Times New Roman" w:cs="Times New Roman"/>
              </w:rPr>
            </w:pPr>
            <w:r>
              <w:rPr>
                <w:rFonts w:hint="default" w:ascii="Times New Roman" w:hAnsi="Times New Roman" w:cs="Times New Roman"/>
              </w:rPr>
              <w:t>87</w:t>
            </w:r>
          </w:p>
        </w:tc>
        <w:tc>
          <w:tcPr>
            <w:tcW w:w="1080" w:type="dxa"/>
            <w:tcBorders>
              <w:top w:val="nil"/>
              <w:left w:val="nil"/>
              <w:bottom w:val="nil"/>
              <w:right w:val="nil"/>
            </w:tcBorders>
            <w:noWrap w:val="0"/>
            <w:tcMar>
              <w:top w:w="-1" w:type="dxa"/>
              <w:left w:w="-1" w:type="dxa"/>
              <w:bottom w:w="-1" w:type="dxa"/>
              <w:right w:w="-1" w:type="dxa"/>
            </w:tcMar>
            <w:vAlign w:val="top"/>
          </w:tcPr>
          <w:p w14:paraId="2E006BB6">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4D33F2B">
            <w:pPr>
              <w:jc w:val="center"/>
              <w:rPr>
                <w:rFonts w:hint="default" w:ascii="Times New Roman" w:hAnsi="Times New Roman" w:cs="Times New Roman"/>
              </w:rPr>
            </w:pPr>
            <w:r>
              <w:rPr>
                <w:rFonts w:hint="default" w:ascii="Times New Roman" w:hAnsi="Times New Roman" w:cs="Times New Roman"/>
              </w:rPr>
              <w:t>2.12 ± 0.20</w:t>
            </w:r>
          </w:p>
        </w:tc>
        <w:tc>
          <w:tcPr>
            <w:tcW w:w="1080" w:type="dxa"/>
            <w:tcBorders>
              <w:top w:val="nil"/>
              <w:left w:val="nil"/>
              <w:bottom w:val="nil"/>
              <w:right w:val="nil"/>
            </w:tcBorders>
            <w:noWrap w:val="0"/>
            <w:tcMar>
              <w:top w:w="-1" w:type="dxa"/>
              <w:left w:w="-1" w:type="dxa"/>
              <w:bottom w:w="-1" w:type="dxa"/>
              <w:right w:w="-1" w:type="dxa"/>
            </w:tcMar>
            <w:vAlign w:val="top"/>
          </w:tcPr>
          <w:p w14:paraId="3CED6E10">
            <w:pPr>
              <w:jc w:val="center"/>
              <w:rPr>
                <w:rFonts w:hint="default" w:ascii="Times New Roman" w:hAnsi="Times New Roman" w:cs="Times New Roman"/>
              </w:rPr>
            </w:pPr>
            <w:r>
              <w:rPr>
                <w:rFonts w:hint="default" w:ascii="Times New Roman" w:hAnsi="Times New Roman" w:cs="Times New Roman"/>
              </w:rPr>
              <w:t>2.18 ± 0.19</w:t>
            </w:r>
          </w:p>
        </w:tc>
        <w:tc>
          <w:tcPr>
            <w:tcW w:w="1080" w:type="dxa"/>
            <w:tcBorders>
              <w:top w:val="nil"/>
              <w:left w:val="nil"/>
              <w:bottom w:val="nil"/>
              <w:right w:val="nil"/>
            </w:tcBorders>
            <w:noWrap w:val="0"/>
            <w:tcMar>
              <w:top w:w="-1" w:type="dxa"/>
              <w:left w:w="-1" w:type="dxa"/>
              <w:bottom w:w="-1" w:type="dxa"/>
              <w:right w:w="-1" w:type="dxa"/>
            </w:tcMar>
            <w:vAlign w:val="top"/>
          </w:tcPr>
          <w:p w14:paraId="63EF461B">
            <w:pPr>
              <w:jc w:val="center"/>
              <w:rPr>
                <w:rFonts w:hint="default" w:ascii="Times New Roman" w:hAnsi="Times New Roman" w:cs="Times New Roman"/>
              </w:rPr>
            </w:pPr>
            <w:r>
              <w:rPr>
                <w:rFonts w:hint="default" w:ascii="Times New Roman" w:hAnsi="Times New Roman" w:cs="Times New Roman"/>
              </w:rPr>
              <w:t>0.150</w:t>
            </w:r>
          </w:p>
        </w:tc>
        <w:tc>
          <w:tcPr>
            <w:tcW w:w="1080" w:type="dxa"/>
            <w:tcBorders>
              <w:top w:val="nil"/>
              <w:left w:val="nil"/>
              <w:bottom w:val="nil"/>
              <w:right w:val="nil"/>
            </w:tcBorders>
            <w:noWrap w:val="0"/>
            <w:tcMar>
              <w:top w:w="-1" w:type="dxa"/>
              <w:left w:w="-1" w:type="dxa"/>
              <w:bottom w:w="-1" w:type="dxa"/>
              <w:right w:w="-1" w:type="dxa"/>
            </w:tcMar>
            <w:vAlign w:val="top"/>
          </w:tcPr>
          <w:p w14:paraId="23A112C2">
            <w:pPr>
              <w:jc w:val="center"/>
              <w:rPr>
                <w:rFonts w:hint="default" w:ascii="Times New Roman" w:hAnsi="Times New Roman" w:cs="Times New Roman"/>
              </w:rPr>
            </w:pPr>
            <w:r>
              <w:rPr>
                <w:rFonts w:hint="default" w:ascii="Times New Roman" w:hAnsi="Times New Roman" w:cs="Times New Roman"/>
              </w:rPr>
              <w:t>0.231</w:t>
            </w:r>
          </w:p>
        </w:tc>
        <w:tc>
          <w:tcPr>
            <w:tcW w:w="1080" w:type="dxa"/>
            <w:tcBorders>
              <w:top w:val="nil"/>
              <w:left w:val="nil"/>
              <w:bottom w:val="nil"/>
              <w:right w:val="nil"/>
            </w:tcBorders>
            <w:noWrap w:val="0"/>
            <w:tcMar>
              <w:top w:w="-1" w:type="dxa"/>
              <w:left w:w="-1" w:type="dxa"/>
              <w:bottom w:w="-1" w:type="dxa"/>
              <w:right w:w="-1" w:type="dxa"/>
            </w:tcMar>
            <w:vAlign w:val="top"/>
          </w:tcPr>
          <w:p w14:paraId="455A4AEA">
            <w:pPr>
              <w:jc w:val="center"/>
              <w:rPr>
                <w:rFonts w:hint="default" w:ascii="Times New Roman" w:hAnsi="Times New Roman" w:cs="Times New Roman"/>
              </w:rPr>
            </w:pPr>
            <w:r>
              <w:rPr>
                <w:rFonts w:hint="default" w:ascii="Times New Roman" w:hAnsi="Times New Roman" w:cs="Times New Roman"/>
              </w:rPr>
              <w:t>No</w:t>
            </w:r>
          </w:p>
        </w:tc>
      </w:tr>
      <w:tr w14:paraId="52ADAC15">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9AB8A3F">
            <w:pPr>
              <w:rPr>
                <w:rFonts w:hint="default" w:ascii="Times New Roman" w:hAnsi="Times New Roman" w:cs="Times New Roman"/>
              </w:rPr>
            </w:pPr>
            <w:r>
              <w:rPr>
                <w:rFonts w:hint="default" w:ascii="Times New Roman" w:hAnsi="Times New Roman" w:cs="Times New Roman"/>
              </w:rPr>
              <w:t>ApoE</w:t>
            </w:r>
          </w:p>
        </w:tc>
        <w:tc>
          <w:tcPr>
            <w:tcW w:w="1080" w:type="dxa"/>
            <w:tcBorders>
              <w:top w:val="nil"/>
              <w:left w:val="nil"/>
              <w:bottom w:val="nil"/>
              <w:right w:val="nil"/>
            </w:tcBorders>
            <w:noWrap w:val="0"/>
            <w:tcMar>
              <w:top w:w="-1" w:type="dxa"/>
              <w:left w:w="-1" w:type="dxa"/>
              <w:bottom w:w="-1" w:type="dxa"/>
              <w:right w:w="-1" w:type="dxa"/>
            </w:tcMar>
            <w:vAlign w:val="top"/>
          </w:tcPr>
          <w:p w14:paraId="41C1F5E0">
            <w:pPr>
              <w:jc w:val="center"/>
              <w:rPr>
                <w:rFonts w:hint="default" w:ascii="Times New Roman" w:hAnsi="Times New Roman" w:cs="Times New Roman"/>
              </w:rPr>
            </w:pPr>
            <w:r>
              <w:rPr>
                <w:rFonts w:hint="default" w:ascii="Times New Roman" w:hAnsi="Times New Roman" w:cs="Times New Roman"/>
              </w:rPr>
              <w:t>52</w:t>
            </w:r>
          </w:p>
        </w:tc>
        <w:tc>
          <w:tcPr>
            <w:tcW w:w="1080" w:type="dxa"/>
            <w:tcBorders>
              <w:top w:val="nil"/>
              <w:left w:val="nil"/>
              <w:bottom w:val="nil"/>
              <w:right w:val="nil"/>
            </w:tcBorders>
            <w:noWrap w:val="0"/>
            <w:tcMar>
              <w:top w:w="-1" w:type="dxa"/>
              <w:left w:w="-1" w:type="dxa"/>
              <w:bottom w:w="-1" w:type="dxa"/>
              <w:right w:w="-1" w:type="dxa"/>
            </w:tcMar>
            <w:vAlign w:val="top"/>
          </w:tcPr>
          <w:p w14:paraId="7DCADCBC">
            <w:pPr>
              <w:jc w:val="center"/>
              <w:rPr>
                <w:rFonts w:hint="default" w:ascii="Times New Roman" w:hAnsi="Times New Roman" w:cs="Times New Roman"/>
              </w:rPr>
            </w:pPr>
            <w:r>
              <w:rPr>
                <w:rFonts w:hint="default" w:ascii="Times New Roman" w:hAnsi="Times New Roman" w:cs="Times New Roman"/>
              </w:rPr>
              <w:t>69</w:t>
            </w:r>
          </w:p>
        </w:tc>
        <w:tc>
          <w:tcPr>
            <w:tcW w:w="1080" w:type="dxa"/>
            <w:tcBorders>
              <w:top w:val="nil"/>
              <w:left w:val="nil"/>
              <w:bottom w:val="nil"/>
              <w:right w:val="nil"/>
            </w:tcBorders>
            <w:noWrap w:val="0"/>
            <w:tcMar>
              <w:top w:w="-1" w:type="dxa"/>
              <w:left w:w="-1" w:type="dxa"/>
              <w:bottom w:w="-1" w:type="dxa"/>
              <w:right w:w="-1" w:type="dxa"/>
            </w:tcMar>
            <w:vAlign w:val="top"/>
          </w:tcPr>
          <w:p w14:paraId="15191738">
            <w:pPr>
              <w:jc w:val="center"/>
              <w:rPr>
                <w:rFonts w:hint="default" w:ascii="Times New Roman" w:hAnsi="Times New Roman" w:cs="Times New Roman"/>
              </w:rPr>
            </w:pPr>
            <w:r>
              <w:rPr>
                <w:rFonts w:hint="default" w:ascii="Times New Roman" w:hAnsi="Times New Roman" w:cs="Times New Roman"/>
              </w:rPr>
              <w:t>35.00 (27.75–42.00)</w:t>
            </w:r>
          </w:p>
        </w:tc>
        <w:tc>
          <w:tcPr>
            <w:tcW w:w="1080" w:type="dxa"/>
            <w:tcBorders>
              <w:top w:val="nil"/>
              <w:left w:val="nil"/>
              <w:bottom w:val="nil"/>
              <w:right w:val="nil"/>
            </w:tcBorders>
            <w:noWrap w:val="0"/>
            <w:tcMar>
              <w:top w:w="-1" w:type="dxa"/>
              <w:left w:w="-1" w:type="dxa"/>
              <w:bottom w:w="-1" w:type="dxa"/>
              <w:right w:w="-1" w:type="dxa"/>
            </w:tcMar>
            <w:vAlign w:val="top"/>
          </w:tcPr>
          <w:p w14:paraId="39FC117F">
            <w:pPr>
              <w:jc w:val="center"/>
              <w:rPr>
                <w:rFonts w:hint="default" w:ascii="Times New Roman" w:hAnsi="Times New Roman" w:cs="Times New Roman"/>
              </w:rPr>
            </w:pPr>
            <w:r>
              <w:rPr>
                <w:rFonts w:hint="default" w:ascii="Times New Roman" w:hAnsi="Times New Roman" w:cs="Times New Roman"/>
              </w:rPr>
              <w:t>33.00 (26.00–38.00)</w:t>
            </w:r>
          </w:p>
        </w:tc>
        <w:tc>
          <w:tcPr>
            <w:tcW w:w="1080" w:type="dxa"/>
            <w:tcBorders>
              <w:top w:val="nil"/>
              <w:left w:val="nil"/>
              <w:bottom w:val="nil"/>
              <w:right w:val="nil"/>
            </w:tcBorders>
            <w:noWrap w:val="0"/>
            <w:tcMar>
              <w:top w:w="-1" w:type="dxa"/>
              <w:left w:w="-1" w:type="dxa"/>
              <w:bottom w:w="-1" w:type="dxa"/>
              <w:right w:w="-1" w:type="dxa"/>
            </w:tcMar>
            <w:vAlign w:val="top"/>
          </w:tcPr>
          <w:p w14:paraId="2AFAE71D">
            <w:pPr>
              <w:jc w:val="center"/>
              <w:rPr>
                <w:rFonts w:hint="default" w:ascii="Times New Roman" w:hAnsi="Times New Roman" w:cs="Times New Roman"/>
              </w:rPr>
            </w:pPr>
            <w:r>
              <w:rPr>
                <w:rFonts w:hint="default" w:ascii="Times New Roman" w:hAnsi="Times New Roman" w:cs="Times New Roman"/>
              </w:rPr>
              <w:t>0.204</w:t>
            </w:r>
          </w:p>
        </w:tc>
        <w:tc>
          <w:tcPr>
            <w:tcW w:w="1080" w:type="dxa"/>
            <w:tcBorders>
              <w:top w:val="nil"/>
              <w:left w:val="nil"/>
              <w:bottom w:val="nil"/>
              <w:right w:val="nil"/>
            </w:tcBorders>
            <w:noWrap w:val="0"/>
            <w:tcMar>
              <w:top w:w="-1" w:type="dxa"/>
              <w:left w:w="-1" w:type="dxa"/>
              <w:bottom w:w="-1" w:type="dxa"/>
              <w:right w:w="-1" w:type="dxa"/>
            </w:tcMar>
            <w:vAlign w:val="top"/>
          </w:tcPr>
          <w:p w14:paraId="4CED139D">
            <w:pPr>
              <w:jc w:val="center"/>
              <w:rPr>
                <w:rFonts w:hint="default" w:ascii="Times New Roman" w:hAnsi="Times New Roman" w:cs="Times New Roman"/>
              </w:rPr>
            </w:pPr>
            <w:r>
              <w:rPr>
                <w:rFonts w:hint="default" w:ascii="Times New Roman" w:hAnsi="Times New Roman" w:cs="Times New Roman"/>
              </w:rPr>
              <w:t>0.300</w:t>
            </w:r>
          </w:p>
        </w:tc>
        <w:tc>
          <w:tcPr>
            <w:tcW w:w="1080" w:type="dxa"/>
            <w:tcBorders>
              <w:top w:val="nil"/>
              <w:left w:val="nil"/>
              <w:bottom w:val="nil"/>
              <w:right w:val="nil"/>
            </w:tcBorders>
            <w:noWrap w:val="0"/>
            <w:tcMar>
              <w:top w:w="-1" w:type="dxa"/>
              <w:left w:w="-1" w:type="dxa"/>
              <w:bottom w:w="-1" w:type="dxa"/>
              <w:right w:w="-1" w:type="dxa"/>
            </w:tcMar>
            <w:vAlign w:val="top"/>
          </w:tcPr>
          <w:p w14:paraId="08E949D9">
            <w:pPr>
              <w:jc w:val="center"/>
              <w:rPr>
                <w:rFonts w:hint="default" w:ascii="Times New Roman" w:hAnsi="Times New Roman" w:cs="Times New Roman"/>
              </w:rPr>
            </w:pPr>
            <w:r>
              <w:rPr>
                <w:rFonts w:hint="default" w:ascii="Times New Roman" w:hAnsi="Times New Roman" w:cs="Times New Roman"/>
              </w:rPr>
              <w:t>No</w:t>
            </w:r>
          </w:p>
        </w:tc>
      </w:tr>
      <w:tr w14:paraId="639A3CEC">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5A54C66">
            <w:pPr>
              <w:rPr>
                <w:rFonts w:hint="default" w:ascii="Times New Roman" w:hAnsi="Times New Roman" w:cs="Times New Roman"/>
              </w:rPr>
            </w:pPr>
            <w:r>
              <w:rPr>
                <w:rFonts w:hint="default" w:ascii="Times New Roman" w:hAnsi="Times New Roman" w:cs="Times New Roman"/>
              </w:rPr>
              <w:t>dry_weight</w:t>
            </w:r>
          </w:p>
        </w:tc>
        <w:tc>
          <w:tcPr>
            <w:tcW w:w="1080" w:type="dxa"/>
            <w:tcBorders>
              <w:top w:val="nil"/>
              <w:left w:val="nil"/>
              <w:bottom w:val="nil"/>
              <w:right w:val="nil"/>
            </w:tcBorders>
            <w:noWrap w:val="0"/>
            <w:tcMar>
              <w:top w:w="-1" w:type="dxa"/>
              <w:left w:w="-1" w:type="dxa"/>
              <w:bottom w:w="-1" w:type="dxa"/>
              <w:right w:w="-1" w:type="dxa"/>
            </w:tcMar>
            <w:vAlign w:val="top"/>
          </w:tcPr>
          <w:p w14:paraId="5C3C0758">
            <w:pPr>
              <w:jc w:val="center"/>
              <w:rPr>
                <w:rFonts w:hint="default" w:ascii="Times New Roman" w:hAnsi="Times New Roman" w:cs="Times New Roman"/>
              </w:rPr>
            </w:pPr>
            <w:r>
              <w:rPr>
                <w:rFonts w:hint="default" w:ascii="Times New Roman" w:hAnsi="Times New Roman" w:cs="Times New Roman"/>
              </w:rPr>
              <w:t>74</w:t>
            </w:r>
          </w:p>
        </w:tc>
        <w:tc>
          <w:tcPr>
            <w:tcW w:w="1080" w:type="dxa"/>
            <w:tcBorders>
              <w:top w:val="nil"/>
              <w:left w:val="nil"/>
              <w:bottom w:val="nil"/>
              <w:right w:val="nil"/>
            </w:tcBorders>
            <w:noWrap w:val="0"/>
            <w:tcMar>
              <w:top w:w="-1" w:type="dxa"/>
              <w:left w:w="-1" w:type="dxa"/>
              <w:bottom w:w="-1" w:type="dxa"/>
              <w:right w:w="-1" w:type="dxa"/>
            </w:tcMar>
            <w:vAlign w:val="top"/>
          </w:tcPr>
          <w:p w14:paraId="74C69A44">
            <w:pPr>
              <w:jc w:val="center"/>
              <w:rPr>
                <w:rFonts w:hint="default" w:ascii="Times New Roman" w:hAnsi="Times New Roman" w:cs="Times New Roman"/>
              </w:rPr>
            </w:pPr>
            <w:r>
              <w:rPr>
                <w:rFonts w:hint="default" w:ascii="Times New Roman" w:hAnsi="Times New Roman" w:cs="Times New Roman"/>
              </w:rPr>
              <w:t>79</w:t>
            </w:r>
          </w:p>
        </w:tc>
        <w:tc>
          <w:tcPr>
            <w:tcW w:w="1080" w:type="dxa"/>
            <w:tcBorders>
              <w:top w:val="nil"/>
              <w:left w:val="nil"/>
              <w:bottom w:val="nil"/>
              <w:right w:val="nil"/>
            </w:tcBorders>
            <w:noWrap w:val="0"/>
            <w:tcMar>
              <w:top w:w="-1" w:type="dxa"/>
              <w:left w:w="-1" w:type="dxa"/>
              <w:bottom w:w="-1" w:type="dxa"/>
              <w:right w:w="-1" w:type="dxa"/>
            </w:tcMar>
            <w:vAlign w:val="top"/>
          </w:tcPr>
          <w:p w14:paraId="0F5568B0">
            <w:pPr>
              <w:jc w:val="center"/>
              <w:rPr>
                <w:rFonts w:hint="default" w:ascii="Times New Roman" w:hAnsi="Times New Roman" w:cs="Times New Roman"/>
              </w:rPr>
            </w:pPr>
            <w:r>
              <w:rPr>
                <w:rFonts w:hint="default" w:ascii="Times New Roman" w:hAnsi="Times New Roman" w:cs="Times New Roman"/>
              </w:rPr>
              <w:t>64.67 ± 13.36</w:t>
            </w:r>
          </w:p>
        </w:tc>
        <w:tc>
          <w:tcPr>
            <w:tcW w:w="1080" w:type="dxa"/>
            <w:tcBorders>
              <w:top w:val="nil"/>
              <w:left w:val="nil"/>
              <w:bottom w:val="nil"/>
              <w:right w:val="nil"/>
            </w:tcBorders>
            <w:noWrap w:val="0"/>
            <w:tcMar>
              <w:top w:w="-1" w:type="dxa"/>
              <w:left w:w="-1" w:type="dxa"/>
              <w:bottom w:w="-1" w:type="dxa"/>
              <w:right w:w="-1" w:type="dxa"/>
            </w:tcMar>
            <w:vAlign w:val="top"/>
          </w:tcPr>
          <w:p w14:paraId="6B1641B4">
            <w:pPr>
              <w:jc w:val="center"/>
              <w:rPr>
                <w:rFonts w:hint="default" w:ascii="Times New Roman" w:hAnsi="Times New Roman" w:cs="Times New Roman"/>
              </w:rPr>
            </w:pPr>
            <w:r>
              <w:rPr>
                <w:rFonts w:hint="default" w:ascii="Times New Roman" w:hAnsi="Times New Roman" w:cs="Times New Roman"/>
              </w:rPr>
              <w:t>65.00 (59.50–76.50)</w:t>
            </w:r>
          </w:p>
        </w:tc>
        <w:tc>
          <w:tcPr>
            <w:tcW w:w="1080" w:type="dxa"/>
            <w:tcBorders>
              <w:top w:val="nil"/>
              <w:left w:val="nil"/>
              <w:bottom w:val="nil"/>
              <w:right w:val="nil"/>
            </w:tcBorders>
            <w:noWrap w:val="0"/>
            <w:tcMar>
              <w:top w:w="-1" w:type="dxa"/>
              <w:left w:w="-1" w:type="dxa"/>
              <w:bottom w:w="-1" w:type="dxa"/>
              <w:right w:w="-1" w:type="dxa"/>
            </w:tcMar>
            <w:vAlign w:val="top"/>
          </w:tcPr>
          <w:p w14:paraId="0F6D0E43">
            <w:pPr>
              <w:jc w:val="center"/>
              <w:rPr>
                <w:rFonts w:hint="default" w:ascii="Times New Roman" w:hAnsi="Times New Roman" w:cs="Times New Roman"/>
              </w:rPr>
            </w:pPr>
            <w:r>
              <w:rPr>
                <w:rFonts w:hint="default" w:ascii="Times New Roman" w:hAnsi="Times New Roman" w:cs="Times New Roman"/>
              </w:rPr>
              <w:t>0.206</w:t>
            </w:r>
          </w:p>
        </w:tc>
        <w:tc>
          <w:tcPr>
            <w:tcW w:w="1080" w:type="dxa"/>
            <w:tcBorders>
              <w:top w:val="nil"/>
              <w:left w:val="nil"/>
              <w:bottom w:val="nil"/>
              <w:right w:val="nil"/>
            </w:tcBorders>
            <w:noWrap w:val="0"/>
            <w:tcMar>
              <w:top w:w="-1" w:type="dxa"/>
              <w:left w:w="-1" w:type="dxa"/>
              <w:bottom w:w="-1" w:type="dxa"/>
              <w:right w:w="-1" w:type="dxa"/>
            </w:tcMar>
            <w:vAlign w:val="top"/>
          </w:tcPr>
          <w:p w14:paraId="6D58D7E4">
            <w:pPr>
              <w:jc w:val="center"/>
              <w:rPr>
                <w:rFonts w:hint="default" w:ascii="Times New Roman" w:hAnsi="Times New Roman" w:cs="Times New Roman"/>
              </w:rPr>
            </w:pPr>
            <w:r>
              <w:rPr>
                <w:rFonts w:hint="default" w:ascii="Times New Roman" w:hAnsi="Times New Roman" w:cs="Times New Roman"/>
              </w:rPr>
              <w:t>0.300</w:t>
            </w:r>
          </w:p>
        </w:tc>
        <w:tc>
          <w:tcPr>
            <w:tcW w:w="1080" w:type="dxa"/>
            <w:tcBorders>
              <w:top w:val="nil"/>
              <w:left w:val="nil"/>
              <w:bottom w:val="nil"/>
              <w:right w:val="nil"/>
            </w:tcBorders>
            <w:noWrap w:val="0"/>
            <w:tcMar>
              <w:top w:w="-1" w:type="dxa"/>
              <w:left w:w="-1" w:type="dxa"/>
              <w:bottom w:w="-1" w:type="dxa"/>
              <w:right w:w="-1" w:type="dxa"/>
            </w:tcMar>
            <w:vAlign w:val="top"/>
          </w:tcPr>
          <w:p w14:paraId="1CBAFD4B">
            <w:pPr>
              <w:jc w:val="center"/>
              <w:rPr>
                <w:rFonts w:hint="default" w:ascii="Times New Roman" w:hAnsi="Times New Roman" w:cs="Times New Roman"/>
              </w:rPr>
            </w:pPr>
            <w:r>
              <w:rPr>
                <w:rFonts w:hint="default" w:ascii="Times New Roman" w:hAnsi="Times New Roman" w:cs="Times New Roman"/>
              </w:rPr>
              <w:t>No</w:t>
            </w:r>
          </w:p>
        </w:tc>
      </w:tr>
      <w:tr w14:paraId="0DDE0F3E">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9F15FD3">
            <w:pPr>
              <w:rPr>
                <w:rFonts w:hint="default" w:ascii="Times New Roman" w:hAnsi="Times New Roman" w:cs="Times New Roman"/>
              </w:rPr>
            </w:pPr>
            <w:r>
              <w:rPr>
                <w:rFonts w:hint="default" w:ascii="Times New Roman" w:hAnsi="Times New Roman" w:cs="Times New Roman"/>
              </w:rPr>
              <w:t>LDL</w:t>
            </w:r>
          </w:p>
        </w:tc>
        <w:tc>
          <w:tcPr>
            <w:tcW w:w="1080" w:type="dxa"/>
            <w:tcBorders>
              <w:top w:val="nil"/>
              <w:left w:val="nil"/>
              <w:bottom w:val="nil"/>
              <w:right w:val="nil"/>
            </w:tcBorders>
            <w:noWrap w:val="0"/>
            <w:tcMar>
              <w:top w:w="-1" w:type="dxa"/>
              <w:left w:w="-1" w:type="dxa"/>
              <w:bottom w:w="-1" w:type="dxa"/>
              <w:right w:w="-1" w:type="dxa"/>
            </w:tcMar>
            <w:vAlign w:val="top"/>
          </w:tcPr>
          <w:p w14:paraId="02BD2497">
            <w:pPr>
              <w:jc w:val="center"/>
              <w:rPr>
                <w:rFonts w:hint="default" w:ascii="Times New Roman" w:hAnsi="Times New Roman" w:cs="Times New Roman"/>
              </w:rPr>
            </w:pPr>
            <w:r>
              <w:rPr>
                <w:rFonts w:hint="default" w:ascii="Times New Roman" w:hAnsi="Times New Roman" w:cs="Times New Roman"/>
              </w:rPr>
              <w:t>56</w:t>
            </w:r>
          </w:p>
        </w:tc>
        <w:tc>
          <w:tcPr>
            <w:tcW w:w="1080" w:type="dxa"/>
            <w:tcBorders>
              <w:top w:val="nil"/>
              <w:left w:val="nil"/>
              <w:bottom w:val="nil"/>
              <w:right w:val="nil"/>
            </w:tcBorders>
            <w:noWrap w:val="0"/>
            <w:tcMar>
              <w:top w:w="-1" w:type="dxa"/>
              <w:left w:w="-1" w:type="dxa"/>
              <w:bottom w:w="-1" w:type="dxa"/>
              <w:right w:w="-1" w:type="dxa"/>
            </w:tcMar>
            <w:vAlign w:val="top"/>
          </w:tcPr>
          <w:p w14:paraId="445B67B4">
            <w:pPr>
              <w:jc w:val="center"/>
              <w:rPr>
                <w:rFonts w:hint="default" w:ascii="Times New Roman" w:hAnsi="Times New Roman" w:cs="Times New Roman"/>
              </w:rPr>
            </w:pPr>
            <w:r>
              <w:rPr>
                <w:rFonts w:hint="default" w:ascii="Times New Roman" w:hAnsi="Times New Roman" w:cs="Times New Roman"/>
              </w:rPr>
              <w:t>70</w:t>
            </w:r>
          </w:p>
        </w:tc>
        <w:tc>
          <w:tcPr>
            <w:tcW w:w="1080" w:type="dxa"/>
            <w:tcBorders>
              <w:top w:val="nil"/>
              <w:left w:val="nil"/>
              <w:bottom w:val="nil"/>
              <w:right w:val="nil"/>
            </w:tcBorders>
            <w:noWrap w:val="0"/>
            <w:tcMar>
              <w:top w:w="-1" w:type="dxa"/>
              <w:left w:w="-1" w:type="dxa"/>
              <w:bottom w:w="-1" w:type="dxa"/>
              <w:right w:w="-1" w:type="dxa"/>
            </w:tcMar>
            <w:vAlign w:val="top"/>
          </w:tcPr>
          <w:p w14:paraId="656D7655">
            <w:pPr>
              <w:jc w:val="center"/>
              <w:rPr>
                <w:rFonts w:hint="default" w:ascii="Times New Roman" w:hAnsi="Times New Roman" w:cs="Times New Roman"/>
              </w:rPr>
            </w:pPr>
            <w:r>
              <w:rPr>
                <w:rFonts w:hint="default" w:ascii="Times New Roman" w:hAnsi="Times New Roman" w:cs="Times New Roman"/>
              </w:rPr>
              <w:t>2.12 (1.48–2.55)</w:t>
            </w:r>
          </w:p>
        </w:tc>
        <w:tc>
          <w:tcPr>
            <w:tcW w:w="1080" w:type="dxa"/>
            <w:tcBorders>
              <w:top w:val="nil"/>
              <w:left w:val="nil"/>
              <w:bottom w:val="nil"/>
              <w:right w:val="nil"/>
            </w:tcBorders>
            <w:noWrap w:val="0"/>
            <w:tcMar>
              <w:top w:w="-1" w:type="dxa"/>
              <w:left w:w="-1" w:type="dxa"/>
              <w:bottom w:w="-1" w:type="dxa"/>
              <w:right w:w="-1" w:type="dxa"/>
            </w:tcMar>
            <w:vAlign w:val="top"/>
          </w:tcPr>
          <w:p w14:paraId="0C3C6B68">
            <w:pPr>
              <w:jc w:val="center"/>
              <w:rPr>
                <w:rFonts w:hint="default" w:ascii="Times New Roman" w:hAnsi="Times New Roman" w:cs="Times New Roman"/>
              </w:rPr>
            </w:pPr>
            <w:r>
              <w:rPr>
                <w:rFonts w:hint="default" w:ascii="Times New Roman" w:hAnsi="Times New Roman" w:cs="Times New Roman"/>
              </w:rPr>
              <w:t>2.27 ± 0.79</w:t>
            </w:r>
          </w:p>
        </w:tc>
        <w:tc>
          <w:tcPr>
            <w:tcW w:w="1080" w:type="dxa"/>
            <w:tcBorders>
              <w:top w:val="nil"/>
              <w:left w:val="nil"/>
              <w:bottom w:val="nil"/>
              <w:right w:val="nil"/>
            </w:tcBorders>
            <w:noWrap w:val="0"/>
            <w:tcMar>
              <w:top w:w="-1" w:type="dxa"/>
              <w:left w:w="-1" w:type="dxa"/>
              <w:bottom w:w="-1" w:type="dxa"/>
              <w:right w:w="-1" w:type="dxa"/>
            </w:tcMar>
            <w:vAlign w:val="top"/>
          </w:tcPr>
          <w:p w14:paraId="64CDE803">
            <w:pPr>
              <w:jc w:val="center"/>
              <w:rPr>
                <w:rFonts w:hint="default" w:ascii="Times New Roman" w:hAnsi="Times New Roman" w:cs="Times New Roman"/>
              </w:rPr>
            </w:pPr>
            <w:r>
              <w:rPr>
                <w:rFonts w:hint="default" w:ascii="Times New Roman" w:hAnsi="Times New Roman" w:cs="Times New Roman"/>
              </w:rPr>
              <w:t>0.232</w:t>
            </w:r>
          </w:p>
        </w:tc>
        <w:tc>
          <w:tcPr>
            <w:tcW w:w="1080" w:type="dxa"/>
            <w:tcBorders>
              <w:top w:val="nil"/>
              <w:left w:val="nil"/>
              <w:bottom w:val="nil"/>
              <w:right w:val="nil"/>
            </w:tcBorders>
            <w:noWrap w:val="0"/>
            <w:tcMar>
              <w:top w:w="-1" w:type="dxa"/>
              <w:left w:w="-1" w:type="dxa"/>
              <w:bottom w:w="-1" w:type="dxa"/>
              <w:right w:w="-1" w:type="dxa"/>
            </w:tcMar>
            <w:vAlign w:val="top"/>
          </w:tcPr>
          <w:p w14:paraId="6404B005">
            <w:pPr>
              <w:jc w:val="center"/>
              <w:rPr>
                <w:rFonts w:hint="default" w:ascii="Times New Roman" w:hAnsi="Times New Roman" w:cs="Times New Roman"/>
              </w:rPr>
            </w:pPr>
            <w:r>
              <w:rPr>
                <w:rFonts w:hint="default" w:ascii="Times New Roman" w:hAnsi="Times New Roman" w:cs="Times New Roman"/>
              </w:rPr>
              <w:t>0.330</w:t>
            </w:r>
          </w:p>
        </w:tc>
        <w:tc>
          <w:tcPr>
            <w:tcW w:w="1080" w:type="dxa"/>
            <w:tcBorders>
              <w:top w:val="nil"/>
              <w:left w:val="nil"/>
              <w:bottom w:val="nil"/>
              <w:right w:val="nil"/>
            </w:tcBorders>
            <w:noWrap w:val="0"/>
            <w:tcMar>
              <w:top w:w="-1" w:type="dxa"/>
              <w:left w:w="-1" w:type="dxa"/>
              <w:bottom w:w="-1" w:type="dxa"/>
              <w:right w:w="-1" w:type="dxa"/>
            </w:tcMar>
            <w:vAlign w:val="top"/>
          </w:tcPr>
          <w:p w14:paraId="27B0CAF5">
            <w:pPr>
              <w:jc w:val="center"/>
              <w:rPr>
                <w:rFonts w:hint="default" w:ascii="Times New Roman" w:hAnsi="Times New Roman" w:cs="Times New Roman"/>
              </w:rPr>
            </w:pPr>
            <w:r>
              <w:rPr>
                <w:rFonts w:hint="default" w:ascii="Times New Roman" w:hAnsi="Times New Roman" w:cs="Times New Roman"/>
              </w:rPr>
              <w:t>No</w:t>
            </w:r>
          </w:p>
        </w:tc>
      </w:tr>
      <w:tr w14:paraId="577E853E">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ACCBD52">
            <w:pPr>
              <w:rPr>
                <w:rFonts w:hint="default" w:ascii="Times New Roman" w:hAnsi="Times New Roman" w:cs="Times New Roman"/>
              </w:rPr>
            </w:pPr>
            <w:r>
              <w:rPr>
                <w:rFonts w:hint="default" w:ascii="Times New Roman" w:hAnsi="Times New Roman" w:cs="Times New Roman"/>
              </w:rPr>
              <w:t>total_cholesterol</w:t>
            </w:r>
          </w:p>
        </w:tc>
        <w:tc>
          <w:tcPr>
            <w:tcW w:w="1080" w:type="dxa"/>
            <w:tcBorders>
              <w:top w:val="nil"/>
              <w:left w:val="nil"/>
              <w:bottom w:val="nil"/>
              <w:right w:val="nil"/>
            </w:tcBorders>
            <w:noWrap w:val="0"/>
            <w:tcMar>
              <w:top w:w="-1" w:type="dxa"/>
              <w:left w:w="-1" w:type="dxa"/>
              <w:bottom w:w="-1" w:type="dxa"/>
              <w:right w:w="-1" w:type="dxa"/>
            </w:tcMar>
            <w:vAlign w:val="top"/>
          </w:tcPr>
          <w:p w14:paraId="311A65E1">
            <w:pPr>
              <w:jc w:val="center"/>
              <w:rPr>
                <w:rFonts w:hint="default" w:ascii="Times New Roman" w:hAnsi="Times New Roman" w:cs="Times New Roman"/>
              </w:rPr>
            </w:pPr>
            <w:r>
              <w:rPr>
                <w:rFonts w:hint="default" w:ascii="Times New Roman" w:hAnsi="Times New Roman" w:cs="Times New Roman"/>
              </w:rPr>
              <w:t>57</w:t>
            </w:r>
          </w:p>
        </w:tc>
        <w:tc>
          <w:tcPr>
            <w:tcW w:w="1080" w:type="dxa"/>
            <w:tcBorders>
              <w:top w:val="nil"/>
              <w:left w:val="nil"/>
              <w:bottom w:val="nil"/>
              <w:right w:val="nil"/>
            </w:tcBorders>
            <w:noWrap w:val="0"/>
            <w:tcMar>
              <w:top w:w="-1" w:type="dxa"/>
              <w:left w:w="-1" w:type="dxa"/>
              <w:bottom w:w="-1" w:type="dxa"/>
              <w:right w:w="-1" w:type="dxa"/>
            </w:tcMar>
            <w:vAlign w:val="top"/>
          </w:tcPr>
          <w:p w14:paraId="00220899">
            <w:pPr>
              <w:jc w:val="center"/>
              <w:rPr>
                <w:rFonts w:hint="default" w:ascii="Times New Roman" w:hAnsi="Times New Roman" w:cs="Times New Roman"/>
              </w:rPr>
            </w:pPr>
            <w:r>
              <w:rPr>
                <w:rFonts w:hint="default" w:ascii="Times New Roman" w:hAnsi="Times New Roman" w:cs="Times New Roman"/>
              </w:rPr>
              <w:t>70</w:t>
            </w:r>
          </w:p>
        </w:tc>
        <w:tc>
          <w:tcPr>
            <w:tcW w:w="1080" w:type="dxa"/>
            <w:tcBorders>
              <w:top w:val="nil"/>
              <w:left w:val="nil"/>
              <w:bottom w:val="nil"/>
              <w:right w:val="nil"/>
            </w:tcBorders>
            <w:noWrap w:val="0"/>
            <w:tcMar>
              <w:top w:w="-1" w:type="dxa"/>
              <w:left w:w="-1" w:type="dxa"/>
              <w:bottom w:w="-1" w:type="dxa"/>
              <w:right w:w="-1" w:type="dxa"/>
            </w:tcMar>
            <w:vAlign w:val="top"/>
          </w:tcPr>
          <w:p w14:paraId="3A9EA028">
            <w:pPr>
              <w:jc w:val="center"/>
              <w:rPr>
                <w:rFonts w:hint="default" w:ascii="Times New Roman" w:hAnsi="Times New Roman" w:cs="Times New Roman"/>
              </w:rPr>
            </w:pPr>
            <w:r>
              <w:rPr>
                <w:rFonts w:hint="default" w:ascii="Times New Roman" w:hAnsi="Times New Roman" w:cs="Times New Roman"/>
              </w:rPr>
              <w:t>3.20 (2.56–4.07)</w:t>
            </w:r>
          </w:p>
        </w:tc>
        <w:tc>
          <w:tcPr>
            <w:tcW w:w="1080" w:type="dxa"/>
            <w:tcBorders>
              <w:top w:val="nil"/>
              <w:left w:val="nil"/>
              <w:bottom w:val="nil"/>
              <w:right w:val="nil"/>
            </w:tcBorders>
            <w:noWrap w:val="0"/>
            <w:tcMar>
              <w:top w:w="-1" w:type="dxa"/>
              <w:left w:w="-1" w:type="dxa"/>
              <w:bottom w:w="-1" w:type="dxa"/>
              <w:right w:w="-1" w:type="dxa"/>
            </w:tcMar>
            <w:vAlign w:val="top"/>
          </w:tcPr>
          <w:p w14:paraId="131B4C6A">
            <w:pPr>
              <w:jc w:val="center"/>
              <w:rPr>
                <w:rFonts w:hint="default" w:ascii="Times New Roman" w:hAnsi="Times New Roman" w:cs="Times New Roman"/>
              </w:rPr>
            </w:pPr>
            <w:r>
              <w:rPr>
                <w:rFonts w:hint="default" w:ascii="Times New Roman" w:hAnsi="Times New Roman" w:cs="Times New Roman"/>
              </w:rPr>
              <w:t>3.57 ± 1.09</w:t>
            </w:r>
          </w:p>
        </w:tc>
        <w:tc>
          <w:tcPr>
            <w:tcW w:w="1080" w:type="dxa"/>
            <w:tcBorders>
              <w:top w:val="nil"/>
              <w:left w:val="nil"/>
              <w:bottom w:val="nil"/>
              <w:right w:val="nil"/>
            </w:tcBorders>
            <w:noWrap w:val="0"/>
            <w:tcMar>
              <w:top w:w="-1" w:type="dxa"/>
              <w:left w:w="-1" w:type="dxa"/>
              <w:bottom w:w="-1" w:type="dxa"/>
              <w:right w:w="-1" w:type="dxa"/>
            </w:tcMar>
            <w:vAlign w:val="top"/>
          </w:tcPr>
          <w:p w14:paraId="7E156FA7">
            <w:pPr>
              <w:jc w:val="center"/>
              <w:rPr>
                <w:rFonts w:hint="default" w:ascii="Times New Roman" w:hAnsi="Times New Roman" w:cs="Times New Roman"/>
              </w:rPr>
            </w:pPr>
            <w:r>
              <w:rPr>
                <w:rFonts w:hint="default" w:ascii="Times New Roman" w:hAnsi="Times New Roman" w:cs="Times New Roman"/>
              </w:rPr>
              <w:t>0.347</w:t>
            </w:r>
          </w:p>
        </w:tc>
        <w:tc>
          <w:tcPr>
            <w:tcW w:w="1080" w:type="dxa"/>
            <w:tcBorders>
              <w:top w:val="nil"/>
              <w:left w:val="nil"/>
              <w:bottom w:val="nil"/>
              <w:right w:val="nil"/>
            </w:tcBorders>
            <w:noWrap w:val="0"/>
            <w:tcMar>
              <w:top w:w="-1" w:type="dxa"/>
              <w:left w:w="-1" w:type="dxa"/>
              <w:bottom w:w="-1" w:type="dxa"/>
              <w:right w:w="-1" w:type="dxa"/>
            </w:tcMar>
            <w:vAlign w:val="top"/>
          </w:tcPr>
          <w:p w14:paraId="410D199C">
            <w:pPr>
              <w:jc w:val="center"/>
              <w:rPr>
                <w:rFonts w:hint="default" w:ascii="Times New Roman" w:hAnsi="Times New Roman" w:cs="Times New Roman"/>
              </w:rPr>
            </w:pPr>
            <w:r>
              <w:rPr>
                <w:rFonts w:hint="default" w:ascii="Times New Roman" w:hAnsi="Times New Roman" w:cs="Times New Roman"/>
              </w:rPr>
              <w:t>0.472</w:t>
            </w:r>
          </w:p>
        </w:tc>
        <w:tc>
          <w:tcPr>
            <w:tcW w:w="1080" w:type="dxa"/>
            <w:tcBorders>
              <w:top w:val="nil"/>
              <w:left w:val="nil"/>
              <w:bottom w:val="nil"/>
              <w:right w:val="nil"/>
            </w:tcBorders>
            <w:noWrap w:val="0"/>
            <w:tcMar>
              <w:top w:w="-1" w:type="dxa"/>
              <w:left w:w="-1" w:type="dxa"/>
              <w:bottom w:w="-1" w:type="dxa"/>
              <w:right w:w="-1" w:type="dxa"/>
            </w:tcMar>
            <w:vAlign w:val="top"/>
          </w:tcPr>
          <w:p w14:paraId="4BB4B5F3">
            <w:pPr>
              <w:jc w:val="center"/>
              <w:rPr>
                <w:rFonts w:hint="default" w:ascii="Times New Roman" w:hAnsi="Times New Roman" w:cs="Times New Roman"/>
              </w:rPr>
            </w:pPr>
            <w:r>
              <w:rPr>
                <w:rFonts w:hint="default" w:ascii="Times New Roman" w:hAnsi="Times New Roman" w:cs="Times New Roman"/>
              </w:rPr>
              <w:t>No</w:t>
            </w:r>
          </w:p>
        </w:tc>
      </w:tr>
      <w:tr w14:paraId="2BC00B3C">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9AC5696">
            <w:pPr>
              <w:rPr>
                <w:rFonts w:hint="default" w:ascii="Times New Roman" w:hAnsi="Times New Roman" w:cs="Times New Roman"/>
              </w:rPr>
            </w:pPr>
            <w:r>
              <w:rPr>
                <w:rFonts w:hint="default" w:ascii="Times New Roman" w:hAnsi="Times New Roman" w:cs="Times New Roman"/>
              </w:rPr>
              <w:t>age</w:t>
            </w:r>
          </w:p>
        </w:tc>
        <w:tc>
          <w:tcPr>
            <w:tcW w:w="1080" w:type="dxa"/>
            <w:tcBorders>
              <w:top w:val="nil"/>
              <w:left w:val="nil"/>
              <w:bottom w:val="nil"/>
              <w:right w:val="nil"/>
            </w:tcBorders>
            <w:noWrap w:val="0"/>
            <w:tcMar>
              <w:top w:w="-1" w:type="dxa"/>
              <w:left w:w="-1" w:type="dxa"/>
              <w:bottom w:w="-1" w:type="dxa"/>
              <w:right w:w="-1" w:type="dxa"/>
            </w:tcMar>
            <w:vAlign w:val="top"/>
          </w:tcPr>
          <w:p w14:paraId="7AF0E05B">
            <w:pPr>
              <w:jc w:val="center"/>
              <w:rPr>
                <w:rFonts w:hint="default" w:ascii="Times New Roman" w:hAnsi="Times New Roman" w:cs="Times New Roman"/>
              </w:rPr>
            </w:pPr>
            <w:r>
              <w:rPr>
                <w:rFonts w:hint="default" w:ascii="Times New Roman" w:hAnsi="Times New Roman" w:cs="Times New Roman"/>
              </w:rPr>
              <w:t>88</w:t>
            </w:r>
          </w:p>
        </w:tc>
        <w:tc>
          <w:tcPr>
            <w:tcW w:w="1080" w:type="dxa"/>
            <w:tcBorders>
              <w:top w:val="nil"/>
              <w:left w:val="nil"/>
              <w:bottom w:val="nil"/>
              <w:right w:val="nil"/>
            </w:tcBorders>
            <w:noWrap w:val="0"/>
            <w:tcMar>
              <w:top w:w="-1" w:type="dxa"/>
              <w:left w:w="-1" w:type="dxa"/>
              <w:bottom w:w="-1" w:type="dxa"/>
              <w:right w:w="-1" w:type="dxa"/>
            </w:tcMar>
            <w:vAlign w:val="top"/>
          </w:tcPr>
          <w:p w14:paraId="76C9EC89">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04DC84F1">
            <w:pPr>
              <w:jc w:val="center"/>
              <w:rPr>
                <w:rFonts w:hint="default" w:ascii="Times New Roman" w:hAnsi="Times New Roman" w:cs="Times New Roman"/>
              </w:rPr>
            </w:pPr>
            <w:r>
              <w:rPr>
                <w:rFonts w:hint="default" w:ascii="Times New Roman" w:hAnsi="Times New Roman" w:cs="Times New Roman"/>
              </w:rPr>
              <w:t>63.56 ± 12.65</w:t>
            </w:r>
          </w:p>
        </w:tc>
        <w:tc>
          <w:tcPr>
            <w:tcW w:w="1080" w:type="dxa"/>
            <w:tcBorders>
              <w:top w:val="nil"/>
              <w:left w:val="nil"/>
              <w:bottom w:val="nil"/>
              <w:right w:val="nil"/>
            </w:tcBorders>
            <w:noWrap w:val="0"/>
            <w:tcMar>
              <w:top w:w="-1" w:type="dxa"/>
              <w:left w:w="-1" w:type="dxa"/>
              <w:bottom w:w="-1" w:type="dxa"/>
              <w:right w:w="-1" w:type="dxa"/>
            </w:tcMar>
            <w:vAlign w:val="top"/>
          </w:tcPr>
          <w:p w14:paraId="383D55A9">
            <w:pPr>
              <w:jc w:val="center"/>
              <w:rPr>
                <w:rFonts w:hint="default" w:ascii="Times New Roman" w:hAnsi="Times New Roman" w:cs="Times New Roman"/>
              </w:rPr>
            </w:pPr>
            <w:r>
              <w:rPr>
                <w:rFonts w:hint="default" w:ascii="Times New Roman" w:hAnsi="Times New Roman" w:cs="Times New Roman"/>
              </w:rPr>
              <w:t>63.50 (48.50–74.00)</w:t>
            </w:r>
          </w:p>
        </w:tc>
        <w:tc>
          <w:tcPr>
            <w:tcW w:w="1080" w:type="dxa"/>
            <w:tcBorders>
              <w:top w:val="nil"/>
              <w:left w:val="nil"/>
              <w:bottom w:val="nil"/>
              <w:right w:val="nil"/>
            </w:tcBorders>
            <w:noWrap w:val="0"/>
            <w:tcMar>
              <w:top w:w="-1" w:type="dxa"/>
              <w:left w:w="-1" w:type="dxa"/>
              <w:bottom w:w="-1" w:type="dxa"/>
              <w:right w:w="-1" w:type="dxa"/>
            </w:tcMar>
            <w:vAlign w:val="top"/>
          </w:tcPr>
          <w:p w14:paraId="172A89F3">
            <w:pPr>
              <w:jc w:val="center"/>
              <w:rPr>
                <w:rFonts w:hint="default" w:ascii="Times New Roman" w:hAnsi="Times New Roman" w:cs="Times New Roman"/>
              </w:rPr>
            </w:pPr>
            <w:r>
              <w:rPr>
                <w:rFonts w:hint="default" w:ascii="Times New Roman" w:hAnsi="Times New Roman" w:cs="Times New Roman"/>
              </w:rPr>
              <w:t>0.348</w:t>
            </w:r>
          </w:p>
        </w:tc>
        <w:tc>
          <w:tcPr>
            <w:tcW w:w="1080" w:type="dxa"/>
            <w:tcBorders>
              <w:top w:val="nil"/>
              <w:left w:val="nil"/>
              <w:bottom w:val="nil"/>
              <w:right w:val="nil"/>
            </w:tcBorders>
            <w:noWrap w:val="0"/>
            <w:tcMar>
              <w:top w:w="-1" w:type="dxa"/>
              <w:left w:w="-1" w:type="dxa"/>
              <w:bottom w:w="-1" w:type="dxa"/>
              <w:right w:w="-1" w:type="dxa"/>
            </w:tcMar>
            <w:vAlign w:val="top"/>
          </w:tcPr>
          <w:p w14:paraId="05437B80">
            <w:pPr>
              <w:jc w:val="center"/>
              <w:rPr>
                <w:rFonts w:hint="default" w:ascii="Times New Roman" w:hAnsi="Times New Roman" w:cs="Times New Roman"/>
              </w:rPr>
            </w:pPr>
            <w:r>
              <w:rPr>
                <w:rFonts w:hint="default" w:ascii="Times New Roman" w:hAnsi="Times New Roman" w:cs="Times New Roman"/>
              </w:rPr>
              <w:t>0.472</w:t>
            </w:r>
          </w:p>
        </w:tc>
        <w:tc>
          <w:tcPr>
            <w:tcW w:w="1080" w:type="dxa"/>
            <w:tcBorders>
              <w:top w:val="nil"/>
              <w:left w:val="nil"/>
              <w:bottom w:val="nil"/>
              <w:right w:val="nil"/>
            </w:tcBorders>
            <w:noWrap w:val="0"/>
            <w:tcMar>
              <w:top w:w="-1" w:type="dxa"/>
              <w:left w:w="-1" w:type="dxa"/>
              <w:bottom w:w="-1" w:type="dxa"/>
              <w:right w:w="-1" w:type="dxa"/>
            </w:tcMar>
            <w:vAlign w:val="top"/>
          </w:tcPr>
          <w:p w14:paraId="5D9A85F8">
            <w:pPr>
              <w:jc w:val="center"/>
              <w:rPr>
                <w:rFonts w:hint="default" w:ascii="Times New Roman" w:hAnsi="Times New Roman" w:cs="Times New Roman"/>
              </w:rPr>
            </w:pPr>
            <w:r>
              <w:rPr>
                <w:rFonts w:hint="default" w:ascii="Times New Roman" w:hAnsi="Times New Roman" w:cs="Times New Roman"/>
              </w:rPr>
              <w:t>No</w:t>
            </w:r>
          </w:p>
        </w:tc>
      </w:tr>
      <w:tr w14:paraId="3556A693">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FDB59AB">
            <w:pPr>
              <w:rPr>
                <w:rFonts w:hint="default" w:ascii="Times New Roman" w:hAnsi="Times New Roman" w:cs="Times New Roman"/>
              </w:rPr>
            </w:pPr>
            <w:r>
              <w:rPr>
                <w:rFonts w:hint="default" w:ascii="Times New Roman" w:hAnsi="Times New Roman" w:cs="Times New Roman"/>
              </w:rPr>
              <w:t>BUN</w:t>
            </w:r>
          </w:p>
        </w:tc>
        <w:tc>
          <w:tcPr>
            <w:tcW w:w="1080" w:type="dxa"/>
            <w:tcBorders>
              <w:top w:val="nil"/>
              <w:left w:val="nil"/>
              <w:bottom w:val="nil"/>
              <w:right w:val="nil"/>
            </w:tcBorders>
            <w:noWrap w:val="0"/>
            <w:tcMar>
              <w:top w:w="-1" w:type="dxa"/>
              <w:left w:w="-1" w:type="dxa"/>
              <w:bottom w:w="-1" w:type="dxa"/>
              <w:right w:w="-1" w:type="dxa"/>
            </w:tcMar>
            <w:vAlign w:val="top"/>
          </w:tcPr>
          <w:p w14:paraId="2A59A056">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1DB97ECE">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12EE9DE">
            <w:pPr>
              <w:jc w:val="center"/>
              <w:rPr>
                <w:rFonts w:hint="default" w:ascii="Times New Roman" w:hAnsi="Times New Roman" w:cs="Times New Roman"/>
              </w:rPr>
            </w:pPr>
            <w:r>
              <w:rPr>
                <w:rFonts w:hint="default" w:ascii="Times New Roman" w:hAnsi="Times New Roman" w:cs="Times New Roman"/>
              </w:rPr>
              <w:t>18.22 (15.36–24.20)</w:t>
            </w:r>
          </w:p>
        </w:tc>
        <w:tc>
          <w:tcPr>
            <w:tcW w:w="1080" w:type="dxa"/>
            <w:tcBorders>
              <w:top w:val="nil"/>
              <w:left w:val="nil"/>
              <w:bottom w:val="nil"/>
              <w:right w:val="nil"/>
            </w:tcBorders>
            <w:noWrap w:val="0"/>
            <w:tcMar>
              <w:top w:w="-1" w:type="dxa"/>
              <w:left w:w="-1" w:type="dxa"/>
              <w:bottom w:w="-1" w:type="dxa"/>
              <w:right w:w="-1" w:type="dxa"/>
            </w:tcMar>
            <w:vAlign w:val="top"/>
          </w:tcPr>
          <w:p w14:paraId="6E20B837">
            <w:pPr>
              <w:jc w:val="center"/>
              <w:rPr>
                <w:rFonts w:hint="default" w:ascii="Times New Roman" w:hAnsi="Times New Roman" w:cs="Times New Roman"/>
              </w:rPr>
            </w:pPr>
            <w:r>
              <w:rPr>
                <w:rFonts w:hint="default" w:ascii="Times New Roman" w:hAnsi="Times New Roman" w:cs="Times New Roman"/>
              </w:rPr>
              <w:t>19.35 (16.00–24.63)</w:t>
            </w:r>
          </w:p>
        </w:tc>
        <w:tc>
          <w:tcPr>
            <w:tcW w:w="1080" w:type="dxa"/>
            <w:tcBorders>
              <w:top w:val="nil"/>
              <w:left w:val="nil"/>
              <w:bottom w:val="nil"/>
              <w:right w:val="nil"/>
            </w:tcBorders>
            <w:noWrap w:val="0"/>
            <w:tcMar>
              <w:top w:w="-1" w:type="dxa"/>
              <w:left w:w="-1" w:type="dxa"/>
              <w:bottom w:w="-1" w:type="dxa"/>
              <w:right w:w="-1" w:type="dxa"/>
            </w:tcMar>
            <w:vAlign w:val="top"/>
          </w:tcPr>
          <w:p w14:paraId="421C050D">
            <w:pPr>
              <w:jc w:val="center"/>
              <w:rPr>
                <w:rFonts w:hint="default" w:ascii="Times New Roman" w:hAnsi="Times New Roman" w:cs="Times New Roman"/>
              </w:rPr>
            </w:pPr>
            <w:r>
              <w:rPr>
                <w:rFonts w:hint="default" w:ascii="Times New Roman" w:hAnsi="Times New Roman" w:cs="Times New Roman"/>
              </w:rPr>
              <w:t>0.359</w:t>
            </w:r>
          </w:p>
        </w:tc>
        <w:tc>
          <w:tcPr>
            <w:tcW w:w="1080" w:type="dxa"/>
            <w:tcBorders>
              <w:top w:val="nil"/>
              <w:left w:val="nil"/>
              <w:bottom w:val="nil"/>
              <w:right w:val="nil"/>
            </w:tcBorders>
            <w:noWrap w:val="0"/>
            <w:tcMar>
              <w:top w:w="-1" w:type="dxa"/>
              <w:left w:w="-1" w:type="dxa"/>
              <w:bottom w:w="-1" w:type="dxa"/>
              <w:right w:w="-1" w:type="dxa"/>
            </w:tcMar>
            <w:vAlign w:val="top"/>
          </w:tcPr>
          <w:p w14:paraId="08BFC963">
            <w:pPr>
              <w:jc w:val="center"/>
              <w:rPr>
                <w:rFonts w:hint="default" w:ascii="Times New Roman" w:hAnsi="Times New Roman" w:cs="Times New Roman"/>
              </w:rPr>
            </w:pPr>
            <w:r>
              <w:rPr>
                <w:rFonts w:hint="default" w:ascii="Times New Roman" w:hAnsi="Times New Roman" w:cs="Times New Roman"/>
              </w:rPr>
              <w:t>0.475</w:t>
            </w:r>
          </w:p>
        </w:tc>
        <w:tc>
          <w:tcPr>
            <w:tcW w:w="1080" w:type="dxa"/>
            <w:tcBorders>
              <w:top w:val="nil"/>
              <w:left w:val="nil"/>
              <w:bottom w:val="nil"/>
              <w:right w:val="nil"/>
            </w:tcBorders>
            <w:noWrap w:val="0"/>
            <w:tcMar>
              <w:top w:w="-1" w:type="dxa"/>
              <w:left w:w="-1" w:type="dxa"/>
              <w:bottom w:w="-1" w:type="dxa"/>
              <w:right w:w="-1" w:type="dxa"/>
            </w:tcMar>
            <w:vAlign w:val="top"/>
          </w:tcPr>
          <w:p w14:paraId="28452A53">
            <w:pPr>
              <w:jc w:val="center"/>
              <w:rPr>
                <w:rFonts w:hint="default" w:ascii="Times New Roman" w:hAnsi="Times New Roman" w:cs="Times New Roman"/>
              </w:rPr>
            </w:pPr>
            <w:r>
              <w:rPr>
                <w:rFonts w:hint="default" w:ascii="Times New Roman" w:hAnsi="Times New Roman" w:cs="Times New Roman"/>
              </w:rPr>
              <w:t>No</w:t>
            </w:r>
          </w:p>
        </w:tc>
      </w:tr>
      <w:tr w14:paraId="563ACAF6">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FF57320">
            <w:pPr>
              <w:rPr>
                <w:rFonts w:hint="default" w:ascii="Times New Roman" w:hAnsi="Times New Roman" w:cs="Times New Roman"/>
              </w:rPr>
            </w:pPr>
            <w:r>
              <w:rPr>
                <w:rFonts w:hint="default" w:ascii="Times New Roman" w:hAnsi="Times New Roman" w:cs="Times New Roman"/>
              </w:rPr>
              <w:t>hemoglobin</w:t>
            </w:r>
          </w:p>
        </w:tc>
        <w:tc>
          <w:tcPr>
            <w:tcW w:w="1080" w:type="dxa"/>
            <w:tcBorders>
              <w:top w:val="nil"/>
              <w:left w:val="nil"/>
              <w:bottom w:val="nil"/>
              <w:right w:val="nil"/>
            </w:tcBorders>
            <w:noWrap w:val="0"/>
            <w:tcMar>
              <w:top w:w="-1" w:type="dxa"/>
              <w:left w:w="-1" w:type="dxa"/>
              <w:bottom w:w="-1" w:type="dxa"/>
              <w:right w:w="-1" w:type="dxa"/>
            </w:tcMar>
            <w:vAlign w:val="top"/>
          </w:tcPr>
          <w:p w14:paraId="2EB62A93">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3FE3C889">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57543F74">
            <w:pPr>
              <w:jc w:val="center"/>
              <w:rPr>
                <w:rFonts w:hint="default" w:ascii="Times New Roman" w:hAnsi="Times New Roman" w:cs="Times New Roman"/>
              </w:rPr>
            </w:pPr>
            <w:r>
              <w:rPr>
                <w:rFonts w:hint="default" w:ascii="Times New Roman" w:hAnsi="Times New Roman" w:cs="Times New Roman"/>
              </w:rPr>
              <w:t>112.49 ± 20.10</w:t>
            </w:r>
          </w:p>
        </w:tc>
        <w:tc>
          <w:tcPr>
            <w:tcW w:w="1080" w:type="dxa"/>
            <w:tcBorders>
              <w:top w:val="nil"/>
              <w:left w:val="nil"/>
              <w:bottom w:val="nil"/>
              <w:right w:val="nil"/>
            </w:tcBorders>
            <w:noWrap w:val="0"/>
            <w:tcMar>
              <w:top w:w="-1" w:type="dxa"/>
              <w:left w:w="-1" w:type="dxa"/>
              <w:bottom w:w="-1" w:type="dxa"/>
              <w:right w:w="-1" w:type="dxa"/>
            </w:tcMar>
            <w:vAlign w:val="top"/>
          </w:tcPr>
          <w:p w14:paraId="57CDEBE7">
            <w:pPr>
              <w:jc w:val="center"/>
              <w:rPr>
                <w:rFonts w:hint="default" w:ascii="Times New Roman" w:hAnsi="Times New Roman" w:cs="Times New Roman"/>
              </w:rPr>
            </w:pPr>
            <w:r>
              <w:rPr>
                <w:rFonts w:hint="default" w:ascii="Times New Roman" w:hAnsi="Times New Roman" w:cs="Times New Roman"/>
              </w:rPr>
              <w:t>110.04 ± 21.51</w:t>
            </w:r>
          </w:p>
        </w:tc>
        <w:tc>
          <w:tcPr>
            <w:tcW w:w="1080" w:type="dxa"/>
            <w:tcBorders>
              <w:top w:val="nil"/>
              <w:left w:val="nil"/>
              <w:bottom w:val="nil"/>
              <w:right w:val="nil"/>
            </w:tcBorders>
            <w:noWrap w:val="0"/>
            <w:tcMar>
              <w:top w:w="-1" w:type="dxa"/>
              <w:left w:w="-1" w:type="dxa"/>
              <w:bottom w:w="-1" w:type="dxa"/>
              <w:right w:w="-1" w:type="dxa"/>
            </w:tcMar>
            <w:vAlign w:val="top"/>
          </w:tcPr>
          <w:p w14:paraId="432A88E9">
            <w:pPr>
              <w:jc w:val="center"/>
              <w:rPr>
                <w:rFonts w:hint="default" w:ascii="Times New Roman" w:hAnsi="Times New Roman" w:cs="Times New Roman"/>
              </w:rPr>
            </w:pPr>
            <w:r>
              <w:rPr>
                <w:rFonts w:hint="default" w:ascii="Times New Roman" w:hAnsi="Times New Roman" w:cs="Times New Roman"/>
              </w:rPr>
              <w:t>0.467</w:t>
            </w:r>
          </w:p>
        </w:tc>
        <w:tc>
          <w:tcPr>
            <w:tcW w:w="1080" w:type="dxa"/>
            <w:tcBorders>
              <w:top w:val="nil"/>
              <w:left w:val="nil"/>
              <w:bottom w:val="nil"/>
              <w:right w:val="nil"/>
            </w:tcBorders>
            <w:noWrap w:val="0"/>
            <w:tcMar>
              <w:top w:w="-1" w:type="dxa"/>
              <w:left w:w="-1" w:type="dxa"/>
              <w:bottom w:w="-1" w:type="dxa"/>
              <w:right w:w="-1" w:type="dxa"/>
            </w:tcMar>
            <w:vAlign w:val="top"/>
          </w:tcPr>
          <w:p w14:paraId="778A039D">
            <w:pPr>
              <w:jc w:val="center"/>
              <w:rPr>
                <w:rFonts w:hint="default" w:ascii="Times New Roman" w:hAnsi="Times New Roman" w:cs="Times New Roman"/>
              </w:rPr>
            </w:pPr>
            <w:r>
              <w:rPr>
                <w:rFonts w:hint="default" w:ascii="Times New Roman" w:hAnsi="Times New Roman" w:cs="Times New Roman"/>
              </w:rPr>
              <w:t>0.603</w:t>
            </w:r>
          </w:p>
        </w:tc>
        <w:tc>
          <w:tcPr>
            <w:tcW w:w="1080" w:type="dxa"/>
            <w:tcBorders>
              <w:top w:val="nil"/>
              <w:left w:val="nil"/>
              <w:bottom w:val="nil"/>
              <w:right w:val="nil"/>
            </w:tcBorders>
            <w:noWrap w:val="0"/>
            <w:tcMar>
              <w:top w:w="-1" w:type="dxa"/>
              <w:left w:w="-1" w:type="dxa"/>
              <w:bottom w:w="-1" w:type="dxa"/>
              <w:right w:w="-1" w:type="dxa"/>
            </w:tcMar>
            <w:vAlign w:val="top"/>
          </w:tcPr>
          <w:p w14:paraId="3AA11224">
            <w:pPr>
              <w:jc w:val="center"/>
              <w:rPr>
                <w:rFonts w:hint="default" w:ascii="Times New Roman" w:hAnsi="Times New Roman" w:cs="Times New Roman"/>
              </w:rPr>
            </w:pPr>
            <w:r>
              <w:rPr>
                <w:rFonts w:hint="default" w:ascii="Times New Roman" w:hAnsi="Times New Roman" w:cs="Times New Roman"/>
              </w:rPr>
              <w:t>No</w:t>
            </w:r>
          </w:p>
        </w:tc>
      </w:tr>
      <w:tr w14:paraId="66F792ED">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336F0B5">
            <w:pPr>
              <w:rPr>
                <w:rFonts w:hint="default" w:ascii="Times New Roman" w:hAnsi="Times New Roman" w:cs="Times New Roman"/>
              </w:rPr>
            </w:pPr>
            <w:r>
              <w:rPr>
                <w:rFonts w:hint="default" w:ascii="Times New Roman" w:hAnsi="Times New Roman" w:cs="Times New Roman"/>
              </w:rPr>
              <w:t>PTH</w:t>
            </w:r>
          </w:p>
        </w:tc>
        <w:tc>
          <w:tcPr>
            <w:tcW w:w="1080" w:type="dxa"/>
            <w:tcBorders>
              <w:top w:val="nil"/>
              <w:left w:val="nil"/>
              <w:bottom w:val="nil"/>
              <w:right w:val="nil"/>
            </w:tcBorders>
            <w:noWrap w:val="0"/>
            <w:tcMar>
              <w:top w:w="-1" w:type="dxa"/>
              <w:left w:w="-1" w:type="dxa"/>
              <w:bottom w:w="-1" w:type="dxa"/>
              <w:right w:w="-1" w:type="dxa"/>
            </w:tcMar>
            <w:vAlign w:val="top"/>
          </w:tcPr>
          <w:p w14:paraId="0908512B">
            <w:pPr>
              <w:jc w:val="center"/>
              <w:rPr>
                <w:rFonts w:hint="default" w:ascii="Times New Roman" w:hAnsi="Times New Roman" w:cs="Times New Roman"/>
              </w:rPr>
            </w:pPr>
            <w:r>
              <w:rPr>
                <w:rFonts w:hint="default" w:ascii="Times New Roman" w:hAnsi="Times New Roman" w:cs="Times New Roman"/>
              </w:rPr>
              <w:t>58</w:t>
            </w:r>
          </w:p>
        </w:tc>
        <w:tc>
          <w:tcPr>
            <w:tcW w:w="1080" w:type="dxa"/>
            <w:tcBorders>
              <w:top w:val="nil"/>
              <w:left w:val="nil"/>
              <w:bottom w:val="nil"/>
              <w:right w:val="nil"/>
            </w:tcBorders>
            <w:noWrap w:val="0"/>
            <w:tcMar>
              <w:top w:w="-1" w:type="dxa"/>
              <w:left w:w="-1" w:type="dxa"/>
              <w:bottom w:w="-1" w:type="dxa"/>
              <w:right w:w="-1" w:type="dxa"/>
            </w:tcMar>
            <w:vAlign w:val="top"/>
          </w:tcPr>
          <w:p w14:paraId="2B80E462">
            <w:pPr>
              <w:jc w:val="center"/>
              <w:rPr>
                <w:rFonts w:hint="default" w:ascii="Times New Roman" w:hAnsi="Times New Roman" w:cs="Times New Roman"/>
              </w:rPr>
            </w:pPr>
            <w:r>
              <w:rPr>
                <w:rFonts w:hint="default" w:ascii="Times New Roman" w:hAnsi="Times New Roman" w:cs="Times New Roman"/>
              </w:rPr>
              <w:t>67</w:t>
            </w:r>
          </w:p>
        </w:tc>
        <w:tc>
          <w:tcPr>
            <w:tcW w:w="1080" w:type="dxa"/>
            <w:tcBorders>
              <w:top w:val="nil"/>
              <w:left w:val="nil"/>
              <w:bottom w:val="nil"/>
              <w:right w:val="nil"/>
            </w:tcBorders>
            <w:noWrap w:val="0"/>
            <w:tcMar>
              <w:top w:w="-1" w:type="dxa"/>
              <w:left w:w="-1" w:type="dxa"/>
              <w:bottom w:w="-1" w:type="dxa"/>
              <w:right w:w="-1" w:type="dxa"/>
            </w:tcMar>
            <w:vAlign w:val="top"/>
          </w:tcPr>
          <w:p w14:paraId="6B7DD9A7">
            <w:pPr>
              <w:jc w:val="center"/>
              <w:rPr>
                <w:rFonts w:hint="default" w:ascii="Times New Roman" w:hAnsi="Times New Roman" w:cs="Times New Roman"/>
              </w:rPr>
            </w:pPr>
            <w:r>
              <w:rPr>
                <w:rFonts w:hint="default" w:ascii="Times New Roman" w:hAnsi="Times New Roman" w:cs="Times New Roman"/>
              </w:rPr>
              <w:t>179.85 (93.52–320.60)</w:t>
            </w:r>
          </w:p>
        </w:tc>
        <w:tc>
          <w:tcPr>
            <w:tcW w:w="1080" w:type="dxa"/>
            <w:tcBorders>
              <w:top w:val="nil"/>
              <w:left w:val="nil"/>
              <w:bottom w:val="nil"/>
              <w:right w:val="nil"/>
            </w:tcBorders>
            <w:noWrap w:val="0"/>
            <w:tcMar>
              <w:top w:w="-1" w:type="dxa"/>
              <w:left w:w="-1" w:type="dxa"/>
              <w:bottom w:w="-1" w:type="dxa"/>
              <w:right w:w="-1" w:type="dxa"/>
            </w:tcMar>
            <w:vAlign w:val="top"/>
          </w:tcPr>
          <w:p w14:paraId="418529A8">
            <w:pPr>
              <w:jc w:val="center"/>
              <w:rPr>
                <w:rFonts w:hint="default" w:ascii="Times New Roman" w:hAnsi="Times New Roman" w:cs="Times New Roman"/>
              </w:rPr>
            </w:pPr>
            <w:r>
              <w:rPr>
                <w:rFonts w:hint="default" w:ascii="Times New Roman" w:hAnsi="Times New Roman" w:cs="Times New Roman"/>
              </w:rPr>
              <w:t>201.10 (117.65–340.70)</w:t>
            </w:r>
          </w:p>
        </w:tc>
        <w:tc>
          <w:tcPr>
            <w:tcW w:w="1080" w:type="dxa"/>
            <w:tcBorders>
              <w:top w:val="nil"/>
              <w:left w:val="nil"/>
              <w:bottom w:val="nil"/>
              <w:right w:val="nil"/>
            </w:tcBorders>
            <w:noWrap w:val="0"/>
            <w:tcMar>
              <w:top w:w="-1" w:type="dxa"/>
              <w:left w:w="-1" w:type="dxa"/>
              <w:bottom w:w="-1" w:type="dxa"/>
              <w:right w:w="-1" w:type="dxa"/>
            </w:tcMar>
            <w:vAlign w:val="top"/>
          </w:tcPr>
          <w:p w14:paraId="6E4F1339">
            <w:pPr>
              <w:jc w:val="center"/>
              <w:rPr>
                <w:rFonts w:hint="default" w:ascii="Times New Roman" w:hAnsi="Times New Roman" w:cs="Times New Roman"/>
              </w:rPr>
            </w:pPr>
            <w:r>
              <w:rPr>
                <w:rFonts w:hint="default" w:ascii="Times New Roman" w:hAnsi="Times New Roman" w:cs="Times New Roman"/>
              </w:rPr>
              <w:t>0.476</w:t>
            </w:r>
          </w:p>
        </w:tc>
        <w:tc>
          <w:tcPr>
            <w:tcW w:w="1080" w:type="dxa"/>
            <w:tcBorders>
              <w:top w:val="nil"/>
              <w:left w:val="nil"/>
              <w:bottom w:val="nil"/>
              <w:right w:val="nil"/>
            </w:tcBorders>
            <w:noWrap w:val="0"/>
            <w:tcMar>
              <w:top w:w="-1" w:type="dxa"/>
              <w:left w:w="-1" w:type="dxa"/>
              <w:bottom w:w="-1" w:type="dxa"/>
              <w:right w:w="-1" w:type="dxa"/>
            </w:tcMar>
            <w:vAlign w:val="top"/>
          </w:tcPr>
          <w:p w14:paraId="089A8A2B">
            <w:pPr>
              <w:jc w:val="center"/>
              <w:rPr>
                <w:rFonts w:hint="default" w:ascii="Times New Roman" w:hAnsi="Times New Roman" w:cs="Times New Roman"/>
              </w:rPr>
            </w:pPr>
            <w:r>
              <w:rPr>
                <w:rFonts w:hint="default" w:ascii="Times New Roman" w:hAnsi="Times New Roman" w:cs="Times New Roman"/>
              </w:rPr>
              <w:t>0.603</w:t>
            </w:r>
          </w:p>
        </w:tc>
        <w:tc>
          <w:tcPr>
            <w:tcW w:w="1080" w:type="dxa"/>
            <w:tcBorders>
              <w:top w:val="nil"/>
              <w:left w:val="nil"/>
              <w:bottom w:val="nil"/>
              <w:right w:val="nil"/>
            </w:tcBorders>
            <w:noWrap w:val="0"/>
            <w:tcMar>
              <w:top w:w="-1" w:type="dxa"/>
              <w:left w:w="-1" w:type="dxa"/>
              <w:bottom w:w="-1" w:type="dxa"/>
              <w:right w:w="-1" w:type="dxa"/>
            </w:tcMar>
            <w:vAlign w:val="top"/>
          </w:tcPr>
          <w:p w14:paraId="283809B2">
            <w:pPr>
              <w:jc w:val="center"/>
              <w:rPr>
                <w:rFonts w:hint="default" w:ascii="Times New Roman" w:hAnsi="Times New Roman" w:cs="Times New Roman"/>
              </w:rPr>
            </w:pPr>
            <w:r>
              <w:rPr>
                <w:rFonts w:hint="default" w:ascii="Times New Roman" w:hAnsi="Times New Roman" w:cs="Times New Roman"/>
              </w:rPr>
              <w:t>No</w:t>
            </w:r>
          </w:p>
        </w:tc>
      </w:tr>
      <w:tr w14:paraId="7F814499">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D7DB0BE">
            <w:pPr>
              <w:rPr>
                <w:rFonts w:hint="default" w:ascii="Times New Roman" w:hAnsi="Times New Roman" w:cs="Times New Roman"/>
              </w:rPr>
            </w:pPr>
            <w:r>
              <w:rPr>
                <w:rFonts w:hint="default" w:ascii="Times New Roman" w:hAnsi="Times New Roman" w:cs="Times New Roman"/>
              </w:rPr>
              <w:t>CO2</w:t>
            </w:r>
          </w:p>
        </w:tc>
        <w:tc>
          <w:tcPr>
            <w:tcW w:w="1080" w:type="dxa"/>
            <w:tcBorders>
              <w:top w:val="nil"/>
              <w:left w:val="nil"/>
              <w:bottom w:val="nil"/>
              <w:right w:val="nil"/>
            </w:tcBorders>
            <w:noWrap w:val="0"/>
            <w:tcMar>
              <w:top w:w="-1" w:type="dxa"/>
              <w:left w:w="-1" w:type="dxa"/>
              <w:bottom w:w="-1" w:type="dxa"/>
              <w:right w:w="-1" w:type="dxa"/>
            </w:tcMar>
            <w:vAlign w:val="top"/>
          </w:tcPr>
          <w:p w14:paraId="64B88155">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67072169">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00D53D54">
            <w:pPr>
              <w:jc w:val="center"/>
              <w:rPr>
                <w:rFonts w:hint="default" w:ascii="Times New Roman" w:hAnsi="Times New Roman" w:cs="Times New Roman"/>
              </w:rPr>
            </w:pPr>
            <w:r>
              <w:rPr>
                <w:rFonts w:hint="default" w:ascii="Times New Roman" w:hAnsi="Times New Roman" w:cs="Times New Roman"/>
              </w:rPr>
              <w:t>24.42 ± 3.63</w:t>
            </w:r>
          </w:p>
        </w:tc>
        <w:tc>
          <w:tcPr>
            <w:tcW w:w="1080" w:type="dxa"/>
            <w:tcBorders>
              <w:top w:val="nil"/>
              <w:left w:val="nil"/>
              <w:bottom w:val="nil"/>
              <w:right w:val="nil"/>
            </w:tcBorders>
            <w:noWrap w:val="0"/>
            <w:tcMar>
              <w:top w:w="-1" w:type="dxa"/>
              <w:left w:w="-1" w:type="dxa"/>
              <w:bottom w:w="-1" w:type="dxa"/>
              <w:right w:w="-1" w:type="dxa"/>
            </w:tcMar>
            <w:vAlign w:val="top"/>
          </w:tcPr>
          <w:p w14:paraId="151A8422">
            <w:pPr>
              <w:jc w:val="center"/>
              <w:rPr>
                <w:rFonts w:hint="default" w:ascii="Times New Roman" w:hAnsi="Times New Roman" w:cs="Times New Roman"/>
              </w:rPr>
            </w:pPr>
            <w:r>
              <w:rPr>
                <w:rFonts w:hint="default" w:ascii="Times New Roman" w:hAnsi="Times New Roman" w:cs="Times New Roman"/>
              </w:rPr>
              <w:t>24.00 (21.82–25.77)</w:t>
            </w:r>
          </w:p>
        </w:tc>
        <w:tc>
          <w:tcPr>
            <w:tcW w:w="1080" w:type="dxa"/>
            <w:tcBorders>
              <w:top w:val="nil"/>
              <w:left w:val="nil"/>
              <w:bottom w:val="nil"/>
              <w:right w:val="nil"/>
            </w:tcBorders>
            <w:noWrap w:val="0"/>
            <w:tcMar>
              <w:top w:w="-1" w:type="dxa"/>
              <w:left w:w="-1" w:type="dxa"/>
              <w:bottom w:w="-1" w:type="dxa"/>
              <w:right w:w="-1" w:type="dxa"/>
            </w:tcMar>
            <w:vAlign w:val="top"/>
          </w:tcPr>
          <w:p w14:paraId="636BF2BB">
            <w:pPr>
              <w:jc w:val="center"/>
              <w:rPr>
                <w:rFonts w:hint="default" w:ascii="Times New Roman" w:hAnsi="Times New Roman" w:cs="Times New Roman"/>
              </w:rPr>
            </w:pPr>
            <w:r>
              <w:rPr>
                <w:rFonts w:hint="default" w:ascii="Times New Roman" w:hAnsi="Times New Roman" w:cs="Times New Roman"/>
              </w:rPr>
              <w:t>0.515</w:t>
            </w:r>
          </w:p>
        </w:tc>
        <w:tc>
          <w:tcPr>
            <w:tcW w:w="1080" w:type="dxa"/>
            <w:tcBorders>
              <w:top w:val="nil"/>
              <w:left w:val="nil"/>
              <w:bottom w:val="nil"/>
              <w:right w:val="nil"/>
            </w:tcBorders>
            <w:noWrap w:val="0"/>
            <w:tcMar>
              <w:top w:w="-1" w:type="dxa"/>
              <w:left w:w="-1" w:type="dxa"/>
              <w:bottom w:w="-1" w:type="dxa"/>
              <w:right w:w="-1" w:type="dxa"/>
            </w:tcMar>
            <w:vAlign w:val="top"/>
          </w:tcPr>
          <w:p w14:paraId="08550950">
            <w:pPr>
              <w:jc w:val="center"/>
              <w:rPr>
                <w:rFonts w:hint="default" w:ascii="Times New Roman" w:hAnsi="Times New Roman" w:cs="Times New Roman"/>
              </w:rPr>
            </w:pPr>
            <w:r>
              <w:rPr>
                <w:rFonts w:hint="default" w:ascii="Times New Roman" w:hAnsi="Times New Roman" w:cs="Times New Roman"/>
              </w:rPr>
              <w:t>0.638</w:t>
            </w:r>
          </w:p>
        </w:tc>
        <w:tc>
          <w:tcPr>
            <w:tcW w:w="1080" w:type="dxa"/>
            <w:tcBorders>
              <w:top w:val="nil"/>
              <w:left w:val="nil"/>
              <w:bottom w:val="nil"/>
              <w:right w:val="nil"/>
            </w:tcBorders>
            <w:noWrap w:val="0"/>
            <w:tcMar>
              <w:top w:w="-1" w:type="dxa"/>
              <w:left w:w="-1" w:type="dxa"/>
              <w:bottom w:w="-1" w:type="dxa"/>
              <w:right w:w="-1" w:type="dxa"/>
            </w:tcMar>
            <w:vAlign w:val="top"/>
          </w:tcPr>
          <w:p w14:paraId="49CDFAA8">
            <w:pPr>
              <w:jc w:val="center"/>
              <w:rPr>
                <w:rFonts w:hint="default" w:ascii="Times New Roman" w:hAnsi="Times New Roman" w:cs="Times New Roman"/>
              </w:rPr>
            </w:pPr>
            <w:r>
              <w:rPr>
                <w:rFonts w:hint="default" w:ascii="Times New Roman" w:hAnsi="Times New Roman" w:cs="Times New Roman"/>
              </w:rPr>
              <w:t>No</w:t>
            </w:r>
          </w:p>
        </w:tc>
      </w:tr>
      <w:tr w14:paraId="5EE41C38">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714BF800">
            <w:pPr>
              <w:rPr>
                <w:rFonts w:hint="default" w:ascii="Times New Roman" w:hAnsi="Times New Roman" w:cs="Times New Roman"/>
              </w:rPr>
            </w:pPr>
            <w:r>
              <w:rPr>
                <w:rFonts w:hint="default" w:ascii="Times New Roman" w:hAnsi="Times New Roman" w:cs="Times New Roman"/>
              </w:rPr>
              <w:t>platelet</w:t>
            </w:r>
          </w:p>
        </w:tc>
        <w:tc>
          <w:tcPr>
            <w:tcW w:w="1080" w:type="dxa"/>
            <w:tcBorders>
              <w:top w:val="nil"/>
              <w:left w:val="nil"/>
              <w:bottom w:val="nil"/>
              <w:right w:val="nil"/>
            </w:tcBorders>
            <w:noWrap w:val="0"/>
            <w:tcMar>
              <w:top w:w="-1" w:type="dxa"/>
              <w:left w:w="-1" w:type="dxa"/>
              <w:bottom w:w="-1" w:type="dxa"/>
              <w:right w:w="-1" w:type="dxa"/>
            </w:tcMar>
            <w:vAlign w:val="top"/>
          </w:tcPr>
          <w:p w14:paraId="3607229A">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00BC22EF">
            <w:pPr>
              <w:jc w:val="center"/>
              <w:rPr>
                <w:rFonts w:hint="default" w:ascii="Times New Roman" w:hAnsi="Times New Roman" w:cs="Times New Roman"/>
              </w:rPr>
            </w:pPr>
            <w:r>
              <w:rPr>
                <w:rFonts w:hint="default" w:ascii="Times New Roman" w:hAnsi="Times New Roman" w:cs="Times New Roman"/>
              </w:rPr>
              <w:t>79</w:t>
            </w:r>
          </w:p>
        </w:tc>
        <w:tc>
          <w:tcPr>
            <w:tcW w:w="1080" w:type="dxa"/>
            <w:tcBorders>
              <w:top w:val="nil"/>
              <w:left w:val="nil"/>
              <w:bottom w:val="nil"/>
              <w:right w:val="nil"/>
            </w:tcBorders>
            <w:noWrap w:val="0"/>
            <w:tcMar>
              <w:top w:w="-1" w:type="dxa"/>
              <w:left w:w="-1" w:type="dxa"/>
              <w:bottom w:w="-1" w:type="dxa"/>
              <w:right w:w="-1" w:type="dxa"/>
            </w:tcMar>
            <w:vAlign w:val="top"/>
          </w:tcPr>
          <w:p w14:paraId="3D521AD3">
            <w:pPr>
              <w:jc w:val="center"/>
              <w:rPr>
                <w:rFonts w:hint="default" w:ascii="Times New Roman" w:hAnsi="Times New Roman" w:cs="Times New Roman"/>
              </w:rPr>
            </w:pPr>
            <w:r>
              <w:rPr>
                <w:rFonts w:hint="default" w:ascii="Times New Roman" w:hAnsi="Times New Roman" w:cs="Times New Roman"/>
              </w:rPr>
              <w:t>179.00 (136.00–238.00)</w:t>
            </w:r>
          </w:p>
        </w:tc>
        <w:tc>
          <w:tcPr>
            <w:tcW w:w="1080" w:type="dxa"/>
            <w:tcBorders>
              <w:top w:val="nil"/>
              <w:left w:val="nil"/>
              <w:bottom w:val="nil"/>
              <w:right w:val="nil"/>
            </w:tcBorders>
            <w:noWrap w:val="0"/>
            <w:tcMar>
              <w:top w:w="-1" w:type="dxa"/>
              <w:left w:w="-1" w:type="dxa"/>
              <w:bottom w:w="-1" w:type="dxa"/>
              <w:right w:w="-1" w:type="dxa"/>
            </w:tcMar>
            <w:vAlign w:val="top"/>
          </w:tcPr>
          <w:p w14:paraId="66CA2D38">
            <w:pPr>
              <w:jc w:val="center"/>
              <w:rPr>
                <w:rFonts w:hint="default" w:ascii="Times New Roman" w:hAnsi="Times New Roman" w:cs="Times New Roman"/>
              </w:rPr>
            </w:pPr>
            <w:r>
              <w:rPr>
                <w:rFonts w:hint="default" w:ascii="Times New Roman" w:hAnsi="Times New Roman" w:cs="Times New Roman"/>
              </w:rPr>
              <w:t>191.00 (142.00–236.50)</w:t>
            </w:r>
          </w:p>
        </w:tc>
        <w:tc>
          <w:tcPr>
            <w:tcW w:w="1080" w:type="dxa"/>
            <w:tcBorders>
              <w:top w:val="nil"/>
              <w:left w:val="nil"/>
              <w:bottom w:val="nil"/>
              <w:right w:val="nil"/>
            </w:tcBorders>
            <w:noWrap w:val="0"/>
            <w:tcMar>
              <w:top w:w="-1" w:type="dxa"/>
              <w:left w:w="-1" w:type="dxa"/>
              <w:bottom w:w="-1" w:type="dxa"/>
              <w:right w:w="-1" w:type="dxa"/>
            </w:tcMar>
            <w:vAlign w:val="top"/>
          </w:tcPr>
          <w:p w14:paraId="0A12116E">
            <w:pPr>
              <w:jc w:val="center"/>
              <w:rPr>
                <w:rFonts w:hint="default" w:ascii="Times New Roman" w:hAnsi="Times New Roman" w:cs="Times New Roman"/>
              </w:rPr>
            </w:pPr>
            <w:r>
              <w:rPr>
                <w:rFonts w:hint="default" w:ascii="Times New Roman" w:hAnsi="Times New Roman" w:cs="Times New Roman"/>
              </w:rPr>
              <w:t>0.545</w:t>
            </w:r>
          </w:p>
        </w:tc>
        <w:tc>
          <w:tcPr>
            <w:tcW w:w="1080" w:type="dxa"/>
            <w:tcBorders>
              <w:top w:val="nil"/>
              <w:left w:val="nil"/>
              <w:bottom w:val="nil"/>
              <w:right w:val="nil"/>
            </w:tcBorders>
            <w:noWrap w:val="0"/>
            <w:tcMar>
              <w:top w:w="-1" w:type="dxa"/>
              <w:left w:w="-1" w:type="dxa"/>
              <w:bottom w:w="-1" w:type="dxa"/>
              <w:right w:w="-1" w:type="dxa"/>
            </w:tcMar>
            <w:vAlign w:val="top"/>
          </w:tcPr>
          <w:p w14:paraId="721D1458">
            <w:pPr>
              <w:jc w:val="center"/>
              <w:rPr>
                <w:rFonts w:hint="default" w:ascii="Times New Roman" w:hAnsi="Times New Roman" w:cs="Times New Roman"/>
              </w:rPr>
            </w:pPr>
            <w:r>
              <w:rPr>
                <w:rFonts w:hint="default" w:ascii="Times New Roman" w:hAnsi="Times New Roman" w:cs="Times New Roman"/>
              </w:rPr>
              <w:t>0.661</w:t>
            </w:r>
          </w:p>
        </w:tc>
        <w:tc>
          <w:tcPr>
            <w:tcW w:w="1080" w:type="dxa"/>
            <w:tcBorders>
              <w:top w:val="nil"/>
              <w:left w:val="nil"/>
              <w:bottom w:val="nil"/>
              <w:right w:val="nil"/>
            </w:tcBorders>
            <w:noWrap w:val="0"/>
            <w:tcMar>
              <w:top w:w="-1" w:type="dxa"/>
              <w:left w:w="-1" w:type="dxa"/>
              <w:bottom w:w="-1" w:type="dxa"/>
              <w:right w:w="-1" w:type="dxa"/>
            </w:tcMar>
            <w:vAlign w:val="top"/>
          </w:tcPr>
          <w:p w14:paraId="7439AB97">
            <w:pPr>
              <w:jc w:val="center"/>
              <w:rPr>
                <w:rFonts w:hint="default" w:ascii="Times New Roman" w:hAnsi="Times New Roman" w:cs="Times New Roman"/>
              </w:rPr>
            </w:pPr>
            <w:r>
              <w:rPr>
                <w:rFonts w:hint="default" w:ascii="Times New Roman" w:hAnsi="Times New Roman" w:cs="Times New Roman"/>
              </w:rPr>
              <w:t>No</w:t>
            </w:r>
          </w:p>
        </w:tc>
      </w:tr>
      <w:tr w14:paraId="1F373CB6">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30BC45E">
            <w:pPr>
              <w:rPr>
                <w:rFonts w:hint="default" w:ascii="Times New Roman" w:hAnsi="Times New Roman" w:cs="Times New Roman"/>
              </w:rPr>
            </w:pPr>
            <w:r>
              <w:rPr>
                <w:rFonts w:hint="default" w:ascii="Times New Roman" w:hAnsi="Times New Roman" w:cs="Times New Roman"/>
              </w:rPr>
              <w:t>BMI</w:t>
            </w:r>
          </w:p>
        </w:tc>
        <w:tc>
          <w:tcPr>
            <w:tcW w:w="1080" w:type="dxa"/>
            <w:tcBorders>
              <w:top w:val="nil"/>
              <w:left w:val="nil"/>
              <w:bottom w:val="nil"/>
              <w:right w:val="nil"/>
            </w:tcBorders>
            <w:noWrap w:val="0"/>
            <w:tcMar>
              <w:top w:w="-1" w:type="dxa"/>
              <w:left w:w="-1" w:type="dxa"/>
              <w:bottom w:w="-1" w:type="dxa"/>
              <w:right w:w="-1" w:type="dxa"/>
            </w:tcMar>
            <w:vAlign w:val="top"/>
          </w:tcPr>
          <w:p w14:paraId="4A204B32">
            <w:pPr>
              <w:jc w:val="center"/>
              <w:rPr>
                <w:rFonts w:hint="default" w:ascii="Times New Roman" w:hAnsi="Times New Roman" w:cs="Times New Roman"/>
              </w:rPr>
            </w:pPr>
            <w:r>
              <w:rPr>
                <w:rFonts w:hint="default" w:ascii="Times New Roman" w:hAnsi="Times New Roman" w:cs="Times New Roman"/>
              </w:rPr>
              <w:t>71</w:t>
            </w:r>
          </w:p>
        </w:tc>
        <w:tc>
          <w:tcPr>
            <w:tcW w:w="1080" w:type="dxa"/>
            <w:tcBorders>
              <w:top w:val="nil"/>
              <w:left w:val="nil"/>
              <w:bottom w:val="nil"/>
              <w:right w:val="nil"/>
            </w:tcBorders>
            <w:noWrap w:val="0"/>
            <w:tcMar>
              <w:top w:w="-1" w:type="dxa"/>
              <w:left w:w="-1" w:type="dxa"/>
              <w:bottom w:w="-1" w:type="dxa"/>
              <w:right w:w="-1" w:type="dxa"/>
            </w:tcMar>
            <w:vAlign w:val="top"/>
          </w:tcPr>
          <w:p w14:paraId="2AE0D539">
            <w:pPr>
              <w:jc w:val="center"/>
              <w:rPr>
                <w:rFonts w:hint="default" w:ascii="Times New Roman" w:hAnsi="Times New Roman" w:cs="Times New Roman"/>
              </w:rPr>
            </w:pPr>
            <w:r>
              <w:rPr>
                <w:rFonts w:hint="default" w:ascii="Times New Roman" w:hAnsi="Times New Roman" w:cs="Times New Roman"/>
              </w:rPr>
              <w:t>77</w:t>
            </w:r>
          </w:p>
        </w:tc>
        <w:tc>
          <w:tcPr>
            <w:tcW w:w="1080" w:type="dxa"/>
            <w:tcBorders>
              <w:top w:val="nil"/>
              <w:left w:val="nil"/>
              <w:bottom w:val="nil"/>
              <w:right w:val="nil"/>
            </w:tcBorders>
            <w:noWrap w:val="0"/>
            <w:tcMar>
              <w:top w:w="-1" w:type="dxa"/>
              <w:left w:w="-1" w:type="dxa"/>
              <w:bottom w:w="-1" w:type="dxa"/>
              <w:right w:w="-1" w:type="dxa"/>
            </w:tcMar>
            <w:vAlign w:val="top"/>
          </w:tcPr>
          <w:p w14:paraId="51B9F2F2">
            <w:pPr>
              <w:jc w:val="center"/>
              <w:rPr>
                <w:rFonts w:hint="default" w:ascii="Times New Roman" w:hAnsi="Times New Roman" w:cs="Times New Roman"/>
              </w:rPr>
            </w:pPr>
            <w:r>
              <w:rPr>
                <w:rFonts w:hint="default" w:ascii="Times New Roman" w:hAnsi="Times New Roman" w:cs="Times New Roman"/>
              </w:rPr>
              <w:t>23.91 ± 3.48</w:t>
            </w:r>
          </w:p>
        </w:tc>
        <w:tc>
          <w:tcPr>
            <w:tcW w:w="1080" w:type="dxa"/>
            <w:tcBorders>
              <w:top w:val="nil"/>
              <w:left w:val="nil"/>
              <w:bottom w:val="nil"/>
              <w:right w:val="nil"/>
            </w:tcBorders>
            <w:noWrap w:val="0"/>
            <w:tcMar>
              <w:top w:w="-1" w:type="dxa"/>
              <w:left w:w="-1" w:type="dxa"/>
              <w:bottom w:w="-1" w:type="dxa"/>
              <w:right w:w="-1" w:type="dxa"/>
            </w:tcMar>
            <w:vAlign w:val="top"/>
          </w:tcPr>
          <w:p w14:paraId="18C7B565">
            <w:pPr>
              <w:jc w:val="center"/>
              <w:rPr>
                <w:rFonts w:hint="default" w:ascii="Times New Roman" w:hAnsi="Times New Roman" w:cs="Times New Roman"/>
              </w:rPr>
            </w:pPr>
            <w:r>
              <w:rPr>
                <w:rFonts w:hint="default" w:ascii="Times New Roman" w:hAnsi="Times New Roman" w:cs="Times New Roman"/>
              </w:rPr>
              <w:t>24.02 (21.80–26.67)</w:t>
            </w:r>
          </w:p>
        </w:tc>
        <w:tc>
          <w:tcPr>
            <w:tcW w:w="1080" w:type="dxa"/>
            <w:tcBorders>
              <w:top w:val="nil"/>
              <w:left w:val="nil"/>
              <w:bottom w:val="nil"/>
              <w:right w:val="nil"/>
            </w:tcBorders>
            <w:noWrap w:val="0"/>
            <w:tcMar>
              <w:top w:w="-1" w:type="dxa"/>
              <w:left w:w="-1" w:type="dxa"/>
              <w:bottom w:w="-1" w:type="dxa"/>
              <w:right w:w="-1" w:type="dxa"/>
            </w:tcMar>
            <w:vAlign w:val="top"/>
          </w:tcPr>
          <w:p w14:paraId="322B10EE">
            <w:pPr>
              <w:jc w:val="center"/>
              <w:rPr>
                <w:rFonts w:hint="default" w:ascii="Times New Roman" w:hAnsi="Times New Roman" w:cs="Times New Roman"/>
              </w:rPr>
            </w:pPr>
            <w:r>
              <w:rPr>
                <w:rFonts w:hint="default" w:ascii="Times New Roman" w:hAnsi="Times New Roman" w:cs="Times New Roman"/>
              </w:rPr>
              <w:t>0.598</w:t>
            </w:r>
          </w:p>
        </w:tc>
        <w:tc>
          <w:tcPr>
            <w:tcW w:w="1080" w:type="dxa"/>
            <w:tcBorders>
              <w:top w:val="nil"/>
              <w:left w:val="nil"/>
              <w:bottom w:val="nil"/>
              <w:right w:val="nil"/>
            </w:tcBorders>
            <w:noWrap w:val="0"/>
            <w:tcMar>
              <w:top w:w="-1" w:type="dxa"/>
              <w:left w:w="-1" w:type="dxa"/>
              <w:bottom w:w="-1" w:type="dxa"/>
              <w:right w:w="-1" w:type="dxa"/>
            </w:tcMar>
            <w:vAlign w:val="top"/>
          </w:tcPr>
          <w:p w14:paraId="626704F1">
            <w:pPr>
              <w:jc w:val="center"/>
              <w:rPr>
                <w:rFonts w:hint="default" w:ascii="Times New Roman" w:hAnsi="Times New Roman" w:cs="Times New Roman"/>
              </w:rPr>
            </w:pPr>
            <w:r>
              <w:rPr>
                <w:rFonts w:hint="default" w:ascii="Times New Roman" w:hAnsi="Times New Roman" w:cs="Times New Roman"/>
              </w:rPr>
              <w:t>0.710</w:t>
            </w:r>
          </w:p>
        </w:tc>
        <w:tc>
          <w:tcPr>
            <w:tcW w:w="1080" w:type="dxa"/>
            <w:tcBorders>
              <w:top w:val="nil"/>
              <w:left w:val="nil"/>
              <w:bottom w:val="nil"/>
              <w:right w:val="nil"/>
            </w:tcBorders>
            <w:noWrap w:val="0"/>
            <w:tcMar>
              <w:top w:w="-1" w:type="dxa"/>
              <w:left w:w="-1" w:type="dxa"/>
              <w:bottom w:w="-1" w:type="dxa"/>
              <w:right w:w="-1" w:type="dxa"/>
            </w:tcMar>
            <w:vAlign w:val="top"/>
          </w:tcPr>
          <w:p w14:paraId="56365E76">
            <w:pPr>
              <w:jc w:val="center"/>
              <w:rPr>
                <w:rFonts w:hint="default" w:ascii="Times New Roman" w:hAnsi="Times New Roman" w:cs="Times New Roman"/>
              </w:rPr>
            </w:pPr>
            <w:r>
              <w:rPr>
                <w:rFonts w:hint="default" w:ascii="Times New Roman" w:hAnsi="Times New Roman" w:cs="Times New Roman"/>
              </w:rPr>
              <w:t>No</w:t>
            </w:r>
          </w:p>
        </w:tc>
      </w:tr>
      <w:tr w14:paraId="1C2CA9B6">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2F520FE1">
            <w:pPr>
              <w:rPr>
                <w:rFonts w:hint="default" w:ascii="Times New Roman" w:hAnsi="Times New Roman" w:cs="Times New Roman"/>
              </w:rPr>
            </w:pPr>
            <w:r>
              <w:rPr>
                <w:rFonts w:hint="default" w:ascii="Times New Roman" w:hAnsi="Times New Roman" w:cs="Times New Roman"/>
              </w:rPr>
              <w:t>ApoB</w:t>
            </w:r>
          </w:p>
        </w:tc>
        <w:tc>
          <w:tcPr>
            <w:tcW w:w="1080" w:type="dxa"/>
            <w:tcBorders>
              <w:top w:val="nil"/>
              <w:left w:val="nil"/>
              <w:bottom w:val="nil"/>
              <w:right w:val="nil"/>
            </w:tcBorders>
            <w:noWrap w:val="0"/>
            <w:tcMar>
              <w:top w:w="-1" w:type="dxa"/>
              <w:left w:w="-1" w:type="dxa"/>
              <w:bottom w:w="-1" w:type="dxa"/>
              <w:right w:w="-1" w:type="dxa"/>
            </w:tcMar>
            <w:vAlign w:val="top"/>
          </w:tcPr>
          <w:p w14:paraId="671F0470">
            <w:pPr>
              <w:jc w:val="center"/>
              <w:rPr>
                <w:rFonts w:hint="default" w:ascii="Times New Roman" w:hAnsi="Times New Roman" w:cs="Times New Roman"/>
              </w:rPr>
            </w:pPr>
            <w:r>
              <w:rPr>
                <w:rFonts w:hint="default" w:ascii="Times New Roman" w:hAnsi="Times New Roman" w:cs="Times New Roman"/>
              </w:rPr>
              <w:t>52</w:t>
            </w:r>
          </w:p>
        </w:tc>
        <w:tc>
          <w:tcPr>
            <w:tcW w:w="1080" w:type="dxa"/>
            <w:tcBorders>
              <w:top w:val="nil"/>
              <w:left w:val="nil"/>
              <w:bottom w:val="nil"/>
              <w:right w:val="nil"/>
            </w:tcBorders>
            <w:noWrap w:val="0"/>
            <w:tcMar>
              <w:top w:w="-1" w:type="dxa"/>
              <w:left w:w="-1" w:type="dxa"/>
              <w:bottom w:w="-1" w:type="dxa"/>
              <w:right w:w="-1" w:type="dxa"/>
            </w:tcMar>
            <w:vAlign w:val="top"/>
          </w:tcPr>
          <w:p w14:paraId="0CB41DDE">
            <w:pPr>
              <w:jc w:val="center"/>
              <w:rPr>
                <w:rFonts w:hint="default" w:ascii="Times New Roman" w:hAnsi="Times New Roman" w:cs="Times New Roman"/>
              </w:rPr>
            </w:pPr>
            <w:r>
              <w:rPr>
                <w:rFonts w:hint="default" w:ascii="Times New Roman" w:hAnsi="Times New Roman" w:cs="Times New Roman"/>
              </w:rPr>
              <w:t>69</w:t>
            </w:r>
          </w:p>
        </w:tc>
        <w:tc>
          <w:tcPr>
            <w:tcW w:w="1080" w:type="dxa"/>
            <w:tcBorders>
              <w:top w:val="nil"/>
              <w:left w:val="nil"/>
              <w:bottom w:val="nil"/>
              <w:right w:val="nil"/>
            </w:tcBorders>
            <w:noWrap w:val="0"/>
            <w:tcMar>
              <w:top w:w="-1" w:type="dxa"/>
              <w:left w:w="-1" w:type="dxa"/>
              <w:bottom w:w="-1" w:type="dxa"/>
              <w:right w:w="-1" w:type="dxa"/>
            </w:tcMar>
            <w:vAlign w:val="top"/>
          </w:tcPr>
          <w:p w14:paraId="1C5575E7">
            <w:pPr>
              <w:jc w:val="center"/>
              <w:rPr>
                <w:rFonts w:hint="default" w:ascii="Times New Roman" w:hAnsi="Times New Roman" w:cs="Times New Roman"/>
              </w:rPr>
            </w:pPr>
            <w:r>
              <w:rPr>
                <w:rFonts w:hint="default" w:ascii="Times New Roman" w:hAnsi="Times New Roman" w:cs="Times New Roman"/>
              </w:rPr>
              <w:t>0.64 (0.53–0.76)</w:t>
            </w:r>
          </w:p>
        </w:tc>
        <w:tc>
          <w:tcPr>
            <w:tcW w:w="1080" w:type="dxa"/>
            <w:tcBorders>
              <w:top w:val="nil"/>
              <w:left w:val="nil"/>
              <w:bottom w:val="nil"/>
              <w:right w:val="nil"/>
            </w:tcBorders>
            <w:noWrap w:val="0"/>
            <w:tcMar>
              <w:top w:w="-1" w:type="dxa"/>
              <w:left w:w="-1" w:type="dxa"/>
              <w:bottom w:w="-1" w:type="dxa"/>
              <w:right w:w="-1" w:type="dxa"/>
            </w:tcMar>
            <w:vAlign w:val="top"/>
          </w:tcPr>
          <w:p w14:paraId="620B9BB7">
            <w:pPr>
              <w:jc w:val="center"/>
              <w:rPr>
                <w:rFonts w:hint="default" w:ascii="Times New Roman" w:hAnsi="Times New Roman" w:cs="Times New Roman"/>
              </w:rPr>
            </w:pPr>
            <w:r>
              <w:rPr>
                <w:rFonts w:hint="default" w:ascii="Times New Roman" w:hAnsi="Times New Roman" w:cs="Times New Roman"/>
              </w:rPr>
              <w:t>0.67 (0.54–0.76)</w:t>
            </w:r>
          </w:p>
        </w:tc>
        <w:tc>
          <w:tcPr>
            <w:tcW w:w="1080" w:type="dxa"/>
            <w:tcBorders>
              <w:top w:val="nil"/>
              <w:left w:val="nil"/>
              <w:bottom w:val="nil"/>
              <w:right w:val="nil"/>
            </w:tcBorders>
            <w:noWrap w:val="0"/>
            <w:tcMar>
              <w:top w:w="-1" w:type="dxa"/>
              <w:left w:w="-1" w:type="dxa"/>
              <w:bottom w:w="-1" w:type="dxa"/>
              <w:right w:w="-1" w:type="dxa"/>
            </w:tcMar>
            <w:vAlign w:val="top"/>
          </w:tcPr>
          <w:p w14:paraId="6DE9C2E3">
            <w:pPr>
              <w:jc w:val="center"/>
              <w:rPr>
                <w:rFonts w:hint="default" w:ascii="Times New Roman" w:hAnsi="Times New Roman" w:cs="Times New Roman"/>
              </w:rPr>
            </w:pPr>
            <w:r>
              <w:rPr>
                <w:rFonts w:hint="default" w:ascii="Times New Roman" w:hAnsi="Times New Roman" w:cs="Times New Roman"/>
              </w:rPr>
              <w:t>0.630</w:t>
            </w:r>
          </w:p>
        </w:tc>
        <w:tc>
          <w:tcPr>
            <w:tcW w:w="1080" w:type="dxa"/>
            <w:tcBorders>
              <w:top w:val="nil"/>
              <w:left w:val="nil"/>
              <w:bottom w:val="nil"/>
              <w:right w:val="nil"/>
            </w:tcBorders>
            <w:noWrap w:val="0"/>
            <w:tcMar>
              <w:top w:w="-1" w:type="dxa"/>
              <w:left w:w="-1" w:type="dxa"/>
              <w:bottom w:w="-1" w:type="dxa"/>
              <w:right w:w="-1" w:type="dxa"/>
            </w:tcMar>
            <w:vAlign w:val="top"/>
          </w:tcPr>
          <w:p w14:paraId="09BC61ED">
            <w:pPr>
              <w:jc w:val="center"/>
              <w:rPr>
                <w:rFonts w:hint="default" w:ascii="Times New Roman" w:hAnsi="Times New Roman" w:cs="Times New Roman"/>
              </w:rPr>
            </w:pPr>
            <w:r>
              <w:rPr>
                <w:rFonts w:hint="default" w:ascii="Times New Roman" w:hAnsi="Times New Roman" w:cs="Times New Roman"/>
              </w:rPr>
              <w:t>0.733</w:t>
            </w:r>
          </w:p>
        </w:tc>
        <w:tc>
          <w:tcPr>
            <w:tcW w:w="1080" w:type="dxa"/>
            <w:tcBorders>
              <w:top w:val="nil"/>
              <w:left w:val="nil"/>
              <w:bottom w:val="nil"/>
              <w:right w:val="nil"/>
            </w:tcBorders>
            <w:noWrap w:val="0"/>
            <w:tcMar>
              <w:top w:w="-1" w:type="dxa"/>
              <w:left w:w="-1" w:type="dxa"/>
              <w:bottom w:w="-1" w:type="dxa"/>
              <w:right w:w="-1" w:type="dxa"/>
            </w:tcMar>
            <w:vAlign w:val="top"/>
          </w:tcPr>
          <w:p w14:paraId="10D3BA07">
            <w:pPr>
              <w:jc w:val="center"/>
              <w:rPr>
                <w:rFonts w:hint="default" w:ascii="Times New Roman" w:hAnsi="Times New Roman" w:cs="Times New Roman"/>
              </w:rPr>
            </w:pPr>
            <w:r>
              <w:rPr>
                <w:rFonts w:hint="default" w:ascii="Times New Roman" w:hAnsi="Times New Roman" w:cs="Times New Roman"/>
              </w:rPr>
              <w:t>No</w:t>
            </w:r>
          </w:p>
        </w:tc>
      </w:tr>
      <w:tr w14:paraId="7D881972">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CDF94FD">
            <w:pPr>
              <w:rPr>
                <w:rFonts w:hint="default" w:ascii="Times New Roman" w:hAnsi="Times New Roman" w:cs="Times New Roman"/>
              </w:rPr>
            </w:pPr>
            <w:r>
              <w:rPr>
                <w:rFonts w:hint="default" w:ascii="Times New Roman" w:hAnsi="Times New Roman" w:cs="Times New Roman"/>
              </w:rPr>
              <w:t>HDL</w:t>
            </w:r>
          </w:p>
        </w:tc>
        <w:tc>
          <w:tcPr>
            <w:tcW w:w="1080" w:type="dxa"/>
            <w:tcBorders>
              <w:top w:val="nil"/>
              <w:left w:val="nil"/>
              <w:bottom w:val="nil"/>
              <w:right w:val="nil"/>
            </w:tcBorders>
            <w:noWrap w:val="0"/>
            <w:tcMar>
              <w:top w:w="-1" w:type="dxa"/>
              <w:left w:w="-1" w:type="dxa"/>
              <w:bottom w:w="-1" w:type="dxa"/>
              <w:right w:w="-1" w:type="dxa"/>
            </w:tcMar>
            <w:vAlign w:val="top"/>
          </w:tcPr>
          <w:p w14:paraId="122DECB0">
            <w:pPr>
              <w:jc w:val="center"/>
              <w:rPr>
                <w:rFonts w:hint="default" w:ascii="Times New Roman" w:hAnsi="Times New Roman" w:cs="Times New Roman"/>
              </w:rPr>
            </w:pPr>
            <w:r>
              <w:rPr>
                <w:rFonts w:hint="default" w:ascii="Times New Roman" w:hAnsi="Times New Roman" w:cs="Times New Roman"/>
              </w:rPr>
              <w:t>56</w:t>
            </w:r>
          </w:p>
        </w:tc>
        <w:tc>
          <w:tcPr>
            <w:tcW w:w="1080" w:type="dxa"/>
            <w:tcBorders>
              <w:top w:val="nil"/>
              <w:left w:val="nil"/>
              <w:bottom w:val="nil"/>
              <w:right w:val="nil"/>
            </w:tcBorders>
            <w:noWrap w:val="0"/>
            <w:tcMar>
              <w:top w:w="-1" w:type="dxa"/>
              <w:left w:w="-1" w:type="dxa"/>
              <w:bottom w:w="-1" w:type="dxa"/>
              <w:right w:w="-1" w:type="dxa"/>
            </w:tcMar>
            <w:vAlign w:val="top"/>
          </w:tcPr>
          <w:p w14:paraId="75B95811">
            <w:pPr>
              <w:jc w:val="center"/>
              <w:rPr>
                <w:rFonts w:hint="default" w:ascii="Times New Roman" w:hAnsi="Times New Roman" w:cs="Times New Roman"/>
              </w:rPr>
            </w:pPr>
            <w:r>
              <w:rPr>
                <w:rFonts w:hint="default" w:ascii="Times New Roman" w:hAnsi="Times New Roman" w:cs="Times New Roman"/>
              </w:rPr>
              <w:t>70</w:t>
            </w:r>
          </w:p>
        </w:tc>
        <w:tc>
          <w:tcPr>
            <w:tcW w:w="1080" w:type="dxa"/>
            <w:tcBorders>
              <w:top w:val="nil"/>
              <w:left w:val="nil"/>
              <w:bottom w:val="nil"/>
              <w:right w:val="nil"/>
            </w:tcBorders>
            <w:noWrap w:val="0"/>
            <w:tcMar>
              <w:top w:w="-1" w:type="dxa"/>
              <w:left w:w="-1" w:type="dxa"/>
              <w:bottom w:w="-1" w:type="dxa"/>
              <w:right w:w="-1" w:type="dxa"/>
            </w:tcMar>
            <w:vAlign w:val="top"/>
          </w:tcPr>
          <w:p w14:paraId="4A5BF893">
            <w:pPr>
              <w:jc w:val="center"/>
              <w:rPr>
                <w:rFonts w:hint="default" w:ascii="Times New Roman" w:hAnsi="Times New Roman" w:cs="Times New Roman"/>
              </w:rPr>
            </w:pPr>
            <w:r>
              <w:rPr>
                <w:rFonts w:hint="default" w:ascii="Times New Roman" w:hAnsi="Times New Roman" w:cs="Times New Roman"/>
              </w:rPr>
              <w:t>0.84 ± 0.25</w:t>
            </w:r>
          </w:p>
        </w:tc>
        <w:tc>
          <w:tcPr>
            <w:tcW w:w="1080" w:type="dxa"/>
            <w:tcBorders>
              <w:top w:val="nil"/>
              <w:left w:val="nil"/>
              <w:bottom w:val="nil"/>
              <w:right w:val="nil"/>
            </w:tcBorders>
            <w:noWrap w:val="0"/>
            <w:tcMar>
              <w:top w:w="-1" w:type="dxa"/>
              <w:left w:w="-1" w:type="dxa"/>
              <w:bottom w:w="-1" w:type="dxa"/>
              <w:right w:w="-1" w:type="dxa"/>
            </w:tcMar>
            <w:vAlign w:val="top"/>
          </w:tcPr>
          <w:p w14:paraId="7E2C17EC">
            <w:pPr>
              <w:jc w:val="center"/>
              <w:rPr>
                <w:rFonts w:hint="default" w:ascii="Times New Roman" w:hAnsi="Times New Roman" w:cs="Times New Roman"/>
              </w:rPr>
            </w:pPr>
            <w:r>
              <w:rPr>
                <w:rFonts w:hint="default" w:ascii="Times New Roman" w:hAnsi="Times New Roman" w:cs="Times New Roman"/>
              </w:rPr>
              <w:t>0.82 ± 0.23</w:t>
            </w:r>
          </w:p>
        </w:tc>
        <w:tc>
          <w:tcPr>
            <w:tcW w:w="1080" w:type="dxa"/>
            <w:tcBorders>
              <w:top w:val="nil"/>
              <w:left w:val="nil"/>
              <w:bottom w:val="nil"/>
              <w:right w:val="nil"/>
            </w:tcBorders>
            <w:noWrap w:val="0"/>
            <w:tcMar>
              <w:top w:w="-1" w:type="dxa"/>
              <w:left w:w="-1" w:type="dxa"/>
              <w:bottom w:w="-1" w:type="dxa"/>
              <w:right w:w="-1" w:type="dxa"/>
            </w:tcMar>
            <w:vAlign w:val="top"/>
          </w:tcPr>
          <w:p w14:paraId="0C4F5005">
            <w:pPr>
              <w:jc w:val="center"/>
              <w:rPr>
                <w:rFonts w:hint="default" w:ascii="Times New Roman" w:hAnsi="Times New Roman" w:cs="Times New Roman"/>
              </w:rPr>
            </w:pPr>
            <w:r>
              <w:rPr>
                <w:rFonts w:hint="default" w:ascii="Times New Roman" w:hAnsi="Times New Roman" w:cs="Times New Roman"/>
              </w:rPr>
              <w:t>0.691</w:t>
            </w:r>
          </w:p>
        </w:tc>
        <w:tc>
          <w:tcPr>
            <w:tcW w:w="1080" w:type="dxa"/>
            <w:tcBorders>
              <w:top w:val="nil"/>
              <w:left w:val="nil"/>
              <w:bottom w:val="nil"/>
              <w:right w:val="nil"/>
            </w:tcBorders>
            <w:noWrap w:val="0"/>
            <w:tcMar>
              <w:top w:w="-1" w:type="dxa"/>
              <w:left w:w="-1" w:type="dxa"/>
              <w:bottom w:w="-1" w:type="dxa"/>
              <w:right w:w="-1" w:type="dxa"/>
            </w:tcMar>
            <w:vAlign w:val="top"/>
          </w:tcPr>
          <w:p w14:paraId="2451A318">
            <w:pPr>
              <w:jc w:val="center"/>
              <w:rPr>
                <w:rFonts w:hint="default" w:ascii="Times New Roman" w:hAnsi="Times New Roman" w:cs="Times New Roman"/>
              </w:rPr>
            </w:pPr>
            <w:r>
              <w:rPr>
                <w:rFonts w:hint="default" w:ascii="Times New Roman" w:hAnsi="Times New Roman" w:cs="Times New Roman"/>
              </w:rPr>
              <w:t>0.788</w:t>
            </w:r>
          </w:p>
        </w:tc>
        <w:tc>
          <w:tcPr>
            <w:tcW w:w="1080" w:type="dxa"/>
            <w:tcBorders>
              <w:top w:val="nil"/>
              <w:left w:val="nil"/>
              <w:bottom w:val="nil"/>
              <w:right w:val="nil"/>
            </w:tcBorders>
            <w:noWrap w:val="0"/>
            <w:tcMar>
              <w:top w:w="-1" w:type="dxa"/>
              <w:left w:w="-1" w:type="dxa"/>
              <w:bottom w:w="-1" w:type="dxa"/>
              <w:right w:w="-1" w:type="dxa"/>
            </w:tcMar>
            <w:vAlign w:val="top"/>
          </w:tcPr>
          <w:p w14:paraId="05AA0EF2">
            <w:pPr>
              <w:jc w:val="center"/>
              <w:rPr>
                <w:rFonts w:hint="default" w:ascii="Times New Roman" w:hAnsi="Times New Roman" w:cs="Times New Roman"/>
              </w:rPr>
            </w:pPr>
            <w:r>
              <w:rPr>
                <w:rFonts w:hint="default" w:ascii="Times New Roman" w:hAnsi="Times New Roman" w:cs="Times New Roman"/>
              </w:rPr>
              <w:t>No</w:t>
            </w:r>
          </w:p>
        </w:tc>
      </w:tr>
      <w:tr w14:paraId="6A39CF72">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5A094003">
            <w:pPr>
              <w:rPr>
                <w:rFonts w:hint="default" w:ascii="Times New Roman" w:hAnsi="Times New Roman" w:cs="Times New Roman"/>
              </w:rPr>
            </w:pPr>
            <w:r>
              <w:rPr>
                <w:rFonts w:hint="default" w:ascii="Times New Roman" w:hAnsi="Times New Roman" w:cs="Times New Roman"/>
              </w:rPr>
              <w:t>ALT</w:t>
            </w:r>
          </w:p>
        </w:tc>
        <w:tc>
          <w:tcPr>
            <w:tcW w:w="1080" w:type="dxa"/>
            <w:tcBorders>
              <w:top w:val="nil"/>
              <w:left w:val="nil"/>
              <w:bottom w:val="nil"/>
              <w:right w:val="nil"/>
            </w:tcBorders>
            <w:noWrap w:val="0"/>
            <w:tcMar>
              <w:top w:w="-1" w:type="dxa"/>
              <w:left w:w="-1" w:type="dxa"/>
              <w:bottom w:w="-1" w:type="dxa"/>
              <w:right w:w="-1" w:type="dxa"/>
            </w:tcMar>
            <w:vAlign w:val="top"/>
          </w:tcPr>
          <w:p w14:paraId="62D8D021">
            <w:pPr>
              <w:jc w:val="center"/>
              <w:rPr>
                <w:rFonts w:hint="default" w:ascii="Times New Roman" w:hAnsi="Times New Roman" w:cs="Times New Roman"/>
              </w:rPr>
            </w:pPr>
            <w:r>
              <w:rPr>
                <w:rFonts w:hint="default" w:ascii="Times New Roman" w:hAnsi="Times New Roman" w:cs="Times New Roman"/>
              </w:rPr>
              <w:t>88</w:t>
            </w:r>
          </w:p>
        </w:tc>
        <w:tc>
          <w:tcPr>
            <w:tcW w:w="1080" w:type="dxa"/>
            <w:tcBorders>
              <w:top w:val="nil"/>
              <w:left w:val="nil"/>
              <w:bottom w:val="nil"/>
              <w:right w:val="nil"/>
            </w:tcBorders>
            <w:noWrap w:val="0"/>
            <w:tcMar>
              <w:top w:w="-1" w:type="dxa"/>
              <w:left w:w="-1" w:type="dxa"/>
              <w:bottom w:w="-1" w:type="dxa"/>
              <w:right w:w="-1" w:type="dxa"/>
            </w:tcMar>
            <w:vAlign w:val="top"/>
          </w:tcPr>
          <w:p w14:paraId="10508562">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31D89911">
            <w:pPr>
              <w:jc w:val="center"/>
              <w:rPr>
                <w:rFonts w:hint="default" w:ascii="Times New Roman" w:hAnsi="Times New Roman" w:cs="Times New Roman"/>
              </w:rPr>
            </w:pPr>
            <w:r>
              <w:rPr>
                <w:rFonts w:hint="default" w:ascii="Times New Roman" w:hAnsi="Times New Roman" w:cs="Times New Roman"/>
              </w:rPr>
              <w:t>14.50 (11.00–21.25)</w:t>
            </w:r>
          </w:p>
        </w:tc>
        <w:tc>
          <w:tcPr>
            <w:tcW w:w="1080" w:type="dxa"/>
            <w:tcBorders>
              <w:top w:val="nil"/>
              <w:left w:val="nil"/>
              <w:bottom w:val="nil"/>
              <w:right w:val="nil"/>
            </w:tcBorders>
            <w:noWrap w:val="0"/>
            <w:tcMar>
              <w:top w:w="-1" w:type="dxa"/>
              <w:left w:w="-1" w:type="dxa"/>
              <w:bottom w:w="-1" w:type="dxa"/>
              <w:right w:w="-1" w:type="dxa"/>
            </w:tcMar>
            <w:vAlign w:val="top"/>
          </w:tcPr>
          <w:p w14:paraId="77097450">
            <w:pPr>
              <w:jc w:val="center"/>
              <w:rPr>
                <w:rFonts w:hint="default" w:ascii="Times New Roman" w:hAnsi="Times New Roman" w:cs="Times New Roman"/>
              </w:rPr>
            </w:pPr>
            <w:r>
              <w:rPr>
                <w:rFonts w:hint="default" w:ascii="Times New Roman" w:hAnsi="Times New Roman" w:cs="Times New Roman"/>
              </w:rPr>
              <w:t>14.50 (10.00–20.25)</w:t>
            </w:r>
          </w:p>
        </w:tc>
        <w:tc>
          <w:tcPr>
            <w:tcW w:w="1080" w:type="dxa"/>
            <w:tcBorders>
              <w:top w:val="nil"/>
              <w:left w:val="nil"/>
              <w:bottom w:val="nil"/>
              <w:right w:val="nil"/>
            </w:tcBorders>
            <w:noWrap w:val="0"/>
            <w:tcMar>
              <w:top w:w="-1" w:type="dxa"/>
              <w:left w:w="-1" w:type="dxa"/>
              <w:bottom w:w="-1" w:type="dxa"/>
              <w:right w:w="-1" w:type="dxa"/>
            </w:tcMar>
            <w:vAlign w:val="top"/>
          </w:tcPr>
          <w:p w14:paraId="787D6C0E">
            <w:pPr>
              <w:jc w:val="center"/>
              <w:rPr>
                <w:rFonts w:hint="default" w:ascii="Times New Roman" w:hAnsi="Times New Roman" w:cs="Times New Roman"/>
              </w:rPr>
            </w:pPr>
            <w:r>
              <w:rPr>
                <w:rFonts w:hint="default" w:ascii="Times New Roman" w:hAnsi="Times New Roman" w:cs="Times New Roman"/>
              </w:rPr>
              <w:t>0.767</w:t>
            </w:r>
          </w:p>
        </w:tc>
        <w:tc>
          <w:tcPr>
            <w:tcW w:w="1080" w:type="dxa"/>
            <w:tcBorders>
              <w:top w:val="nil"/>
              <w:left w:val="nil"/>
              <w:bottom w:val="nil"/>
              <w:right w:val="nil"/>
            </w:tcBorders>
            <w:noWrap w:val="0"/>
            <w:tcMar>
              <w:top w:w="-1" w:type="dxa"/>
              <w:left w:w="-1" w:type="dxa"/>
              <w:bottom w:w="-1" w:type="dxa"/>
              <w:right w:w="-1" w:type="dxa"/>
            </w:tcMar>
            <w:vAlign w:val="top"/>
          </w:tcPr>
          <w:p w14:paraId="5A3582FC">
            <w:pPr>
              <w:jc w:val="center"/>
              <w:rPr>
                <w:rFonts w:hint="default" w:ascii="Times New Roman" w:hAnsi="Times New Roman" w:cs="Times New Roman"/>
              </w:rPr>
            </w:pPr>
            <w:r>
              <w:rPr>
                <w:rFonts w:hint="default" w:ascii="Times New Roman" w:hAnsi="Times New Roman" w:cs="Times New Roman"/>
              </w:rPr>
              <w:t>0.858</w:t>
            </w:r>
          </w:p>
        </w:tc>
        <w:tc>
          <w:tcPr>
            <w:tcW w:w="1080" w:type="dxa"/>
            <w:tcBorders>
              <w:top w:val="nil"/>
              <w:left w:val="nil"/>
              <w:bottom w:val="nil"/>
              <w:right w:val="nil"/>
            </w:tcBorders>
            <w:noWrap w:val="0"/>
            <w:tcMar>
              <w:top w:w="-1" w:type="dxa"/>
              <w:left w:w="-1" w:type="dxa"/>
              <w:bottom w:w="-1" w:type="dxa"/>
              <w:right w:w="-1" w:type="dxa"/>
            </w:tcMar>
            <w:vAlign w:val="top"/>
          </w:tcPr>
          <w:p w14:paraId="75EEE453">
            <w:pPr>
              <w:jc w:val="center"/>
              <w:rPr>
                <w:rFonts w:hint="default" w:ascii="Times New Roman" w:hAnsi="Times New Roman" w:cs="Times New Roman"/>
              </w:rPr>
            </w:pPr>
            <w:r>
              <w:rPr>
                <w:rFonts w:hint="default" w:ascii="Times New Roman" w:hAnsi="Times New Roman" w:cs="Times New Roman"/>
              </w:rPr>
              <w:t>No</w:t>
            </w:r>
          </w:p>
        </w:tc>
      </w:tr>
      <w:tr w14:paraId="57BEADD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02F64191">
            <w:pPr>
              <w:rPr>
                <w:rFonts w:hint="default" w:ascii="Times New Roman" w:hAnsi="Times New Roman" w:cs="Times New Roman"/>
              </w:rPr>
            </w:pPr>
            <w:r>
              <w:rPr>
                <w:rFonts w:hint="default" w:ascii="Times New Roman" w:hAnsi="Times New Roman" w:cs="Times New Roman"/>
              </w:rPr>
              <w:t>peritoneal_KtV</w:t>
            </w:r>
          </w:p>
        </w:tc>
        <w:tc>
          <w:tcPr>
            <w:tcW w:w="1080" w:type="dxa"/>
            <w:tcBorders>
              <w:top w:val="nil"/>
              <w:left w:val="nil"/>
              <w:bottom w:val="nil"/>
              <w:right w:val="nil"/>
            </w:tcBorders>
            <w:noWrap w:val="0"/>
            <w:tcMar>
              <w:top w:w="-1" w:type="dxa"/>
              <w:left w:w="-1" w:type="dxa"/>
              <w:bottom w:w="-1" w:type="dxa"/>
              <w:right w:w="-1" w:type="dxa"/>
            </w:tcMar>
            <w:vAlign w:val="top"/>
          </w:tcPr>
          <w:p w14:paraId="7E985C0C">
            <w:pPr>
              <w:jc w:val="center"/>
              <w:rPr>
                <w:rFonts w:hint="default" w:ascii="Times New Roman" w:hAnsi="Times New Roman" w:cs="Times New Roman"/>
              </w:rPr>
            </w:pPr>
            <w:r>
              <w:rPr>
                <w:rFonts w:hint="default" w:ascii="Times New Roman" w:hAnsi="Times New Roman" w:cs="Times New Roman"/>
              </w:rPr>
              <w:t>74</w:t>
            </w:r>
          </w:p>
        </w:tc>
        <w:tc>
          <w:tcPr>
            <w:tcW w:w="1080" w:type="dxa"/>
            <w:tcBorders>
              <w:top w:val="nil"/>
              <w:left w:val="nil"/>
              <w:bottom w:val="nil"/>
              <w:right w:val="nil"/>
            </w:tcBorders>
            <w:noWrap w:val="0"/>
            <w:tcMar>
              <w:top w:w="-1" w:type="dxa"/>
              <w:left w:w="-1" w:type="dxa"/>
              <w:bottom w:w="-1" w:type="dxa"/>
              <w:right w:w="-1" w:type="dxa"/>
            </w:tcMar>
            <w:vAlign w:val="top"/>
          </w:tcPr>
          <w:p w14:paraId="0E5F45DE">
            <w:pPr>
              <w:jc w:val="center"/>
              <w:rPr>
                <w:rFonts w:hint="default" w:ascii="Times New Roman" w:hAnsi="Times New Roman" w:cs="Times New Roman"/>
              </w:rPr>
            </w:pPr>
            <w:r>
              <w:rPr>
                <w:rFonts w:hint="default" w:ascii="Times New Roman" w:hAnsi="Times New Roman" w:cs="Times New Roman"/>
              </w:rPr>
              <w:t>79</w:t>
            </w:r>
          </w:p>
        </w:tc>
        <w:tc>
          <w:tcPr>
            <w:tcW w:w="1080" w:type="dxa"/>
            <w:tcBorders>
              <w:top w:val="nil"/>
              <w:left w:val="nil"/>
              <w:bottom w:val="nil"/>
              <w:right w:val="nil"/>
            </w:tcBorders>
            <w:noWrap w:val="0"/>
            <w:tcMar>
              <w:top w:w="-1" w:type="dxa"/>
              <w:left w:w="-1" w:type="dxa"/>
              <w:bottom w:w="-1" w:type="dxa"/>
              <w:right w:w="-1" w:type="dxa"/>
            </w:tcMar>
            <w:vAlign w:val="top"/>
          </w:tcPr>
          <w:p w14:paraId="7D2B2AF3">
            <w:pPr>
              <w:jc w:val="center"/>
              <w:rPr>
                <w:rFonts w:hint="default" w:ascii="Times New Roman" w:hAnsi="Times New Roman" w:cs="Times New Roman"/>
              </w:rPr>
            </w:pPr>
            <w:r>
              <w:rPr>
                <w:rFonts w:hint="default" w:ascii="Times New Roman" w:hAnsi="Times New Roman" w:cs="Times New Roman"/>
              </w:rPr>
              <w:t>1.19 (1.02–1.42)</w:t>
            </w:r>
          </w:p>
        </w:tc>
        <w:tc>
          <w:tcPr>
            <w:tcW w:w="1080" w:type="dxa"/>
            <w:tcBorders>
              <w:top w:val="nil"/>
              <w:left w:val="nil"/>
              <w:bottom w:val="nil"/>
              <w:right w:val="nil"/>
            </w:tcBorders>
            <w:noWrap w:val="0"/>
            <w:tcMar>
              <w:top w:w="-1" w:type="dxa"/>
              <w:left w:w="-1" w:type="dxa"/>
              <w:bottom w:w="-1" w:type="dxa"/>
              <w:right w:w="-1" w:type="dxa"/>
            </w:tcMar>
            <w:vAlign w:val="top"/>
          </w:tcPr>
          <w:p w14:paraId="79613965">
            <w:pPr>
              <w:jc w:val="center"/>
              <w:rPr>
                <w:rFonts w:hint="default" w:ascii="Times New Roman" w:hAnsi="Times New Roman" w:cs="Times New Roman"/>
              </w:rPr>
            </w:pPr>
            <w:r>
              <w:rPr>
                <w:rFonts w:hint="default" w:ascii="Times New Roman" w:hAnsi="Times New Roman" w:cs="Times New Roman"/>
              </w:rPr>
              <w:t>1.24 (1.00–1.48)</w:t>
            </w:r>
          </w:p>
        </w:tc>
        <w:tc>
          <w:tcPr>
            <w:tcW w:w="1080" w:type="dxa"/>
            <w:tcBorders>
              <w:top w:val="nil"/>
              <w:left w:val="nil"/>
              <w:bottom w:val="nil"/>
              <w:right w:val="nil"/>
            </w:tcBorders>
            <w:noWrap w:val="0"/>
            <w:tcMar>
              <w:top w:w="-1" w:type="dxa"/>
              <w:left w:w="-1" w:type="dxa"/>
              <w:bottom w:w="-1" w:type="dxa"/>
              <w:right w:w="-1" w:type="dxa"/>
            </w:tcMar>
            <w:vAlign w:val="top"/>
          </w:tcPr>
          <w:p w14:paraId="23747F9C">
            <w:pPr>
              <w:jc w:val="center"/>
              <w:rPr>
                <w:rFonts w:hint="default" w:ascii="Times New Roman" w:hAnsi="Times New Roman" w:cs="Times New Roman"/>
              </w:rPr>
            </w:pPr>
            <w:r>
              <w:rPr>
                <w:rFonts w:hint="default" w:ascii="Times New Roman" w:hAnsi="Times New Roman" w:cs="Times New Roman"/>
              </w:rPr>
              <w:t>0.832</w:t>
            </w:r>
          </w:p>
        </w:tc>
        <w:tc>
          <w:tcPr>
            <w:tcW w:w="1080" w:type="dxa"/>
            <w:tcBorders>
              <w:top w:val="nil"/>
              <w:left w:val="nil"/>
              <w:bottom w:val="nil"/>
              <w:right w:val="nil"/>
            </w:tcBorders>
            <w:noWrap w:val="0"/>
            <w:tcMar>
              <w:top w:w="-1" w:type="dxa"/>
              <w:left w:w="-1" w:type="dxa"/>
              <w:bottom w:w="-1" w:type="dxa"/>
              <w:right w:w="-1" w:type="dxa"/>
            </w:tcMar>
            <w:vAlign w:val="top"/>
          </w:tcPr>
          <w:p w14:paraId="402932A8">
            <w:pPr>
              <w:jc w:val="center"/>
              <w:rPr>
                <w:rFonts w:hint="default" w:ascii="Times New Roman" w:hAnsi="Times New Roman" w:cs="Times New Roman"/>
              </w:rPr>
            </w:pPr>
            <w:r>
              <w:rPr>
                <w:rFonts w:hint="default" w:ascii="Times New Roman" w:hAnsi="Times New Roman" w:cs="Times New Roman"/>
              </w:rPr>
              <w:t>0.912</w:t>
            </w:r>
          </w:p>
        </w:tc>
        <w:tc>
          <w:tcPr>
            <w:tcW w:w="1080" w:type="dxa"/>
            <w:tcBorders>
              <w:top w:val="nil"/>
              <w:left w:val="nil"/>
              <w:bottom w:val="nil"/>
              <w:right w:val="nil"/>
            </w:tcBorders>
            <w:noWrap w:val="0"/>
            <w:tcMar>
              <w:top w:w="-1" w:type="dxa"/>
              <w:left w:w="-1" w:type="dxa"/>
              <w:bottom w:w="-1" w:type="dxa"/>
              <w:right w:w="-1" w:type="dxa"/>
            </w:tcMar>
            <w:vAlign w:val="top"/>
          </w:tcPr>
          <w:p w14:paraId="64D35D63">
            <w:pPr>
              <w:jc w:val="center"/>
              <w:rPr>
                <w:rFonts w:hint="default" w:ascii="Times New Roman" w:hAnsi="Times New Roman" w:cs="Times New Roman"/>
              </w:rPr>
            </w:pPr>
            <w:r>
              <w:rPr>
                <w:rFonts w:hint="default" w:ascii="Times New Roman" w:hAnsi="Times New Roman" w:cs="Times New Roman"/>
              </w:rPr>
              <w:t>No</w:t>
            </w:r>
          </w:p>
        </w:tc>
      </w:tr>
      <w:tr w14:paraId="3A298CF7">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7E194DBE">
            <w:pPr>
              <w:rPr>
                <w:rFonts w:hint="default" w:ascii="Times New Roman" w:hAnsi="Times New Roman" w:cs="Times New Roman"/>
              </w:rPr>
            </w:pPr>
            <w:r>
              <w:rPr>
                <w:rFonts w:hint="default" w:ascii="Times New Roman" w:hAnsi="Times New Roman" w:cs="Times New Roman"/>
              </w:rPr>
              <w:t>creatinine</w:t>
            </w:r>
          </w:p>
        </w:tc>
        <w:tc>
          <w:tcPr>
            <w:tcW w:w="1080" w:type="dxa"/>
            <w:tcBorders>
              <w:top w:val="nil"/>
              <w:left w:val="nil"/>
              <w:bottom w:val="nil"/>
              <w:right w:val="nil"/>
            </w:tcBorders>
            <w:noWrap w:val="0"/>
            <w:tcMar>
              <w:top w:w="-1" w:type="dxa"/>
              <w:left w:w="-1" w:type="dxa"/>
              <w:bottom w:w="-1" w:type="dxa"/>
              <w:right w:w="-1" w:type="dxa"/>
            </w:tcMar>
            <w:vAlign w:val="top"/>
          </w:tcPr>
          <w:p w14:paraId="3341E783">
            <w:pPr>
              <w:jc w:val="center"/>
              <w:rPr>
                <w:rFonts w:hint="default" w:ascii="Times New Roman" w:hAnsi="Times New Roman" w:cs="Times New Roman"/>
              </w:rPr>
            </w:pPr>
            <w:r>
              <w:rPr>
                <w:rFonts w:hint="default" w:ascii="Times New Roman" w:hAnsi="Times New Roman" w:cs="Times New Roman"/>
              </w:rPr>
              <w:t>89</w:t>
            </w:r>
          </w:p>
        </w:tc>
        <w:tc>
          <w:tcPr>
            <w:tcW w:w="1080" w:type="dxa"/>
            <w:tcBorders>
              <w:top w:val="nil"/>
              <w:left w:val="nil"/>
              <w:bottom w:val="nil"/>
              <w:right w:val="nil"/>
            </w:tcBorders>
            <w:noWrap w:val="0"/>
            <w:tcMar>
              <w:top w:w="-1" w:type="dxa"/>
              <w:left w:w="-1" w:type="dxa"/>
              <w:bottom w:w="-1" w:type="dxa"/>
              <w:right w:w="-1" w:type="dxa"/>
            </w:tcMar>
            <w:vAlign w:val="top"/>
          </w:tcPr>
          <w:p w14:paraId="44BBFCF7">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5888F27B">
            <w:pPr>
              <w:jc w:val="center"/>
              <w:rPr>
                <w:rFonts w:hint="default" w:ascii="Times New Roman" w:hAnsi="Times New Roman" w:cs="Times New Roman"/>
              </w:rPr>
            </w:pPr>
            <w:r>
              <w:rPr>
                <w:rFonts w:hint="default" w:ascii="Times New Roman" w:hAnsi="Times New Roman" w:cs="Times New Roman"/>
              </w:rPr>
              <w:t>818.80 (624.00–993.10)</w:t>
            </w:r>
          </w:p>
        </w:tc>
        <w:tc>
          <w:tcPr>
            <w:tcW w:w="1080" w:type="dxa"/>
            <w:tcBorders>
              <w:top w:val="nil"/>
              <w:left w:val="nil"/>
              <w:bottom w:val="nil"/>
              <w:right w:val="nil"/>
            </w:tcBorders>
            <w:noWrap w:val="0"/>
            <w:tcMar>
              <w:top w:w="-1" w:type="dxa"/>
              <w:left w:w="-1" w:type="dxa"/>
              <w:bottom w:w="-1" w:type="dxa"/>
              <w:right w:w="-1" w:type="dxa"/>
            </w:tcMar>
            <w:vAlign w:val="top"/>
          </w:tcPr>
          <w:p w14:paraId="1B8C97B1">
            <w:pPr>
              <w:jc w:val="center"/>
              <w:rPr>
                <w:rFonts w:hint="default" w:ascii="Times New Roman" w:hAnsi="Times New Roman" w:cs="Times New Roman"/>
              </w:rPr>
            </w:pPr>
            <w:r>
              <w:rPr>
                <w:rFonts w:hint="default" w:ascii="Times New Roman" w:hAnsi="Times New Roman" w:cs="Times New Roman"/>
              </w:rPr>
              <w:t>756.50 (583.25–1139.25)</w:t>
            </w:r>
          </w:p>
        </w:tc>
        <w:tc>
          <w:tcPr>
            <w:tcW w:w="1080" w:type="dxa"/>
            <w:tcBorders>
              <w:top w:val="nil"/>
              <w:left w:val="nil"/>
              <w:bottom w:val="nil"/>
              <w:right w:val="nil"/>
            </w:tcBorders>
            <w:noWrap w:val="0"/>
            <w:tcMar>
              <w:top w:w="-1" w:type="dxa"/>
              <w:left w:w="-1" w:type="dxa"/>
              <w:bottom w:w="-1" w:type="dxa"/>
              <w:right w:w="-1" w:type="dxa"/>
            </w:tcMar>
            <w:vAlign w:val="top"/>
          </w:tcPr>
          <w:p w14:paraId="08EB8D23">
            <w:pPr>
              <w:jc w:val="center"/>
              <w:rPr>
                <w:rFonts w:hint="default" w:ascii="Times New Roman" w:hAnsi="Times New Roman" w:cs="Times New Roman"/>
              </w:rPr>
            </w:pPr>
            <w:r>
              <w:rPr>
                <w:rFonts w:hint="default" w:ascii="Times New Roman" w:hAnsi="Times New Roman" w:cs="Times New Roman"/>
              </w:rPr>
              <w:t>0.863</w:t>
            </w:r>
          </w:p>
        </w:tc>
        <w:tc>
          <w:tcPr>
            <w:tcW w:w="1080" w:type="dxa"/>
            <w:tcBorders>
              <w:top w:val="nil"/>
              <w:left w:val="nil"/>
              <w:bottom w:val="nil"/>
              <w:right w:val="nil"/>
            </w:tcBorders>
            <w:noWrap w:val="0"/>
            <w:tcMar>
              <w:top w:w="-1" w:type="dxa"/>
              <w:left w:w="-1" w:type="dxa"/>
              <w:bottom w:w="-1" w:type="dxa"/>
              <w:right w:w="-1" w:type="dxa"/>
            </w:tcMar>
            <w:vAlign w:val="top"/>
          </w:tcPr>
          <w:p w14:paraId="5EBE5507">
            <w:pPr>
              <w:jc w:val="center"/>
              <w:rPr>
                <w:rFonts w:hint="default" w:ascii="Times New Roman" w:hAnsi="Times New Roman" w:cs="Times New Roman"/>
              </w:rPr>
            </w:pPr>
            <w:r>
              <w:rPr>
                <w:rFonts w:hint="default" w:ascii="Times New Roman" w:hAnsi="Times New Roman" w:cs="Times New Roman"/>
              </w:rPr>
              <w:t>0.912</w:t>
            </w:r>
          </w:p>
        </w:tc>
        <w:tc>
          <w:tcPr>
            <w:tcW w:w="1080" w:type="dxa"/>
            <w:tcBorders>
              <w:top w:val="nil"/>
              <w:left w:val="nil"/>
              <w:bottom w:val="nil"/>
              <w:right w:val="nil"/>
            </w:tcBorders>
            <w:noWrap w:val="0"/>
            <w:tcMar>
              <w:top w:w="-1" w:type="dxa"/>
              <w:left w:w="-1" w:type="dxa"/>
              <w:bottom w:w="-1" w:type="dxa"/>
              <w:right w:w="-1" w:type="dxa"/>
            </w:tcMar>
            <w:vAlign w:val="top"/>
          </w:tcPr>
          <w:p w14:paraId="55B594BD">
            <w:pPr>
              <w:jc w:val="center"/>
              <w:rPr>
                <w:rFonts w:hint="default" w:ascii="Times New Roman" w:hAnsi="Times New Roman" w:cs="Times New Roman"/>
              </w:rPr>
            </w:pPr>
            <w:r>
              <w:rPr>
                <w:rFonts w:hint="default" w:ascii="Times New Roman" w:hAnsi="Times New Roman" w:cs="Times New Roman"/>
              </w:rPr>
              <w:t>No</w:t>
            </w:r>
          </w:p>
        </w:tc>
      </w:tr>
      <w:tr w14:paraId="345E0F7E">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44067080">
            <w:pPr>
              <w:rPr>
                <w:rFonts w:hint="default" w:ascii="Times New Roman" w:hAnsi="Times New Roman" w:cs="Times New Roman"/>
              </w:rPr>
            </w:pPr>
            <w:r>
              <w:rPr>
                <w:rFonts w:hint="default" w:ascii="Times New Roman" w:hAnsi="Times New Roman" w:cs="Times New Roman"/>
              </w:rPr>
              <w:t>ALP</w:t>
            </w:r>
          </w:p>
        </w:tc>
        <w:tc>
          <w:tcPr>
            <w:tcW w:w="1080" w:type="dxa"/>
            <w:tcBorders>
              <w:top w:val="nil"/>
              <w:left w:val="nil"/>
              <w:bottom w:val="nil"/>
              <w:right w:val="nil"/>
            </w:tcBorders>
            <w:noWrap w:val="0"/>
            <w:tcMar>
              <w:top w:w="-1" w:type="dxa"/>
              <w:left w:w="-1" w:type="dxa"/>
              <w:bottom w:w="-1" w:type="dxa"/>
              <w:right w:w="-1" w:type="dxa"/>
            </w:tcMar>
            <w:vAlign w:val="top"/>
          </w:tcPr>
          <w:p w14:paraId="718B5B03">
            <w:pPr>
              <w:jc w:val="center"/>
              <w:rPr>
                <w:rFonts w:hint="default" w:ascii="Times New Roman" w:hAnsi="Times New Roman" w:cs="Times New Roman"/>
              </w:rPr>
            </w:pPr>
            <w:r>
              <w:rPr>
                <w:rFonts w:hint="default" w:ascii="Times New Roman" w:hAnsi="Times New Roman" w:cs="Times New Roman"/>
              </w:rPr>
              <w:t>86</w:t>
            </w:r>
          </w:p>
        </w:tc>
        <w:tc>
          <w:tcPr>
            <w:tcW w:w="1080" w:type="dxa"/>
            <w:tcBorders>
              <w:top w:val="nil"/>
              <w:left w:val="nil"/>
              <w:bottom w:val="nil"/>
              <w:right w:val="nil"/>
            </w:tcBorders>
            <w:noWrap w:val="0"/>
            <w:tcMar>
              <w:top w:w="-1" w:type="dxa"/>
              <w:left w:w="-1" w:type="dxa"/>
              <w:bottom w:w="-1" w:type="dxa"/>
              <w:right w:w="-1" w:type="dxa"/>
            </w:tcMar>
            <w:vAlign w:val="top"/>
          </w:tcPr>
          <w:p w14:paraId="3943B16A">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nil"/>
              <w:right w:val="nil"/>
            </w:tcBorders>
            <w:noWrap w:val="0"/>
            <w:tcMar>
              <w:top w:w="-1" w:type="dxa"/>
              <w:left w:w="-1" w:type="dxa"/>
              <w:bottom w:w="-1" w:type="dxa"/>
              <w:right w:w="-1" w:type="dxa"/>
            </w:tcMar>
            <w:vAlign w:val="top"/>
          </w:tcPr>
          <w:p w14:paraId="7DC8CF6C">
            <w:pPr>
              <w:jc w:val="center"/>
              <w:rPr>
                <w:rFonts w:hint="default" w:ascii="Times New Roman" w:hAnsi="Times New Roman" w:cs="Times New Roman"/>
              </w:rPr>
            </w:pPr>
            <w:r>
              <w:rPr>
                <w:rFonts w:hint="default" w:ascii="Times New Roman" w:hAnsi="Times New Roman" w:cs="Times New Roman"/>
              </w:rPr>
              <w:t>85.00 (65.00–113.75)</w:t>
            </w:r>
          </w:p>
        </w:tc>
        <w:tc>
          <w:tcPr>
            <w:tcW w:w="1080" w:type="dxa"/>
            <w:tcBorders>
              <w:top w:val="nil"/>
              <w:left w:val="nil"/>
              <w:bottom w:val="nil"/>
              <w:right w:val="nil"/>
            </w:tcBorders>
            <w:noWrap w:val="0"/>
            <w:tcMar>
              <w:top w:w="-1" w:type="dxa"/>
              <w:left w:w="-1" w:type="dxa"/>
              <w:bottom w:w="-1" w:type="dxa"/>
              <w:right w:w="-1" w:type="dxa"/>
            </w:tcMar>
            <w:vAlign w:val="top"/>
          </w:tcPr>
          <w:p w14:paraId="16E00D2C">
            <w:pPr>
              <w:jc w:val="center"/>
              <w:rPr>
                <w:rFonts w:hint="default" w:ascii="Times New Roman" w:hAnsi="Times New Roman" w:cs="Times New Roman"/>
              </w:rPr>
            </w:pPr>
            <w:r>
              <w:rPr>
                <w:rFonts w:hint="default" w:ascii="Times New Roman" w:hAnsi="Times New Roman" w:cs="Times New Roman"/>
              </w:rPr>
              <w:t>83.00 (62.50–101.50)</w:t>
            </w:r>
          </w:p>
        </w:tc>
        <w:tc>
          <w:tcPr>
            <w:tcW w:w="1080" w:type="dxa"/>
            <w:tcBorders>
              <w:top w:val="nil"/>
              <w:left w:val="nil"/>
              <w:bottom w:val="nil"/>
              <w:right w:val="nil"/>
            </w:tcBorders>
            <w:noWrap w:val="0"/>
            <w:tcMar>
              <w:top w:w="-1" w:type="dxa"/>
              <w:left w:w="-1" w:type="dxa"/>
              <w:bottom w:w="-1" w:type="dxa"/>
              <w:right w:w="-1" w:type="dxa"/>
            </w:tcMar>
            <w:vAlign w:val="top"/>
          </w:tcPr>
          <w:p w14:paraId="3DD30D25">
            <w:pPr>
              <w:jc w:val="center"/>
              <w:rPr>
                <w:rFonts w:hint="default" w:ascii="Times New Roman" w:hAnsi="Times New Roman" w:cs="Times New Roman"/>
              </w:rPr>
            </w:pPr>
            <w:r>
              <w:rPr>
                <w:rFonts w:hint="default" w:ascii="Times New Roman" w:hAnsi="Times New Roman" w:cs="Times New Roman"/>
              </w:rPr>
              <w:t>0.864</w:t>
            </w:r>
          </w:p>
        </w:tc>
        <w:tc>
          <w:tcPr>
            <w:tcW w:w="1080" w:type="dxa"/>
            <w:tcBorders>
              <w:top w:val="nil"/>
              <w:left w:val="nil"/>
              <w:bottom w:val="nil"/>
              <w:right w:val="nil"/>
            </w:tcBorders>
            <w:noWrap w:val="0"/>
            <w:tcMar>
              <w:top w:w="-1" w:type="dxa"/>
              <w:left w:w="-1" w:type="dxa"/>
              <w:bottom w:w="-1" w:type="dxa"/>
              <w:right w:w="-1" w:type="dxa"/>
            </w:tcMar>
            <w:vAlign w:val="top"/>
          </w:tcPr>
          <w:p w14:paraId="2E11DCE2">
            <w:pPr>
              <w:jc w:val="center"/>
              <w:rPr>
                <w:rFonts w:hint="default" w:ascii="Times New Roman" w:hAnsi="Times New Roman" w:cs="Times New Roman"/>
              </w:rPr>
            </w:pPr>
            <w:r>
              <w:rPr>
                <w:rFonts w:hint="default" w:ascii="Times New Roman" w:hAnsi="Times New Roman" w:cs="Times New Roman"/>
              </w:rPr>
              <w:t>0.912</w:t>
            </w:r>
          </w:p>
        </w:tc>
        <w:tc>
          <w:tcPr>
            <w:tcW w:w="1080" w:type="dxa"/>
            <w:tcBorders>
              <w:top w:val="nil"/>
              <w:left w:val="nil"/>
              <w:bottom w:val="nil"/>
              <w:right w:val="nil"/>
            </w:tcBorders>
            <w:noWrap w:val="0"/>
            <w:tcMar>
              <w:top w:w="-1" w:type="dxa"/>
              <w:left w:w="-1" w:type="dxa"/>
              <w:bottom w:w="-1" w:type="dxa"/>
              <w:right w:w="-1" w:type="dxa"/>
            </w:tcMar>
            <w:vAlign w:val="top"/>
          </w:tcPr>
          <w:p w14:paraId="7F62C1BC">
            <w:pPr>
              <w:jc w:val="center"/>
              <w:rPr>
                <w:rFonts w:hint="default" w:ascii="Times New Roman" w:hAnsi="Times New Roman" w:cs="Times New Roman"/>
              </w:rPr>
            </w:pPr>
            <w:r>
              <w:rPr>
                <w:rFonts w:hint="default" w:ascii="Times New Roman" w:hAnsi="Times New Roman" w:cs="Times New Roman"/>
              </w:rPr>
              <w:t>No</w:t>
            </w:r>
          </w:p>
        </w:tc>
      </w:tr>
      <w:tr w14:paraId="55E82409">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60235930">
            <w:pPr>
              <w:rPr>
                <w:rFonts w:hint="default" w:ascii="Times New Roman" w:hAnsi="Times New Roman" w:cs="Times New Roman"/>
              </w:rPr>
            </w:pPr>
            <w:r>
              <w:rPr>
                <w:rFonts w:hint="default" w:ascii="Times New Roman" w:hAnsi="Times New Roman" w:cs="Times New Roman"/>
              </w:rPr>
              <w:t>beta2mg</w:t>
            </w:r>
          </w:p>
        </w:tc>
        <w:tc>
          <w:tcPr>
            <w:tcW w:w="1080" w:type="dxa"/>
            <w:tcBorders>
              <w:top w:val="nil"/>
              <w:left w:val="nil"/>
              <w:bottom w:val="nil"/>
              <w:right w:val="nil"/>
            </w:tcBorders>
            <w:noWrap w:val="0"/>
            <w:tcMar>
              <w:top w:w="-1" w:type="dxa"/>
              <w:left w:w="-1" w:type="dxa"/>
              <w:bottom w:w="-1" w:type="dxa"/>
              <w:right w:w="-1" w:type="dxa"/>
            </w:tcMar>
            <w:vAlign w:val="top"/>
          </w:tcPr>
          <w:p w14:paraId="2A33120C">
            <w:pPr>
              <w:jc w:val="center"/>
              <w:rPr>
                <w:rFonts w:hint="default" w:ascii="Times New Roman" w:hAnsi="Times New Roman" w:cs="Times New Roman"/>
              </w:rPr>
            </w:pPr>
            <w:r>
              <w:rPr>
                <w:rFonts w:hint="default" w:ascii="Times New Roman" w:hAnsi="Times New Roman" w:cs="Times New Roman"/>
              </w:rPr>
              <w:t>29</w:t>
            </w:r>
          </w:p>
        </w:tc>
        <w:tc>
          <w:tcPr>
            <w:tcW w:w="1080" w:type="dxa"/>
            <w:tcBorders>
              <w:top w:val="nil"/>
              <w:left w:val="nil"/>
              <w:bottom w:val="nil"/>
              <w:right w:val="nil"/>
            </w:tcBorders>
            <w:noWrap w:val="0"/>
            <w:tcMar>
              <w:top w:w="-1" w:type="dxa"/>
              <w:left w:w="-1" w:type="dxa"/>
              <w:bottom w:w="-1" w:type="dxa"/>
              <w:right w:w="-1" w:type="dxa"/>
            </w:tcMar>
            <w:vAlign w:val="top"/>
          </w:tcPr>
          <w:p w14:paraId="3FD24C45">
            <w:pPr>
              <w:jc w:val="center"/>
              <w:rPr>
                <w:rFonts w:hint="default" w:ascii="Times New Roman" w:hAnsi="Times New Roman" w:cs="Times New Roman"/>
              </w:rPr>
            </w:pPr>
            <w:r>
              <w:rPr>
                <w:rFonts w:hint="default" w:ascii="Times New Roman" w:hAnsi="Times New Roman" w:cs="Times New Roman"/>
              </w:rPr>
              <w:t>44</w:t>
            </w:r>
          </w:p>
        </w:tc>
        <w:tc>
          <w:tcPr>
            <w:tcW w:w="1080" w:type="dxa"/>
            <w:tcBorders>
              <w:top w:val="nil"/>
              <w:left w:val="nil"/>
              <w:bottom w:val="nil"/>
              <w:right w:val="nil"/>
            </w:tcBorders>
            <w:noWrap w:val="0"/>
            <w:tcMar>
              <w:top w:w="-1" w:type="dxa"/>
              <w:left w:w="-1" w:type="dxa"/>
              <w:bottom w:w="-1" w:type="dxa"/>
              <w:right w:w="-1" w:type="dxa"/>
            </w:tcMar>
            <w:vAlign w:val="top"/>
          </w:tcPr>
          <w:p w14:paraId="45070B3A">
            <w:pPr>
              <w:jc w:val="center"/>
              <w:rPr>
                <w:rFonts w:hint="default" w:ascii="Times New Roman" w:hAnsi="Times New Roman" w:cs="Times New Roman"/>
              </w:rPr>
            </w:pPr>
            <w:r>
              <w:rPr>
                <w:rFonts w:hint="default" w:ascii="Times New Roman" w:hAnsi="Times New Roman" w:cs="Times New Roman"/>
              </w:rPr>
              <w:t>25.74 (20.21–30.19)</w:t>
            </w:r>
          </w:p>
        </w:tc>
        <w:tc>
          <w:tcPr>
            <w:tcW w:w="1080" w:type="dxa"/>
            <w:tcBorders>
              <w:top w:val="nil"/>
              <w:left w:val="nil"/>
              <w:bottom w:val="nil"/>
              <w:right w:val="nil"/>
            </w:tcBorders>
            <w:noWrap w:val="0"/>
            <w:tcMar>
              <w:top w:w="-1" w:type="dxa"/>
              <w:left w:w="-1" w:type="dxa"/>
              <w:bottom w:w="-1" w:type="dxa"/>
              <w:right w:w="-1" w:type="dxa"/>
            </w:tcMar>
            <w:vAlign w:val="top"/>
          </w:tcPr>
          <w:p w14:paraId="2DE2DFCC">
            <w:pPr>
              <w:jc w:val="center"/>
              <w:rPr>
                <w:rFonts w:hint="default" w:ascii="Times New Roman" w:hAnsi="Times New Roman" w:cs="Times New Roman"/>
              </w:rPr>
            </w:pPr>
            <w:r>
              <w:rPr>
                <w:rFonts w:hint="default" w:ascii="Times New Roman" w:hAnsi="Times New Roman" w:cs="Times New Roman"/>
              </w:rPr>
              <w:t>24.95 (18.58–36.67)</w:t>
            </w:r>
          </w:p>
        </w:tc>
        <w:tc>
          <w:tcPr>
            <w:tcW w:w="1080" w:type="dxa"/>
            <w:tcBorders>
              <w:top w:val="nil"/>
              <w:left w:val="nil"/>
              <w:bottom w:val="nil"/>
              <w:right w:val="nil"/>
            </w:tcBorders>
            <w:noWrap w:val="0"/>
            <w:tcMar>
              <w:top w:w="-1" w:type="dxa"/>
              <w:left w:w="-1" w:type="dxa"/>
              <w:bottom w:w="-1" w:type="dxa"/>
              <w:right w:w="-1" w:type="dxa"/>
            </w:tcMar>
            <w:vAlign w:val="top"/>
          </w:tcPr>
          <w:p w14:paraId="78E0265F">
            <w:pPr>
              <w:jc w:val="center"/>
              <w:rPr>
                <w:rFonts w:hint="default" w:ascii="Times New Roman" w:hAnsi="Times New Roman" w:cs="Times New Roman"/>
              </w:rPr>
            </w:pPr>
            <w:r>
              <w:rPr>
                <w:rFonts w:hint="default" w:ascii="Times New Roman" w:hAnsi="Times New Roman" w:cs="Times New Roman"/>
              </w:rPr>
              <w:t>0.924</w:t>
            </w:r>
          </w:p>
        </w:tc>
        <w:tc>
          <w:tcPr>
            <w:tcW w:w="1080" w:type="dxa"/>
            <w:tcBorders>
              <w:top w:val="nil"/>
              <w:left w:val="nil"/>
              <w:bottom w:val="nil"/>
              <w:right w:val="nil"/>
            </w:tcBorders>
            <w:noWrap w:val="0"/>
            <w:tcMar>
              <w:top w:w="-1" w:type="dxa"/>
              <w:left w:w="-1" w:type="dxa"/>
              <w:bottom w:w="-1" w:type="dxa"/>
              <w:right w:w="-1" w:type="dxa"/>
            </w:tcMar>
            <w:vAlign w:val="top"/>
          </w:tcPr>
          <w:p w14:paraId="05299BBB">
            <w:pPr>
              <w:jc w:val="center"/>
              <w:rPr>
                <w:rFonts w:hint="default" w:ascii="Times New Roman" w:hAnsi="Times New Roman" w:cs="Times New Roman"/>
              </w:rPr>
            </w:pPr>
            <w:r>
              <w:rPr>
                <w:rFonts w:hint="default" w:ascii="Times New Roman" w:hAnsi="Times New Roman" w:cs="Times New Roman"/>
              </w:rPr>
              <w:t>0.939</w:t>
            </w:r>
          </w:p>
        </w:tc>
        <w:tc>
          <w:tcPr>
            <w:tcW w:w="1080" w:type="dxa"/>
            <w:tcBorders>
              <w:top w:val="nil"/>
              <w:left w:val="nil"/>
              <w:bottom w:val="nil"/>
              <w:right w:val="nil"/>
            </w:tcBorders>
            <w:noWrap w:val="0"/>
            <w:tcMar>
              <w:top w:w="-1" w:type="dxa"/>
              <w:left w:w="-1" w:type="dxa"/>
              <w:bottom w:w="-1" w:type="dxa"/>
              <w:right w:w="-1" w:type="dxa"/>
            </w:tcMar>
            <w:vAlign w:val="top"/>
          </w:tcPr>
          <w:p w14:paraId="19B62056">
            <w:pPr>
              <w:jc w:val="center"/>
              <w:rPr>
                <w:rFonts w:hint="default" w:ascii="Times New Roman" w:hAnsi="Times New Roman" w:cs="Times New Roman"/>
              </w:rPr>
            </w:pPr>
            <w:r>
              <w:rPr>
                <w:rFonts w:hint="default" w:ascii="Times New Roman" w:hAnsi="Times New Roman" w:cs="Times New Roman"/>
              </w:rPr>
              <w:t>No</w:t>
            </w:r>
          </w:p>
        </w:tc>
      </w:tr>
      <w:tr w14:paraId="74AC73C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nil"/>
              <w:right w:val="nil"/>
            </w:tcBorders>
            <w:noWrap w:val="0"/>
            <w:tcMar>
              <w:top w:w="-1" w:type="dxa"/>
              <w:left w:w="-1" w:type="dxa"/>
              <w:bottom w:w="-1" w:type="dxa"/>
              <w:right w:w="-1" w:type="dxa"/>
            </w:tcMar>
            <w:vAlign w:val="top"/>
          </w:tcPr>
          <w:p w14:paraId="1B39451A">
            <w:pPr>
              <w:rPr>
                <w:rFonts w:hint="default" w:ascii="Times New Roman" w:hAnsi="Times New Roman" w:cs="Times New Roman"/>
              </w:rPr>
            </w:pPr>
            <w:r>
              <w:rPr>
                <w:rFonts w:hint="default" w:ascii="Times New Roman" w:hAnsi="Times New Roman" w:cs="Times New Roman"/>
              </w:rPr>
              <w:t>Lpa</w:t>
            </w:r>
          </w:p>
        </w:tc>
        <w:tc>
          <w:tcPr>
            <w:tcW w:w="1080" w:type="dxa"/>
            <w:tcBorders>
              <w:top w:val="nil"/>
              <w:left w:val="nil"/>
              <w:bottom w:val="nil"/>
              <w:right w:val="nil"/>
            </w:tcBorders>
            <w:noWrap w:val="0"/>
            <w:tcMar>
              <w:top w:w="-1" w:type="dxa"/>
              <w:left w:w="-1" w:type="dxa"/>
              <w:bottom w:w="-1" w:type="dxa"/>
              <w:right w:w="-1" w:type="dxa"/>
            </w:tcMar>
            <w:vAlign w:val="top"/>
          </w:tcPr>
          <w:p w14:paraId="319C8DA2">
            <w:pPr>
              <w:jc w:val="center"/>
              <w:rPr>
                <w:rFonts w:hint="default" w:ascii="Times New Roman" w:hAnsi="Times New Roman" w:cs="Times New Roman"/>
              </w:rPr>
            </w:pPr>
            <w:r>
              <w:rPr>
                <w:rFonts w:hint="default" w:ascii="Times New Roman" w:hAnsi="Times New Roman" w:cs="Times New Roman"/>
              </w:rPr>
              <w:t>52</w:t>
            </w:r>
          </w:p>
        </w:tc>
        <w:tc>
          <w:tcPr>
            <w:tcW w:w="1080" w:type="dxa"/>
            <w:tcBorders>
              <w:top w:val="nil"/>
              <w:left w:val="nil"/>
              <w:bottom w:val="nil"/>
              <w:right w:val="nil"/>
            </w:tcBorders>
            <w:noWrap w:val="0"/>
            <w:tcMar>
              <w:top w:w="-1" w:type="dxa"/>
              <w:left w:w="-1" w:type="dxa"/>
              <w:bottom w:w="-1" w:type="dxa"/>
              <w:right w:w="-1" w:type="dxa"/>
            </w:tcMar>
            <w:vAlign w:val="top"/>
          </w:tcPr>
          <w:p w14:paraId="51760A91">
            <w:pPr>
              <w:jc w:val="center"/>
              <w:rPr>
                <w:rFonts w:hint="default" w:ascii="Times New Roman" w:hAnsi="Times New Roman" w:cs="Times New Roman"/>
              </w:rPr>
            </w:pPr>
            <w:r>
              <w:rPr>
                <w:rFonts w:hint="default" w:ascii="Times New Roman" w:hAnsi="Times New Roman" w:cs="Times New Roman"/>
              </w:rPr>
              <w:t>69</w:t>
            </w:r>
          </w:p>
        </w:tc>
        <w:tc>
          <w:tcPr>
            <w:tcW w:w="1080" w:type="dxa"/>
            <w:tcBorders>
              <w:top w:val="nil"/>
              <w:left w:val="nil"/>
              <w:bottom w:val="nil"/>
              <w:right w:val="nil"/>
            </w:tcBorders>
            <w:noWrap w:val="0"/>
            <w:tcMar>
              <w:top w:w="-1" w:type="dxa"/>
              <w:left w:w="-1" w:type="dxa"/>
              <w:bottom w:w="-1" w:type="dxa"/>
              <w:right w:w="-1" w:type="dxa"/>
            </w:tcMar>
            <w:vAlign w:val="top"/>
          </w:tcPr>
          <w:p w14:paraId="33A0BBC3">
            <w:pPr>
              <w:jc w:val="center"/>
              <w:rPr>
                <w:rFonts w:hint="default" w:ascii="Times New Roman" w:hAnsi="Times New Roman" w:cs="Times New Roman"/>
              </w:rPr>
            </w:pPr>
            <w:r>
              <w:rPr>
                <w:rFonts w:hint="default" w:ascii="Times New Roman" w:hAnsi="Times New Roman" w:cs="Times New Roman"/>
              </w:rPr>
              <w:t>24.50 (13.65–34.83)</w:t>
            </w:r>
          </w:p>
        </w:tc>
        <w:tc>
          <w:tcPr>
            <w:tcW w:w="1080" w:type="dxa"/>
            <w:tcBorders>
              <w:top w:val="nil"/>
              <w:left w:val="nil"/>
              <w:bottom w:val="nil"/>
              <w:right w:val="nil"/>
            </w:tcBorders>
            <w:noWrap w:val="0"/>
            <w:tcMar>
              <w:top w:w="-1" w:type="dxa"/>
              <w:left w:w="-1" w:type="dxa"/>
              <w:bottom w:w="-1" w:type="dxa"/>
              <w:right w:w="-1" w:type="dxa"/>
            </w:tcMar>
            <w:vAlign w:val="top"/>
          </w:tcPr>
          <w:p w14:paraId="092001CA">
            <w:pPr>
              <w:jc w:val="center"/>
              <w:rPr>
                <w:rFonts w:hint="default" w:ascii="Times New Roman" w:hAnsi="Times New Roman" w:cs="Times New Roman"/>
              </w:rPr>
            </w:pPr>
            <w:r>
              <w:rPr>
                <w:rFonts w:hint="default" w:ascii="Times New Roman" w:hAnsi="Times New Roman" w:cs="Times New Roman"/>
              </w:rPr>
              <w:t>20.90 (12.60–41.00)</w:t>
            </w:r>
          </w:p>
        </w:tc>
        <w:tc>
          <w:tcPr>
            <w:tcW w:w="1080" w:type="dxa"/>
            <w:tcBorders>
              <w:top w:val="nil"/>
              <w:left w:val="nil"/>
              <w:bottom w:val="nil"/>
              <w:right w:val="nil"/>
            </w:tcBorders>
            <w:noWrap w:val="0"/>
            <w:tcMar>
              <w:top w:w="-1" w:type="dxa"/>
              <w:left w:w="-1" w:type="dxa"/>
              <w:bottom w:w="-1" w:type="dxa"/>
              <w:right w:w="-1" w:type="dxa"/>
            </w:tcMar>
            <w:vAlign w:val="top"/>
          </w:tcPr>
          <w:p w14:paraId="08BBAAAB">
            <w:pPr>
              <w:jc w:val="center"/>
              <w:rPr>
                <w:rFonts w:hint="default" w:ascii="Times New Roman" w:hAnsi="Times New Roman" w:cs="Times New Roman"/>
              </w:rPr>
            </w:pPr>
            <w:r>
              <w:rPr>
                <w:rFonts w:hint="default" w:ascii="Times New Roman" w:hAnsi="Times New Roman" w:cs="Times New Roman"/>
              </w:rPr>
              <w:t>0.933</w:t>
            </w:r>
          </w:p>
        </w:tc>
        <w:tc>
          <w:tcPr>
            <w:tcW w:w="1080" w:type="dxa"/>
            <w:tcBorders>
              <w:top w:val="nil"/>
              <w:left w:val="nil"/>
              <w:bottom w:val="nil"/>
              <w:right w:val="nil"/>
            </w:tcBorders>
            <w:noWrap w:val="0"/>
            <w:tcMar>
              <w:top w:w="-1" w:type="dxa"/>
              <w:left w:w="-1" w:type="dxa"/>
              <w:bottom w:w="-1" w:type="dxa"/>
              <w:right w:w="-1" w:type="dxa"/>
            </w:tcMar>
            <w:vAlign w:val="top"/>
          </w:tcPr>
          <w:p w14:paraId="0D2E8E91">
            <w:pPr>
              <w:jc w:val="center"/>
              <w:rPr>
                <w:rFonts w:hint="default" w:ascii="Times New Roman" w:hAnsi="Times New Roman" w:cs="Times New Roman"/>
              </w:rPr>
            </w:pPr>
            <w:r>
              <w:rPr>
                <w:rFonts w:hint="default" w:ascii="Times New Roman" w:hAnsi="Times New Roman" w:cs="Times New Roman"/>
              </w:rPr>
              <w:t>0.939</w:t>
            </w:r>
          </w:p>
        </w:tc>
        <w:tc>
          <w:tcPr>
            <w:tcW w:w="1080" w:type="dxa"/>
            <w:tcBorders>
              <w:top w:val="nil"/>
              <w:left w:val="nil"/>
              <w:bottom w:val="nil"/>
              <w:right w:val="nil"/>
            </w:tcBorders>
            <w:noWrap w:val="0"/>
            <w:tcMar>
              <w:top w:w="-1" w:type="dxa"/>
              <w:left w:w="-1" w:type="dxa"/>
              <w:bottom w:w="-1" w:type="dxa"/>
              <w:right w:w="-1" w:type="dxa"/>
            </w:tcMar>
            <w:vAlign w:val="top"/>
          </w:tcPr>
          <w:p w14:paraId="55A5AA2A">
            <w:pPr>
              <w:jc w:val="center"/>
              <w:rPr>
                <w:rFonts w:hint="default" w:ascii="Times New Roman" w:hAnsi="Times New Roman" w:cs="Times New Roman"/>
              </w:rPr>
            </w:pPr>
            <w:r>
              <w:rPr>
                <w:rFonts w:hint="default" w:ascii="Times New Roman" w:hAnsi="Times New Roman" w:cs="Times New Roman"/>
              </w:rPr>
              <w:t>No</w:t>
            </w:r>
          </w:p>
        </w:tc>
      </w:tr>
      <w:tr w14:paraId="49F15DA8">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22F467C3">
            <w:pPr>
              <w:rPr>
                <w:rFonts w:hint="default" w:ascii="Times New Roman" w:hAnsi="Times New Roman" w:cs="Times New Roman"/>
              </w:rPr>
            </w:pPr>
            <w:r>
              <w:rPr>
                <w:rFonts w:hint="default" w:ascii="Times New Roman" w:hAnsi="Times New Roman" w:cs="Times New Roman"/>
              </w:rPr>
              <w:t>sex</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5F5A9E6D">
            <w:pPr>
              <w:jc w:val="center"/>
              <w:rPr>
                <w:rFonts w:hint="default" w:ascii="Times New Roman" w:hAnsi="Times New Roman" w:cs="Times New Roman"/>
              </w:rPr>
            </w:pPr>
            <w:r>
              <w:rPr>
                <w:rFonts w:hint="default" w:ascii="Times New Roman" w:hAnsi="Times New Roman" w:cs="Times New Roman"/>
              </w:rPr>
              <w:t>84</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42A325F5">
            <w:pPr>
              <w:jc w:val="center"/>
              <w:rPr>
                <w:rFonts w:hint="default" w:ascii="Times New Roman" w:hAnsi="Times New Roman" w:cs="Times New Roman"/>
              </w:rPr>
            </w:pPr>
            <w:r>
              <w:rPr>
                <w:rFonts w:hint="default" w:ascii="Times New Roman" w:hAnsi="Times New Roman" w:cs="Times New Roman"/>
              </w:rPr>
              <w:t>80</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03C7C81D">
            <w:pPr>
              <w:jc w:val="center"/>
              <w:rPr>
                <w:rFonts w:hint="default" w:ascii="Times New Roman" w:hAnsi="Times New Roman" w:cs="Times New Roman"/>
              </w:rPr>
            </w:pPr>
            <w:r>
              <w:rPr>
                <w:rFonts w:hint="default" w:ascii="Times New Roman" w:hAnsi="Times New Roman" w:cs="Times New Roman"/>
              </w:rPr>
              <w:t>53/84 (63.1%)</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1C7B6CAB">
            <w:pPr>
              <w:jc w:val="center"/>
              <w:rPr>
                <w:rFonts w:hint="default" w:ascii="Times New Roman" w:hAnsi="Times New Roman" w:cs="Times New Roman"/>
              </w:rPr>
            </w:pPr>
            <w:r>
              <w:rPr>
                <w:rFonts w:hint="default" w:ascii="Times New Roman" w:hAnsi="Times New Roman" w:cs="Times New Roman"/>
              </w:rPr>
              <w:t>50/80 (62.5%)</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15DDB421">
            <w:pPr>
              <w:jc w:val="center"/>
              <w:rPr>
                <w:rFonts w:hint="default" w:ascii="Times New Roman" w:hAnsi="Times New Roman" w:cs="Times New Roman"/>
              </w:rPr>
            </w:pPr>
            <w:r>
              <w:rPr>
                <w:rFonts w:hint="default" w:ascii="Times New Roman" w:hAnsi="Times New Roman" w:cs="Times New Roman"/>
              </w:rPr>
              <w:t>1.000</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1272A70B">
            <w:pPr>
              <w:jc w:val="center"/>
              <w:rPr>
                <w:rFonts w:hint="default" w:ascii="Times New Roman" w:hAnsi="Times New Roman" w:cs="Times New Roman"/>
              </w:rPr>
            </w:pPr>
            <w:r>
              <w:rPr>
                <w:rFonts w:hint="default" w:ascii="Times New Roman" w:hAnsi="Times New Roman" w:cs="Times New Roman"/>
              </w:rPr>
              <w:t>1.000</w:t>
            </w:r>
          </w:p>
        </w:tc>
        <w:tc>
          <w:tcPr>
            <w:tcW w:w="1080" w:type="dxa"/>
            <w:tcBorders>
              <w:top w:val="nil"/>
              <w:left w:val="nil"/>
              <w:bottom w:val="single" w:color="auto" w:sz="12" w:space="0"/>
              <w:right w:val="nil"/>
            </w:tcBorders>
            <w:noWrap w:val="0"/>
            <w:tcMar>
              <w:top w:w="-1" w:type="dxa"/>
              <w:left w:w="-1" w:type="dxa"/>
              <w:bottom w:w="-1" w:type="dxa"/>
              <w:right w:w="-1" w:type="dxa"/>
            </w:tcMar>
            <w:vAlign w:val="top"/>
          </w:tcPr>
          <w:p w14:paraId="20A8D08E">
            <w:pPr>
              <w:jc w:val="center"/>
              <w:rPr>
                <w:rFonts w:hint="default" w:ascii="Times New Roman" w:hAnsi="Times New Roman" w:cs="Times New Roman"/>
              </w:rPr>
            </w:pPr>
            <w:r>
              <w:rPr>
                <w:rFonts w:hint="default" w:ascii="Times New Roman" w:hAnsi="Times New Roman" w:cs="Times New Roman"/>
              </w:rPr>
              <w:t>No</w:t>
            </w:r>
          </w:p>
        </w:tc>
      </w:tr>
    </w:tbl>
    <w:p w14:paraId="7BD4231B">
      <w:pPr>
        <w:spacing w:after="60"/>
        <w:rPr>
          <w:rFonts w:hint="default" w:ascii="Times New Roman" w:hAnsi="Times New Roman" w:cs="Times New Roman"/>
        </w:rPr>
      </w:pPr>
    </w:p>
    <w:p w14:paraId="20A3EA88">
      <w:pPr>
        <w:spacing w:after="240"/>
        <w:rPr>
          <w:rFonts w:hint="default" w:ascii="Times New Roman" w:hAnsi="Times New Roman" w:cs="Times New Roman"/>
          <w:sz w:val="24"/>
          <w:szCs w:val="24"/>
        </w:rPr>
      </w:pPr>
      <w:r>
        <w:rPr>
          <w:rFonts w:hint="default" w:ascii="Times New Roman" w:hAnsi="Times New Roman" w:eastAsia="宋体" w:cs="Times New Roman"/>
          <w:b w:val="0"/>
          <w:sz w:val="24"/>
          <w:szCs w:val="24"/>
        </w:rPr>
        <w:t>FDR = false discovery rate; Sig. = significant after Benjamini–Hochberg correction (q &lt; 0.05). All statistics derive from the same de-identified analysis dataset (170 observations; Data File S5, deposited at Zenodo, DOI: 10.5281/zenodo.22816756) and are reproducible with Supplementary File S6, retaining the per-group presentation rule for screening purposes: values are mean ± SD (sample SD, n–1) when the Shapiro–Wilk test indicates approximate normality within that group (P &gt; 0.05) and median (IQR) with linear-interpolation quantiles otherwise; Mann–Whitney U tests were used for between-group comparisons of continuous variables, and Fisher’s exact test for sex (the only categorical screening variable; Table 1 shows sex as frequencies). For variables shared with Table 1 the underlying summaries are identical, but Table 1 presents all continuous variables as median (IQR) for both groups. Residual renal Ccr is reported here in L/week/1.73 m² (same unit as Table 1; see File S7, Note b). The unit of sdLDL is not stated in the laboratory export, so its values are shown as recorded (the implausible value 37,307 was set to missing; File S7, Section 6); the values are therefore presented for between-group relative comparison only and should not be interpreted against absolute clinical thresholds.</w:t>
      </w:r>
    </w:p>
    <w:p w14:paraId="38EFD276">
      <w:pPr>
        <w:spacing w:after="120"/>
        <w:rPr>
          <w:rFonts w:hint="default" w:ascii="Times New Roman" w:hAnsi="Times New Roman" w:cs="Times New Roman"/>
          <w:sz w:val="24"/>
          <w:szCs w:val="24"/>
        </w:rPr>
      </w:pPr>
      <w:r>
        <w:rPr>
          <w:rFonts w:hint="default" w:ascii="Times New Roman" w:hAnsi="Times New Roman" w:eastAsia="宋体" w:cs="Times New Roman"/>
          <w:b/>
          <w:sz w:val="24"/>
          <w:szCs w:val="24"/>
        </w:rPr>
        <w:t>Supplementary Table S2. Pathogen spectrum in 86 PDAP episodes with culture results</w:t>
      </w:r>
    </w:p>
    <w:tbl>
      <w:tblPr>
        <w:tblStyle w:val="32"/>
        <w:tblW w:w="0" w:type="auto"/>
        <w:jc w:val="center"/>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Layout w:type="autofit"/>
        <w:tblCellMar>
          <w:top w:w="0" w:type="dxa"/>
          <w:left w:w="108" w:type="dxa"/>
          <w:bottom w:w="0" w:type="dxa"/>
          <w:right w:w="108" w:type="dxa"/>
        </w:tblCellMar>
      </w:tblPr>
      <w:tblGrid>
        <w:gridCol w:w="4320"/>
        <w:gridCol w:w="4320"/>
      </w:tblGrid>
      <w:tr w14:paraId="7E14121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single" w:color="auto" w:sz="12" w:space="0"/>
              <w:left w:val="nil"/>
              <w:bottom w:val="nil"/>
              <w:right w:val="nil"/>
            </w:tcBorders>
            <w:noWrap w:val="0"/>
            <w:tcMar>
              <w:top w:w="-1" w:type="dxa"/>
              <w:left w:w="-1" w:type="dxa"/>
              <w:bottom w:w="-1" w:type="dxa"/>
              <w:right w:w="-1" w:type="dxa"/>
            </w:tcMar>
            <w:vAlign w:val="top"/>
          </w:tcPr>
          <w:p w14:paraId="717C2757">
            <w:pPr>
              <w:rPr>
                <w:rFonts w:hint="default" w:ascii="Times New Roman" w:hAnsi="Times New Roman" w:cs="Times New Roman"/>
              </w:rPr>
            </w:pPr>
            <w:r>
              <w:rPr>
                <w:rFonts w:hint="default" w:ascii="Times New Roman" w:hAnsi="Times New Roman" w:eastAsia="宋体" w:cs="Times New Roman"/>
                <w:b/>
                <w:sz w:val="18"/>
              </w:rPr>
              <w:t>Category</w:t>
            </w:r>
          </w:p>
        </w:tc>
        <w:tc>
          <w:tcPr>
            <w:tcW w:w="4320" w:type="dxa"/>
            <w:tcBorders>
              <w:top w:val="single" w:color="auto" w:sz="12" w:space="0"/>
              <w:left w:val="nil"/>
              <w:bottom w:val="nil"/>
              <w:right w:val="nil"/>
            </w:tcBorders>
            <w:noWrap w:val="0"/>
            <w:tcMar>
              <w:top w:w="-1" w:type="dxa"/>
              <w:left w:w="-1" w:type="dxa"/>
              <w:bottom w:w="-1" w:type="dxa"/>
              <w:right w:w="-1" w:type="dxa"/>
            </w:tcMar>
            <w:vAlign w:val="top"/>
          </w:tcPr>
          <w:p w14:paraId="34B2BB5A">
            <w:pPr>
              <w:jc w:val="center"/>
              <w:rPr>
                <w:rFonts w:hint="default" w:ascii="Times New Roman" w:hAnsi="Times New Roman" w:cs="Times New Roman"/>
              </w:rPr>
            </w:pPr>
            <w:r>
              <w:rPr>
                <w:rFonts w:hint="default" w:ascii="Times New Roman" w:hAnsi="Times New Roman" w:eastAsia="宋体" w:cs="Times New Roman"/>
                <w:b/>
                <w:sz w:val="18"/>
              </w:rPr>
              <w:t>N (%)</w:t>
            </w:r>
          </w:p>
        </w:tc>
      </w:tr>
      <w:tr w14:paraId="541AAB7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single" w:color="auto" w:sz="4" w:space="0"/>
              <w:left w:val="nil"/>
              <w:bottom w:val="nil"/>
              <w:right w:val="nil"/>
            </w:tcBorders>
            <w:noWrap w:val="0"/>
            <w:tcMar>
              <w:top w:w="-1" w:type="dxa"/>
              <w:left w:w="-1" w:type="dxa"/>
              <w:bottom w:w="-1" w:type="dxa"/>
              <w:right w:w="-1" w:type="dxa"/>
            </w:tcMar>
            <w:vAlign w:val="top"/>
          </w:tcPr>
          <w:p w14:paraId="2172F43D">
            <w:pPr>
              <w:rPr>
                <w:rFonts w:hint="default" w:ascii="Times New Roman" w:hAnsi="Times New Roman" w:cs="Times New Roman"/>
              </w:rPr>
            </w:pPr>
            <w:r>
              <w:rPr>
                <w:rFonts w:hint="default" w:ascii="Times New Roman" w:hAnsi="Times New Roman" w:eastAsia="宋体" w:cs="Times New Roman"/>
                <w:b w:val="0"/>
                <w:sz w:val="18"/>
              </w:rPr>
              <w:t>Total episodes</w:t>
            </w:r>
          </w:p>
        </w:tc>
        <w:tc>
          <w:tcPr>
            <w:tcW w:w="4320" w:type="dxa"/>
            <w:tcBorders>
              <w:top w:val="single" w:color="auto" w:sz="4" w:space="0"/>
              <w:left w:val="nil"/>
              <w:bottom w:val="nil"/>
              <w:right w:val="nil"/>
            </w:tcBorders>
            <w:noWrap w:val="0"/>
            <w:tcMar>
              <w:top w:w="-1" w:type="dxa"/>
              <w:left w:w="-1" w:type="dxa"/>
              <w:bottom w:w="-1" w:type="dxa"/>
              <w:right w:w="-1" w:type="dxa"/>
            </w:tcMar>
            <w:vAlign w:val="top"/>
          </w:tcPr>
          <w:p w14:paraId="11BB10DB">
            <w:pPr>
              <w:jc w:val="center"/>
              <w:rPr>
                <w:rFonts w:hint="default" w:ascii="Times New Roman" w:hAnsi="Times New Roman" w:cs="Times New Roman"/>
              </w:rPr>
            </w:pPr>
            <w:r>
              <w:rPr>
                <w:rFonts w:hint="default" w:ascii="Times New Roman" w:hAnsi="Times New Roman" w:eastAsia="宋体" w:cs="Times New Roman"/>
                <w:b w:val="0"/>
                <w:sz w:val="18"/>
              </w:rPr>
              <w:t>90</w:t>
            </w:r>
          </w:p>
        </w:tc>
      </w:tr>
      <w:tr w14:paraId="4F0802FA">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4DC32E0D">
            <w:pPr>
              <w:rPr>
                <w:rFonts w:hint="default" w:ascii="Times New Roman" w:hAnsi="Times New Roman" w:cs="Times New Roman"/>
              </w:rPr>
            </w:pPr>
            <w:r>
              <w:rPr>
                <w:rFonts w:hint="default" w:ascii="Times New Roman" w:hAnsi="Times New Roman" w:eastAsia="宋体" w:cs="Times New Roman"/>
                <w:b w:val="0"/>
                <w:sz w:val="18"/>
              </w:rPr>
              <w:t>Culture-negative</w:t>
            </w:r>
          </w:p>
        </w:tc>
        <w:tc>
          <w:tcPr>
            <w:tcW w:w="4320" w:type="dxa"/>
            <w:tcBorders>
              <w:top w:val="nil"/>
              <w:left w:val="nil"/>
              <w:bottom w:val="nil"/>
              <w:right w:val="nil"/>
            </w:tcBorders>
            <w:noWrap w:val="0"/>
            <w:tcMar>
              <w:top w:w="-1" w:type="dxa"/>
              <w:left w:w="-1" w:type="dxa"/>
              <w:bottom w:w="-1" w:type="dxa"/>
              <w:right w:w="-1" w:type="dxa"/>
            </w:tcMar>
            <w:vAlign w:val="top"/>
          </w:tcPr>
          <w:p w14:paraId="0B684180">
            <w:pPr>
              <w:rPr>
                <w:rFonts w:hint="default" w:ascii="Times New Roman" w:hAnsi="Times New Roman" w:cs="Times New Roman"/>
              </w:rPr>
            </w:pPr>
            <w:r>
              <w:rPr>
                <w:rFonts w:hint="default" w:ascii="Times New Roman" w:hAnsi="Times New Roman" w:cs="Times New Roman"/>
              </w:rPr>
              <w:t>19 (22.1%)</w:t>
            </w:r>
          </w:p>
        </w:tc>
      </w:tr>
      <w:tr w14:paraId="206AFE1D">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1760096F">
            <w:pPr>
              <w:rPr>
                <w:rFonts w:hint="default" w:ascii="Times New Roman" w:hAnsi="Times New Roman" w:cs="Times New Roman"/>
              </w:rPr>
            </w:pPr>
            <w:r>
              <w:rPr>
                <w:rFonts w:hint="default" w:ascii="Times New Roman" w:hAnsi="Times New Roman" w:eastAsia="宋体" w:cs="Times New Roman"/>
                <w:b w:val="0"/>
                <w:sz w:val="18"/>
              </w:rPr>
              <w:t>Culture-positive</w:t>
            </w:r>
          </w:p>
        </w:tc>
        <w:tc>
          <w:tcPr>
            <w:tcW w:w="4320" w:type="dxa"/>
            <w:tcBorders>
              <w:top w:val="nil"/>
              <w:left w:val="nil"/>
              <w:bottom w:val="nil"/>
              <w:right w:val="nil"/>
            </w:tcBorders>
            <w:noWrap w:val="0"/>
            <w:tcMar>
              <w:top w:w="-1" w:type="dxa"/>
              <w:left w:w="-1" w:type="dxa"/>
              <w:bottom w:w="-1" w:type="dxa"/>
              <w:right w:w="-1" w:type="dxa"/>
            </w:tcMar>
            <w:vAlign w:val="top"/>
          </w:tcPr>
          <w:p w14:paraId="0F1619A3">
            <w:pPr>
              <w:rPr>
                <w:rFonts w:hint="default" w:ascii="Times New Roman" w:hAnsi="Times New Roman" w:cs="Times New Roman"/>
              </w:rPr>
            </w:pPr>
            <w:r>
              <w:rPr>
                <w:rFonts w:hint="default" w:ascii="Times New Roman" w:hAnsi="Times New Roman" w:cs="Times New Roman"/>
              </w:rPr>
              <w:t>67 (77.9%)</w:t>
            </w:r>
          </w:p>
        </w:tc>
      </w:tr>
      <w:tr w14:paraId="3CFF629C">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72AF4101">
            <w:pPr>
              <w:rPr>
                <w:rFonts w:hint="default" w:ascii="Times New Roman" w:hAnsi="Times New Roman" w:cs="Times New Roman"/>
              </w:rPr>
            </w:pPr>
          </w:p>
        </w:tc>
        <w:tc>
          <w:tcPr>
            <w:tcW w:w="4320" w:type="dxa"/>
            <w:tcBorders>
              <w:top w:val="nil"/>
              <w:left w:val="nil"/>
              <w:bottom w:val="nil"/>
              <w:right w:val="nil"/>
            </w:tcBorders>
            <w:noWrap w:val="0"/>
            <w:tcMar>
              <w:top w:w="-1" w:type="dxa"/>
              <w:left w:w="-1" w:type="dxa"/>
              <w:bottom w:w="-1" w:type="dxa"/>
              <w:right w:w="-1" w:type="dxa"/>
            </w:tcMar>
            <w:vAlign w:val="top"/>
          </w:tcPr>
          <w:p w14:paraId="1E9428E0">
            <w:pPr>
              <w:rPr>
                <w:rFonts w:hint="default" w:ascii="Times New Roman" w:hAnsi="Times New Roman" w:cs="Times New Roman"/>
              </w:rPr>
            </w:pPr>
          </w:p>
        </w:tc>
      </w:tr>
      <w:tr w14:paraId="52DF3EA3">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78751719">
            <w:pPr>
              <w:rPr>
                <w:rFonts w:hint="default" w:ascii="Times New Roman" w:hAnsi="Times New Roman" w:cs="Times New Roman"/>
              </w:rPr>
            </w:pPr>
            <w:r>
              <w:rPr>
                <w:rFonts w:hint="default" w:ascii="Times New Roman" w:hAnsi="Times New Roman" w:eastAsia="宋体" w:cs="Times New Roman"/>
                <w:b w:val="0"/>
                <w:sz w:val="18"/>
              </w:rPr>
              <w:t>Gram-positive organisms</w:t>
            </w:r>
          </w:p>
        </w:tc>
        <w:tc>
          <w:tcPr>
            <w:tcW w:w="4320" w:type="dxa"/>
            <w:tcBorders>
              <w:top w:val="nil"/>
              <w:left w:val="nil"/>
              <w:bottom w:val="nil"/>
              <w:right w:val="nil"/>
            </w:tcBorders>
            <w:noWrap w:val="0"/>
            <w:tcMar>
              <w:top w:w="-1" w:type="dxa"/>
              <w:left w:w="-1" w:type="dxa"/>
              <w:bottom w:w="-1" w:type="dxa"/>
              <w:right w:w="-1" w:type="dxa"/>
            </w:tcMar>
            <w:vAlign w:val="top"/>
          </w:tcPr>
          <w:p w14:paraId="02C176E1">
            <w:pPr>
              <w:rPr>
                <w:rFonts w:hint="default" w:ascii="Times New Roman" w:hAnsi="Times New Roman" w:cs="Times New Roman"/>
              </w:rPr>
            </w:pPr>
            <w:r>
              <w:rPr>
                <w:rFonts w:hint="default" w:ascii="Times New Roman" w:hAnsi="Times New Roman" w:cs="Times New Roman"/>
              </w:rPr>
              <w:t>36 (53.7%)</w:t>
            </w:r>
          </w:p>
        </w:tc>
      </w:tr>
      <w:tr w14:paraId="67FA5491">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6F4B76E6">
            <w:pPr>
              <w:rPr>
                <w:rFonts w:hint="default" w:ascii="Times New Roman" w:hAnsi="Times New Roman" w:cs="Times New Roman"/>
              </w:rPr>
            </w:pPr>
            <w:r>
              <w:rPr>
                <w:rFonts w:hint="default" w:ascii="Times New Roman" w:hAnsi="Times New Roman" w:eastAsia="宋体" w:cs="Times New Roman"/>
                <w:b w:val="0"/>
                <w:sz w:val="18"/>
              </w:rPr>
              <w:t xml:space="preserve">  Streptococcus species</w:t>
            </w:r>
          </w:p>
        </w:tc>
        <w:tc>
          <w:tcPr>
            <w:tcW w:w="4320" w:type="dxa"/>
            <w:tcBorders>
              <w:top w:val="nil"/>
              <w:left w:val="nil"/>
              <w:bottom w:val="nil"/>
              <w:right w:val="nil"/>
            </w:tcBorders>
            <w:noWrap w:val="0"/>
            <w:tcMar>
              <w:top w:w="-1" w:type="dxa"/>
              <w:left w:w="-1" w:type="dxa"/>
              <w:bottom w:w="-1" w:type="dxa"/>
              <w:right w:w="-1" w:type="dxa"/>
            </w:tcMar>
            <w:vAlign w:val="top"/>
          </w:tcPr>
          <w:p w14:paraId="75CF21B9">
            <w:pPr>
              <w:rPr>
                <w:rFonts w:hint="default" w:ascii="Times New Roman" w:hAnsi="Times New Roman" w:cs="Times New Roman"/>
              </w:rPr>
            </w:pPr>
            <w:r>
              <w:rPr>
                <w:rFonts w:hint="default" w:ascii="Times New Roman" w:hAnsi="Times New Roman" w:cs="Times New Roman"/>
              </w:rPr>
              <w:t>22 (32.8%)</w:t>
            </w:r>
          </w:p>
        </w:tc>
      </w:tr>
      <w:tr w14:paraId="7B366BDD">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20177C6E">
            <w:pPr>
              <w:rPr>
                <w:rFonts w:hint="default" w:ascii="Times New Roman" w:hAnsi="Times New Roman" w:cs="Times New Roman"/>
              </w:rPr>
            </w:pPr>
            <w:r>
              <w:rPr>
                <w:rFonts w:hint="default" w:ascii="Times New Roman" w:hAnsi="Times New Roman" w:eastAsia="宋体" w:cs="Times New Roman"/>
                <w:b w:val="0"/>
                <w:sz w:val="18"/>
              </w:rPr>
              <w:t xml:space="preserve">  Staphylococcus species</w:t>
            </w:r>
          </w:p>
        </w:tc>
        <w:tc>
          <w:tcPr>
            <w:tcW w:w="4320" w:type="dxa"/>
            <w:tcBorders>
              <w:top w:val="nil"/>
              <w:left w:val="nil"/>
              <w:bottom w:val="nil"/>
              <w:right w:val="nil"/>
            </w:tcBorders>
            <w:noWrap w:val="0"/>
            <w:tcMar>
              <w:top w:w="-1" w:type="dxa"/>
              <w:left w:w="-1" w:type="dxa"/>
              <w:bottom w:w="-1" w:type="dxa"/>
              <w:right w:w="-1" w:type="dxa"/>
            </w:tcMar>
            <w:vAlign w:val="top"/>
          </w:tcPr>
          <w:p w14:paraId="0B36C6BA">
            <w:pPr>
              <w:rPr>
                <w:rFonts w:hint="default" w:ascii="Times New Roman" w:hAnsi="Times New Roman" w:cs="Times New Roman"/>
              </w:rPr>
            </w:pPr>
            <w:r>
              <w:rPr>
                <w:rFonts w:hint="default" w:ascii="Times New Roman" w:hAnsi="Times New Roman" w:cs="Times New Roman"/>
              </w:rPr>
              <w:t>14 (20.9%)</w:t>
            </w:r>
          </w:p>
        </w:tc>
      </w:tr>
      <w:tr w14:paraId="353C7848">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750100D6">
            <w:pPr>
              <w:rPr>
                <w:rFonts w:hint="default" w:ascii="Times New Roman" w:hAnsi="Times New Roman" w:cs="Times New Roman"/>
              </w:rPr>
            </w:pPr>
            <w:r>
              <w:rPr>
                <w:rFonts w:hint="default" w:ascii="Times New Roman" w:hAnsi="Times New Roman" w:cs="Times New Roman"/>
              </w:rPr>
              <w:t>Other/unclassified organisms</w:t>
            </w:r>
          </w:p>
        </w:tc>
        <w:tc>
          <w:tcPr>
            <w:tcW w:w="4320" w:type="dxa"/>
            <w:tcBorders>
              <w:top w:val="nil"/>
              <w:left w:val="nil"/>
              <w:bottom w:val="nil"/>
              <w:right w:val="nil"/>
            </w:tcBorders>
            <w:noWrap w:val="0"/>
            <w:tcMar>
              <w:top w:w="-1" w:type="dxa"/>
              <w:left w:w="-1" w:type="dxa"/>
              <w:bottom w:w="-1" w:type="dxa"/>
              <w:right w:w="-1" w:type="dxa"/>
            </w:tcMar>
            <w:vAlign w:val="top"/>
          </w:tcPr>
          <w:p w14:paraId="0C0754BA">
            <w:pPr>
              <w:rPr>
                <w:rFonts w:hint="default" w:ascii="Times New Roman" w:hAnsi="Times New Roman" w:cs="Times New Roman"/>
              </w:rPr>
            </w:pPr>
            <w:r>
              <w:rPr>
                <w:rFonts w:hint="default" w:ascii="Times New Roman" w:hAnsi="Times New Roman" w:cs="Times New Roman"/>
              </w:rPr>
              <w:t>7 (10.4%)</w:t>
            </w:r>
          </w:p>
        </w:tc>
      </w:tr>
      <w:tr w14:paraId="43B81E44">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5A7CC425">
            <w:pPr>
              <w:rPr>
                <w:rFonts w:hint="default" w:ascii="Times New Roman" w:hAnsi="Times New Roman" w:cs="Times New Roman"/>
              </w:rPr>
            </w:pPr>
          </w:p>
        </w:tc>
        <w:tc>
          <w:tcPr>
            <w:tcW w:w="4320" w:type="dxa"/>
            <w:tcBorders>
              <w:top w:val="nil"/>
              <w:left w:val="nil"/>
              <w:bottom w:val="nil"/>
              <w:right w:val="nil"/>
            </w:tcBorders>
            <w:noWrap w:val="0"/>
            <w:tcMar>
              <w:top w:w="-1" w:type="dxa"/>
              <w:left w:w="-1" w:type="dxa"/>
              <w:bottom w:w="-1" w:type="dxa"/>
              <w:right w:w="-1" w:type="dxa"/>
            </w:tcMar>
            <w:vAlign w:val="top"/>
          </w:tcPr>
          <w:p w14:paraId="1918BBF7">
            <w:pPr>
              <w:rPr>
                <w:rFonts w:hint="default" w:ascii="Times New Roman" w:hAnsi="Times New Roman" w:cs="Times New Roman"/>
              </w:rPr>
            </w:pPr>
          </w:p>
        </w:tc>
      </w:tr>
      <w:tr w14:paraId="54653907">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168E02B7">
            <w:pPr>
              <w:rPr>
                <w:rFonts w:hint="default" w:ascii="Times New Roman" w:hAnsi="Times New Roman" w:cs="Times New Roman"/>
              </w:rPr>
            </w:pPr>
            <w:r>
              <w:rPr>
                <w:rFonts w:hint="default" w:ascii="Times New Roman" w:hAnsi="Times New Roman" w:eastAsia="宋体" w:cs="Times New Roman"/>
                <w:b w:val="0"/>
                <w:sz w:val="18"/>
              </w:rPr>
              <w:t>Gram-negative organisms</w:t>
            </w:r>
          </w:p>
        </w:tc>
        <w:tc>
          <w:tcPr>
            <w:tcW w:w="4320" w:type="dxa"/>
            <w:tcBorders>
              <w:top w:val="nil"/>
              <w:left w:val="nil"/>
              <w:bottom w:val="nil"/>
              <w:right w:val="nil"/>
            </w:tcBorders>
            <w:noWrap w:val="0"/>
            <w:tcMar>
              <w:top w:w="-1" w:type="dxa"/>
              <w:left w:w="-1" w:type="dxa"/>
              <w:bottom w:w="-1" w:type="dxa"/>
              <w:right w:w="-1" w:type="dxa"/>
            </w:tcMar>
            <w:vAlign w:val="top"/>
          </w:tcPr>
          <w:p w14:paraId="5C39AC11">
            <w:pPr>
              <w:rPr>
                <w:rFonts w:hint="default" w:ascii="Times New Roman" w:hAnsi="Times New Roman" w:cs="Times New Roman"/>
              </w:rPr>
            </w:pPr>
            <w:r>
              <w:rPr>
                <w:rFonts w:hint="default" w:ascii="Times New Roman" w:hAnsi="Times New Roman" w:cs="Times New Roman"/>
              </w:rPr>
              <w:t>17 (25.4%)</w:t>
            </w:r>
          </w:p>
        </w:tc>
      </w:tr>
      <w:tr w14:paraId="5A140F0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56A47C92">
            <w:pPr>
              <w:rPr>
                <w:rFonts w:hint="default" w:ascii="Times New Roman" w:hAnsi="Times New Roman" w:cs="Times New Roman"/>
              </w:rPr>
            </w:pPr>
            <w:r>
              <w:rPr>
                <w:rFonts w:hint="default" w:ascii="Times New Roman" w:hAnsi="Times New Roman" w:eastAsia="宋体" w:cs="Times New Roman"/>
                <w:b w:val="0"/>
                <w:sz w:val="18"/>
              </w:rPr>
              <w:t xml:space="preserve">  Escherichia coli</w:t>
            </w:r>
          </w:p>
        </w:tc>
        <w:tc>
          <w:tcPr>
            <w:tcW w:w="4320" w:type="dxa"/>
            <w:tcBorders>
              <w:top w:val="nil"/>
              <w:left w:val="nil"/>
              <w:bottom w:val="nil"/>
              <w:right w:val="nil"/>
            </w:tcBorders>
            <w:noWrap w:val="0"/>
            <w:tcMar>
              <w:top w:w="-1" w:type="dxa"/>
              <w:left w:w="-1" w:type="dxa"/>
              <w:bottom w:w="-1" w:type="dxa"/>
              <w:right w:w="-1" w:type="dxa"/>
            </w:tcMar>
            <w:vAlign w:val="top"/>
          </w:tcPr>
          <w:p w14:paraId="028A02FB">
            <w:pPr>
              <w:rPr>
                <w:rFonts w:hint="default" w:ascii="Times New Roman" w:hAnsi="Times New Roman" w:cs="Times New Roman"/>
              </w:rPr>
            </w:pPr>
            <w:r>
              <w:rPr>
                <w:rFonts w:hint="default" w:ascii="Times New Roman" w:hAnsi="Times New Roman" w:cs="Times New Roman"/>
              </w:rPr>
              <w:t>5 (7.5%)</w:t>
            </w:r>
          </w:p>
        </w:tc>
      </w:tr>
      <w:tr w14:paraId="416B974E">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3DE69AB2">
            <w:pPr>
              <w:rPr>
                <w:rFonts w:hint="default" w:ascii="Times New Roman" w:hAnsi="Times New Roman" w:cs="Times New Roman"/>
              </w:rPr>
            </w:pPr>
            <w:r>
              <w:rPr>
                <w:rFonts w:hint="default" w:ascii="Times New Roman" w:hAnsi="Times New Roman" w:eastAsia="宋体" w:cs="Times New Roman"/>
                <w:b w:val="0"/>
                <w:sz w:val="18"/>
              </w:rPr>
              <w:t xml:space="preserve">  Klebsiella species</w:t>
            </w:r>
          </w:p>
        </w:tc>
        <w:tc>
          <w:tcPr>
            <w:tcW w:w="4320" w:type="dxa"/>
            <w:tcBorders>
              <w:top w:val="nil"/>
              <w:left w:val="nil"/>
              <w:bottom w:val="nil"/>
              <w:right w:val="nil"/>
            </w:tcBorders>
            <w:noWrap w:val="0"/>
            <w:tcMar>
              <w:top w:w="-1" w:type="dxa"/>
              <w:left w:w="-1" w:type="dxa"/>
              <w:bottom w:w="-1" w:type="dxa"/>
              <w:right w:w="-1" w:type="dxa"/>
            </w:tcMar>
            <w:vAlign w:val="top"/>
          </w:tcPr>
          <w:p w14:paraId="59062A3C">
            <w:pPr>
              <w:rPr>
                <w:rFonts w:hint="default" w:ascii="Times New Roman" w:hAnsi="Times New Roman" w:cs="Times New Roman"/>
              </w:rPr>
            </w:pPr>
            <w:r>
              <w:rPr>
                <w:rFonts w:hint="default" w:ascii="Times New Roman" w:hAnsi="Times New Roman" w:cs="Times New Roman"/>
              </w:rPr>
              <w:t>3 (4.5%)</w:t>
            </w:r>
          </w:p>
        </w:tc>
      </w:tr>
      <w:tr w14:paraId="6C353AD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73A641F7">
            <w:pPr>
              <w:rPr>
                <w:rFonts w:hint="default" w:ascii="Times New Roman" w:hAnsi="Times New Roman" w:cs="Times New Roman"/>
              </w:rPr>
            </w:pPr>
            <w:r>
              <w:rPr>
                <w:rFonts w:hint="default" w:ascii="Times New Roman" w:hAnsi="Times New Roman" w:eastAsia="宋体" w:cs="Times New Roman"/>
                <w:b w:val="0"/>
                <w:sz w:val="18"/>
              </w:rPr>
              <w:t xml:space="preserve">  Pseudomonas aeruginosa</w:t>
            </w:r>
          </w:p>
        </w:tc>
        <w:tc>
          <w:tcPr>
            <w:tcW w:w="4320" w:type="dxa"/>
            <w:tcBorders>
              <w:top w:val="nil"/>
              <w:left w:val="nil"/>
              <w:bottom w:val="nil"/>
              <w:right w:val="nil"/>
            </w:tcBorders>
            <w:noWrap w:val="0"/>
            <w:tcMar>
              <w:top w:w="-1" w:type="dxa"/>
              <w:left w:w="-1" w:type="dxa"/>
              <w:bottom w:w="-1" w:type="dxa"/>
              <w:right w:w="-1" w:type="dxa"/>
            </w:tcMar>
            <w:vAlign w:val="top"/>
          </w:tcPr>
          <w:p w14:paraId="2E2A4DB1">
            <w:pPr>
              <w:rPr>
                <w:rFonts w:hint="default" w:ascii="Times New Roman" w:hAnsi="Times New Roman" w:cs="Times New Roman"/>
              </w:rPr>
            </w:pPr>
            <w:r>
              <w:rPr>
                <w:rFonts w:hint="default" w:ascii="Times New Roman" w:hAnsi="Times New Roman" w:cs="Times New Roman"/>
              </w:rPr>
              <w:t>2 (3.0%)</w:t>
            </w:r>
          </w:p>
        </w:tc>
      </w:tr>
      <w:tr w14:paraId="44E73A8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221ADC2B">
            <w:pPr>
              <w:rPr>
                <w:rFonts w:hint="default" w:ascii="Times New Roman" w:hAnsi="Times New Roman" w:cs="Times New Roman"/>
              </w:rPr>
            </w:pPr>
            <w:r>
              <w:rPr>
                <w:rFonts w:hint="default" w:ascii="Times New Roman" w:hAnsi="Times New Roman" w:eastAsia="宋体" w:cs="Times New Roman"/>
                <w:b w:val="0"/>
                <w:sz w:val="18"/>
              </w:rPr>
              <w:t xml:space="preserve">  Other G− organisms</w:t>
            </w:r>
          </w:p>
        </w:tc>
        <w:tc>
          <w:tcPr>
            <w:tcW w:w="4320" w:type="dxa"/>
            <w:tcBorders>
              <w:top w:val="nil"/>
              <w:left w:val="nil"/>
              <w:bottom w:val="nil"/>
              <w:right w:val="nil"/>
            </w:tcBorders>
            <w:noWrap w:val="0"/>
            <w:tcMar>
              <w:top w:w="-1" w:type="dxa"/>
              <w:left w:w="-1" w:type="dxa"/>
              <w:bottom w:w="-1" w:type="dxa"/>
              <w:right w:w="-1" w:type="dxa"/>
            </w:tcMar>
            <w:vAlign w:val="top"/>
          </w:tcPr>
          <w:p w14:paraId="69D6125F">
            <w:pPr>
              <w:rPr>
                <w:rFonts w:hint="default" w:ascii="Times New Roman" w:hAnsi="Times New Roman" w:cs="Times New Roman"/>
              </w:rPr>
            </w:pPr>
            <w:r>
              <w:rPr>
                <w:rFonts w:hint="default" w:ascii="Times New Roman" w:hAnsi="Times New Roman" w:cs="Times New Roman"/>
              </w:rPr>
              <w:t>7 (10.4%)</w:t>
            </w:r>
          </w:p>
        </w:tc>
      </w:tr>
      <w:tr w14:paraId="2A3F3BB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17C8A89C">
            <w:pPr>
              <w:rPr>
                <w:rFonts w:hint="default" w:ascii="Times New Roman" w:hAnsi="Times New Roman" w:cs="Times New Roman"/>
              </w:rPr>
            </w:pPr>
          </w:p>
        </w:tc>
        <w:tc>
          <w:tcPr>
            <w:tcW w:w="4320" w:type="dxa"/>
            <w:tcBorders>
              <w:top w:val="nil"/>
              <w:left w:val="nil"/>
              <w:bottom w:val="nil"/>
              <w:right w:val="nil"/>
            </w:tcBorders>
            <w:noWrap w:val="0"/>
            <w:tcMar>
              <w:top w:w="-1" w:type="dxa"/>
              <w:left w:w="-1" w:type="dxa"/>
              <w:bottom w:w="-1" w:type="dxa"/>
              <w:right w:w="-1" w:type="dxa"/>
            </w:tcMar>
            <w:vAlign w:val="top"/>
          </w:tcPr>
          <w:p w14:paraId="7B0867A6">
            <w:pPr>
              <w:rPr>
                <w:rFonts w:hint="default" w:ascii="Times New Roman" w:hAnsi="Times New Roman" w:cs="Times New Roman"/>
              </w:rPr>
            </w:pPr>
          </w:p>
        </w:tc>
      </w:tr>
      <w:tr w14:paraId="6DDD5D9B">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nil"/>
              <w:right w:val="nil"/>
            </w:tcBorders>
            <w:noWrap w:val="0"/>
            <w:tcMar>
              <w:top w:w="-1" w:type="dxa"/>
              <w:left w:w="-1" w:type="dxa"/>
              <w:bottom w:w="-1" w:type="dxa"/>
              <w:right w:w="-1" w:type="dxa"/>
            </w:tcMar>
            <w:vAlign w:val="top"/>
          </w:tcPr>
          <w:p w14:paraId="772C9F47">
            <w:pPr>
              <w:rPr>
                <w:rFonts w:hint="default" w:ascii="Times New Roman" w:hAnsi="Times New Roman" w:cs="Times New Roman"/>
              </w:rPr>
            </w:pPr>
            <w:r>
              <w:rPr>
                <w:rFonts w:hint="default" w:ascii="Times New Roman" w:hAnsi="Times New Roman" w:eastAsia="宋体" w:cs="Times New Roman"/>
                <w:b w:val="0"/>
                <w:sz w:val="18"/>
              </w:rPr>
              <w:t>Fungal</w:t>
            </w:r>
          </w:p>
        </w:tc>
        <w:tc>
          <w:tcPr>
            <w:tcW w:w="4320" w:type="dxa"/>
            <w:tcBorders>
              <w:top w:val="nil"/>
              <w:left w:val="nil"/>
              <w:bottom w:val="nil"/>
              <w:right w:val="nil"/>
            </w:tcBorders>
            <w:noWrap w:val="0"/>
            <w:tcMar>
              <w:top w:w="-1" w:type="dxa"/>
              <w:left w:w="-1" w:type="dxa"/>
              <w:bottom w:w="-1" w:type="dxa"/>
              <w:right w:w="-1" w:type="dxa"/>
            </w:tcMar>
            <w:vAlign w:val="top"/>
          </w:tcPr>
          <w:p w14:paraId="3CDDD4D6">
            <w:pPr>
              <w:rPr>
                <w:rFonts w:hint="default" w:ascii="Times New Roman" w:hAnsi="Times New Roman" w:cs="Times New Roman"/>
              </w:rPr>
            </w:pPr>
            <w:r>
              <w:rPr>
                <w:rFonts w:hint="default" w:ascii="Times New Roman" w:hAnsi="Times New Roman" w:cs="Times New Roman"/>
              </w:rPr>
              <w:t>2 (3.0%)</w:t>
            </w:r>
          </w:p>
        </w:tc>
      </w:tr>
      <w:tr w14:paraId="15444FB9">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rPr>
          <w:jc w:val="center"/>
        </w:trPr>
        <w:tc>
          <w:tcPr>
            <w:tcW w:w="4320" w:type="dxa"/>
            <w:tcBorders>
              <w:top w:val="nil"/>
              <w:left w:val="nil"/>
              <w:bottom w:val="single" w:color="auto" w:sz="12" w:space="0"/>
              <w:right w:val="nil"/>
            </w:tcBorders>
            <w:noWrap w:val="0"/>
            <w:tcMar>
              <w:top w:w="-1" w:type="dxa"/>
              <w:left w:w="-1" w:type="dxa"/>
              <w:bottom w:w="-1" w:type="dxa"/>
              <w:right w:w="-1" w:type="dxa"/>
            </w:tcMar>
            <w:vAlign w:val="top"/>
          </w:tcPr>
          <w:p w14:paraId="2F85DEBD">
            <w:pPr>
              <w:rPr>
                <w:rFonts w:hint="default" w:ascii="Times New Roman" w:hAnsi="Times New Roman" w:cs="Times New Roman"/>
              </w:rPr>
            </w:pPr>
            <w:r>
              <w:rPr>
                <w:rFonts w:hint="default" w:ascii="Times New Roman" w:hAnsi="Times New Roman" w:eastAsia="宋体" w:cs="Times New Roman"/>
                <w:b w:val="0"/>
                <w:sz w:val="18"/>
              </w:rPr>
              <w:t>Polymicrobial</w:t>
            </w:r>
          </w:p>
        </w:tc>
        <w:tc>
          <w:tcPr>
            <w:tcW w:w="4320" w:type="dxa"/>
            <w:tcBorders>
              <w:top w:val="nil"/>
              <w:left w:val="nil"/>
              <w:bottom w:val="single" w:color="auto" w:sz="12" w:space="0"/>
              <w:right w:val="nil"/>
            </w:tcBorders>
            <w:noWrap w:val="0"/>
            <w:tcMar>
              <w:top w:w="-1" w:type="dxa"/>
              <w:left w:w="-1" w:type="dxa"/>
              <w:bottom w:w="-1" w:type="dxa"/>
              <w:right w:w="-1" w:type="dxa"/>
            </w:tcMar>
            <w:vAlign w:val="top"/>
          </w:tcPr>
          <w:p w14:paraId="3B3984A9">
            <w:pPr>
              <w:rPr>
                <w:rFonts w:hint="default" w:ascii="Times New Roman" w:hAnsi="Times New Roman" w:cs="Times New Roman"/>
              </w:rPr>
            </w:pPr>
            <w:r>
              <w:rPr>
                <w:rFonts w:hint="default" w:ascii="Times New Roman" w:hAnsi="Times New Roman" w:cs="Times New Roman"/>
              </w:rPr>
              <w:t>5 (7.5%)</w:t>
            </w:r>
          </w:p>
        </w:tc>
      </w:tr>
    </w:tbl>
    <w:p w14:paraId="119DA617">
      <w:pPr>
        <w:spacing w:after="60"/>
        <w:rPr>
          <w:rFonts w:hint="default" w:ascii="Times New Roman" w:hAnsi="Times New Roman" w:cs="Times New Roman"/>
        </w:rPr>
      </w:pPr>
    </w:p>
    <w:p w14:paraId="5805DA63">
      <w:pPr>
        <w:spacing w:after="240"/>
        <w:rPr>
          <w:rFonts w:hint="default" w:ascii="Times New Roman" w:hAnsi="Times New Roman" w:cs="Times New Roman"/>
          <w:sz w:val="24"/>
          <w:szCs w:val="24"/>
        </w:rPr>
      </w:pPr>
      <w:r>
        <w:rPr>
          <w:rFonts w:hint="default" w:ascii="Times New Roman" w:hAnsi="Times New Roman" w:cs="Times New Roman"/>
          <w:sz w:val="24"/>
          <w:szCs w:val="24"/>
        </w:rPr>
        <w:t>Percentages for organism categories are calculated out of the 67 culture-positive episodes (denominator = 67); the culture-negative versus culture-positive proportions are calculated out of the 86 episodes with culture results. Episodes yielding mixed flora are classified under the dominant organism category; five episodes with clearly polymicrobial growth are listed separately. The 7 'Other/unclassified organisms' (including acid-fast bacilli, which are not classifiable by Gram staining, and the nutritionally variant streptococcus Abiotrophia defectiva) are listed as a category parallel to the typical Gram-positive organisms and are not included in the Gram-positive total (36 = 22 Streptococcus + 14 Staphylococcus); the organism-category counts sum to the 67 culture-positive episodes (36 + 7 + 17 + 2 + 5 = 67), so the category percentages sum to 100%. Only Streptococcus and Staphylococcus species were identified among the typical Gram-positive organisms in this cohort; whether this relatively narrow Gram-positive spectrum reflects local epidemiology or identification and reporting practices cannot be distinguished retrospectively.</w:t>
      </w:r>
    </w:p>
    <w:p w14:paraId="2A627FFD">
      <w:pPr>
        <w:spacing w:after="120"/>
        <w:rPr>
          <w:rFonts w:hint="default" w:ascii="Times New Roman" w:hAnsi="Times New Roman" w:cs="Times New Roman"/>
          <w:sz w:val="24"/>
          <w:szCs w:val="24"/>
        </w:rPr>
      </w:pPr>
      <w:r>
        <w:rPr>
          <w:rFonts w:hint="default" w:ascii="Times New Roman" w:hAnsi="Times New Roman" w:eastAsia="宋体" w:cs="Times New Roman"/>
          <w:b/>
          <w:sz w:val="24"/>
          <w:szCs w:val="24"/>
        </w:rPr>
        <w:t>Supplementary Table S3. Missing data summary</w:t>
      </w:r>
    </w:p>
    <w:tbl>
      <w:tblPr>
        <w:tblStyle w:val="32"/>
        <w:tblW w:w="0" w:type="auto"/>
        <w:jc w:val="center"/>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Layout w:type="autofit"/>
        <w:tblCellMar>
          <w:top w:w="0" w:type="dxa"/>
          <w:left w:w="108" w:type="dxa"/>
          <w:bottom w:w="0" w:type="dxa"/>
          <w:right w:w="108" w:type="dxa"/>
        </w:tblCellMar>
      </w:tblPr>
      <w:tblGrid>
        <w:gridCol w:w="2160"/>
        <w:gridCol w:w="2160"/>
        <w:gridCol w:w="2160"/>
        <w:gridCol w:w="2160"/>
      </w:tblGrid>
      <w:tr w14:paraId="0466A36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80F62D2">
            <w:pPr>
              <w:jc w:val="center"/>
              <w:rPr>
                <w:rFonts w:hint="default" w:ascii="Times New Roman" w:hAnsi="Times New Roman" w:cs="Times New Roman"/>
              </w:rPr>
            </w:pPr>
            <w:r>
              <w:rPr>
                <w:rFonts w:hint="default" w:ascii="Times New Roman" w:hAnsi="Times New Roman" w:eastAsia="宋体" w:cs="Times New Roman"/>
                <w:b/>
                <w:sz w:val="18"/>
              </w:rPr>
              <w:t>Variable</w:t>
            </w:r>
          </w:p>
        </w:tc>
        <w:tc>
          <w:tcPr>
            <w:tcW w:w="2160" w:type="dxa"/>
          </w:tcPr>
          <w:p w14:paraId="774DCC0C">
            <w:pPr>
              <w:jc w:val="center"/>
              <w:rPr>
                <w:rFonts w:hint="default" w:ascii="Times New Roman" w:hAnsi="Times New Roman" w:cs="Times New Roman"/>
              </w:rPr>
            </w:pPr>
            <w:r>
              <w:rPr>
                <w:rFonts w:hint="default" w:ascii="Times New Roman" w:hAnsi="Times New Roman" w:eastAsia="宋体" w:cs="Times New Roman"/>
                <w:b/>
                <w:sz w:val="18"/>
              </w:rPr>
              <w:t>PDAP missing (n=90)</w:t>
            </w:r>
          </w:p>
        </w:tc>
        <w:tc>
          <w:tcPr>
            <w:tcW w:w="2160" w:type="dxa"/>
          </w:tcPr>
          <w:p w14:paraId="01080117">
            <w:pPr>
              <w:jc w:val="center"/>
              <w:rPr>
                <w:rFonts w:hint="default" w:ascii="Times New Roman" w:hAnsi="Times New Roman" w:cs="Times New Roman"/>
              </w:rPr>
            </w:pPr>
            <w:r>
              <w:rPr>
                <w:rFonts w:hint="default" w:ascii="Times New Roman" w:hAnsi="Times New Roman" w:eastAsia="宋体" w:cs="Times New Roman"/>
                <w:b/>
                <w:sz w:val="18"/>
              </w:rPr>
              <w:t>Control missing (n=80)</w:t>
            </w:r>
          </w:p>
        </w:tc>
        <w:tc>
          <w:tcPr>
            <w:tcW w:w="2160" w:type="dxa"/>
          </w:tcPr>
          <w:p w14:paraId="549E2C4C">
            <w:pPr>
              <w:jc w:val="center"/>
              <w:rPr>
                <w:rFonts w:hint="default" w:ascii="Times New Roman" w:hAnsi="Times New Roman" w:cs="Times New Roman"/>
              </w:rPr>
            </w:pPr>
            <w:r>
              <w:rPr>
                <w:rFonts w:hint="default" w:ascii="Times New Roman" w:hAnsi="Times New Roman" w:eastAsia="宋体" w:cs="Times New Roman"/>
                <w:b/>
                <w:sz w:val="18"/>
              </w:rPr>
              <w:t>Total missing (N=170)</w:t>
            </w:r>
          </w:p>
        </w:tc>
      </w:tr>
      <w:tr w14:paraId="57FA4F0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61209B20">
            <w:pPr>
              <w:jc w:val="center"/>
              <w:rPr>
                <w:rFonts w:hint="default" w:ascii="Times New Roman" w:hAnsi="Times New Roman" w:cs="Times New Roman"/>
              </w:rPr>
            </w:pPr>
            <w:r>
              <w:rPr>
                <w:rFonts w:hint="default" w:ascii="Times New Roman" w:hAnsi="Times New Roman" w:cs="Times New Roman"/>
                <w:sz w:val="18"/>
                <w:szCs w:val="18"/>
              </w:rPr>
              <w:t>ESR</w:t>
            </w:r>
          </w:p>
        </w:tc>
        <w:tc>
          <w:tcPr>
            <w:tcW w:w="2160" w:type="dxa"/>
          </w:tcPr>
          <w:p w14:paraId="392157F7">
            <w:pPr>
              <w:jc w:val="center"/>
              <w:rPr>
                <w:rFonts w:hint="default" w:ascii="Times New Roman" w:hAnsi="Times New Roman" w:cs="Times New Roman"/>
              </w:rPr>
            </w:pPr>
            <w:r>
              <w:rPr>
                <w:rFonts w:hint="default" w:ascii="Times New Roman" w:hAnsi="Times New Roman" w:cs="Times New Roman"/>
                <w:sz w:val="18"/>
                <w:szCs w:val="18"/>
              </w:rPr>
              <w:t>69 (76.7%)</w:t>
            </w:r>
          </w:p>
        </w:tc>
        <w:tc>
          <w:tcPr>
            <w:tcW w:w="2160" w:type="dxa"/>
          </w:tcPr>
          <w:p w14:paraId="69DAC6D3">
            <w:pPr>
              <w:jc w:val="center"/>
              <w:rPr>
                <w:rFonts w:hint="default" w:ascii="Times New Roman" w:hAnsi="Times New Roman" w:cs="Times New Roman"/>
              </w:rPr>
            </w:pPr>
            <w:r>
              <w:rPr>
                <w:rFonts w:hint="default" w:ascii="Times New Roman" w:hAnsi="Times New Roman" w:cs="Times New Roman"/>
                <w:sz w:val="18"/>
                <w:szCs w:val="18"/>
              </w:rPr>
              <w:t>55 (68.8%)</w:t>
            </w:r>
          </w:p>
        </w:tc>
        <w:tc>
          <w:tcPr>
            <w:tcW w:w="2160" w:type="dxa"/>
          </w:tcPr>
          <w:p w14:paraId="7FEE098F">
            <w:pPr>
              <w:jc w:val="center"/>
              <w:rPr>
                <w:rFonts w:hint="default" w:ascii="Times New Roman" w:hAnsi="Times New Roman" w:cs="Times New Roman"/>
              </w:rPr>
            </w:pPr>
            <w:r>
              <w:rPr>
                <w:rFonts w:hint="default" w:ascii="Times New Roman" w:hAnsi="Times New Roman" w:cs="Times New Roman"/>
                <w:sz w:val="18"/>
                <w:szCs w:val="18"/>
              </w:rPr>
              <w:t>124 (72.9%)</w:t>
            </w:r>
          </w:p>
        </w:tc>
      </w:tr>
      <w:tr w14:paraId="3F60062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5B1B3A6">
            <w:pPr>
              <w:jc w:val="center"/>
              <w:rPr>
                <w:rFonts w:hint="default" w:ascii="Times New Roman" w:hAnsi="Times New Roman" w:cs="Times New Roman"/>
              </w:rPr>
            </w:pPr>
            <w:r>
              <w:rPr>
                <w:rFonts w:hint="default" w:ascii="Times New Roman" w:hAnsi="Times New Roman" w:cs="Times New Roman"/>
                <w:sz w:val="18"/>
                <w:szCs w:val="18"/>
              </w:rPr>
              <w:t>Beta-2 microglobulin</w:t>
            </w:r>
          </w:p>
        </w:tc>
        <w:tc>
          <w:tcPr>
            <w:tcW w:w="2160" w:type="dxa"/>
          </w:tcPr>
          <w:p w14:paraId="2658F50E">
            <w:pPr>
              <w:jc w:val="center"/>
              <w:rPr>
                <w:rFonts w:hint="default" w:ascii="Times New Roman" w:hAnsi="Times New Roman" w:cs="Times New Roman"/>
              </w:rPr>
            </w:pPr>
            <w:r>
              <w:rPr>
                <w:rFonts w:hint="default" w:ascii="Times New Roman" w:hAnsi="Times New Roman" w:cs="Times New Roman"/>
                <w:sz w:val="18"/>
                <w:szCs w:val="18"/>
              </w:rPr>
              <w:t>61 (67.8%)</w:t>
            </w:r>
          </w:p>
        </w:tc>
        <w:tc>
          <w:tcPr>
            <w:tcW w:w="2160" w:type="dxa"/>
          </w:tcPr>
          <w:p w14:paraId="530049F1">
            <w:pPr>
              <w:jc w:val="center"/>
              <w:rPr>
                <w:rFonts w:hint="default" w:ascii="Times New Roman" w:hAnsi="Times New Roman" w:cs="Times New Roman"/>
              </w:rPr>
            </w:pPr>
            <w:r>
              <w:rPr>
                <w:rFonts w:hint="default" w:ascii="Times New Roman" w:hAnsi="Times New Roman" w:cs="Times New Roman"/>
                <w:sz w:val="18"/>
                <w:szCs w:val="18"/>
              </w:rPr>
              <w:t>36 (45.0%)</w:t>
            </w:r>
          </w:p>
        </w:tc>
        <w:tc>
          <w:tcPr>
            <w:tcW w:w="2160" w:type="dxa"/>
          </w:tcPr>
          <w:p w14:paraId="09E37CFE">
            <w:pPr>
              <w:jc w:val="center"/>
              <w:rPr>
                <w:rFonts w:hint="default" w:ascii="Times New Roman" w:hAnsi="Times New Roman" w:cs="Times New Roman"/>
              </w:rPr>
            </w:pPr>
            <w:r>
              <w:rPr>
                <w:rFonts w:hint="default" w:ascii="Times New Roman" w:hAnsi="Times New Roman" w:cs="Times New Roman"/>
                <w:sz w:val="18"/>
                <w:szCs w:val="18"/>
              </w:rPr>
              <w:t>97 (57.1%)</w:t>
            </w:r>
          </w:p>
        </w:tc>
      </w:tr>
      <w:tr w14:paraId="01AF496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C60B3D2">
            <w:pPr>
              <w:jc w:val="center"/>
              <w:rPr>
                <w:rFonts w:hint="default" w:ascii="Times New Roman" w:hAnsi="Times New Roman" w:cs="Times New Roman"/>
              </w:rPr>
            </w:pPr>
            <w:r>
              <w:rPr>
                <w:rFonts w:hint="default" w:ascii="Times New Roman" w:hAnsi="Times New Roman" w:cs="Times New Roman"/>
                <w:sz w:val="18"/>
                <w:szCs w:val="18"/>
              </w:rPr>
              <w:t>Ejection fraction</w:t>
            </w:r>
          </w:p>
        </w:tc>
        <w:tc>
          <w:tcPr>
            <w:tcW w:w="2160" w:type="dxa"/>
          </w:tcPr>
          <w:p w14:paraId="2B342109">
            <w:pPr>
              <w:jc w:val="center"/>
              <w:rPr>
                <w:rFonts w:hint="default" w:ascii="Times New Roman" w:hAnsi="Times New Roman" w:cs="Times New Roman"/>
              </w:rPr>
            </w:pPr>
            <w:r>
              <w:rPr>
                <w:rFonts w:hint="default" w:ascii="Times New Roman" w:hAnsi="Times New Roman" w:cs="Times New Roman"/>
                <w:sz w:val="18"/>
                <w:szCs w:val="18"/>
              </w:rPr>
              <w:t>46 (51.1%)</w:t>
            </w:r>
          </w:p>
        </w:tc>
        <w:tc>
          <w:tcPr>
            <w:tcW w:w="2160" w:type="dxa"/>
          </w:tcPr>
          <w:p w14:paraId="5DD101F6">
            <w:pPr>
              <w:jc w:val="center"/>
              <w:rPr>
                <w:rFonts w:hint="default" w:ascii="Times New Roman" w:hAnsi="Times New Roman" w:cs="Times New Roman"/>
              </w:rPr>
            </w:pPr>
            <w:r>
              <w:rPr>
                <w:rFonts w:hint="default" w:ascii="Times New Roman" w:hAnsi="Times New Roman" w:cs="Times New Roman"/>
                <w:sz w:val="18"/>
                <w:szCs w:val="18"/>
              </w:rPr>
              <w:t>12 (15.0%)</w:t>
            </w:r>
          </w:p>
        </w:tc>
        <w:tc>
          <w:tcPr>
            <w:tcW w:w="2160" w:type="dxa"/>
          </w:tcPr>
          <w:p w14:paraId="63E2269B">
            <w:pPr>
              <w:jc w:val="center"/>
              <w:rPr>
                <w:rFonts w:hint="default" w:ascii="Times New Roman" w:hAnsi="Times New Roman" w:cs="Times New Roman"/>
              </w:rPr>
            </w:pPr>
            <w:r>
              <w:rPr>
                <w:rFonts w:hint="default" w:ascii="Times New Roman" w:hAnsi="Times New Roman" w:cs="Times New Roman"/>
                <w:sz w:val="18"/>
                <w:szCs w:val="18"/>
              </w:rPr>
              <w:t>58 (34.1%)</w:t>
            </w:r>
          </w:p>
        </w:tc>
      </w:tr>
      <w:tr w14:paraId="527F815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63CF29C4">
            <w:pPr>
              <w:jc w:val="center"/>
              <w:rPr>
                <w:rFonts w:hint="default" w:ascii="Times New Roman" w:hAnsi="Times New Roman" w:cs="Times New Roman"/>
              </w:rPr>
            </w:pPr>
            <w:r>
              <w:rPr>
                <w:rFonts w:hint="default" w:ascii="Times New Roman" w:hAnsi="Times New Roman" w:cs="Times New Roman"/>
                <w:sz w:val="18"/>
                <w:szCs w:val="18"/>
              </w:rPr>
              <w:t>Magnesium</w:t>
            </w:r>
          </w:p>
        </w:tc>
        <w:tc>
          <w:tcPr>
            <w:tcW w:w="2160" w:type="dxa"/>
          </w:tcPr>
          <w:p w14:paraId="1593A0FB">
            <w:pPr>
              <w:jc w:val="center"/>
              <w:rPr>
                <w:rFonts w:hint="default" w:ascii="Times New Roman" w:hAnsi="Times New Roman" w:cs="Times New Roman"/>
              </w:rPr>
            </w:pPr>
            <w:r>
              <w:rPr>
                <w:rFonts w:hint="default" w:ascii="Times New Roman" w:hAnsi="Times New Roman" w:cs="Times New Roman"/>
                <w:sz w:val="18"/>
                <w:szCs w:val="18"/>
              </w:rPr>
              <w:t>30 (33.3%)</w:t>
            </w:r>
          </w:p>
        </w:tc>
        <w:tc>
          <w:tcPr>
            <w:tcW w:w="2160" w:type="dxa"/>
          </w:tcPr>
          <w:p w14:paraId="34ED430C">
            <w:pPr>
              <w:jc w:val="center"/>
              <w:rPr>
                <w:rFonts w:hint="default" w:ascii="Times New Roman" w:hAnsi="Times New Roman" w:cs="Times New Roman"/>
              </w:rPr>
            </w:pPr>
            <w:r>
              <w:rPr>
                <w:rFonts w:hint="default" w:ascii="Times New Roman" w:hAnsi="Times New Roman" w:cs="Times New Roman"/>
                <w:sz w:val="18"/>
                <w:szCs w:val="18"/>
              </w:rPr>
              <w:t>30 (37.5%)</w:t>
            </w:r>
          </w:p>
        </w:tc>
        <w:tc>
          <w:tcPr>
            <w:tcW w:w="2160" w:type="dxa"/>
          </w:tcPr>
          <w:p w14:paraId="7FD068CC">
            <w:pPr>
              <w:jc w:val="center"/>
              <w:rPr>
                <w:rFonts w:hint="default" w:ascii="Times New Roman" w:hAnsi="Times New Roman" w:cs="Times New Roman"/>
              </w:rPr>
            </w:pPr>
            <w:r>
              <w:rPr>
                <w:rFonts w:hint="default" w:ascii="Times New Roman" w:hAnsi="Times New Roman" w:cs="Times New Roman"/>
                <w:sz w:val="18"/>
                <w:szCs w:val="18"/>
              </w:rPr>
              <w:t>60 (35.3%)</w:t>
            </w:r>
          </w:p>
        </w:tc>
      </w:tr>
      <w:tr w14:paraId="4144228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2050A83">
            <w:pPr>
              <w:jc w:val="center"/>
              <w:rPr>
                <w:rFonts w:hint="default" w:ascii="Times New Roman" w:hAnsi="Times New Roman" w:cs="Times New Roman"/>
              </w:rPr>
            </w:pPr>
            <w:r>
              <w:rPr>
                <w:rFonts w:hint="default" w:ascii="Times New Roman" w:hAnsi="Times New Roman" w:cs="Times New Roman"/>
                <w:sz w:val="18"/>
                <w:szCs w:val="18"/>
              </w:rPr>
              <w:t>Serum iron</w:t>
            </w:r>
          </w:p>
        </w:tc>
        <w:tc>
          <w:tcPr>
            <w:tcW w:w="2160" w:type="dxa"/>
          </w:tcPr>
          <w:p w14:paraId="2E30BFF1">
            <w:pPr>
              <w:jc w:val="center"/>
              <w:rPr>
                <w:rFonts w:hint="default" w:ascii="Times New Roman" w:hAnsi="Times New Roman" w:cs="Times New Roman"/>
              </w:rPr>
            </w:pPr>
            <w:r>
              <w:rPr>
                <w:rFonts w:hint="default" w:ascii="Times New Roman" w:hAnsi="Times New Roman" w:cs="Times New Roman"/>
                <w:sz w:val="18"/>
                <w:szCs w:val="18"/>
              </w:rPr>
              <w:t>30 (33.3%)</w:t>
            </w:r>
          </w:p>
        </w:tc>
        <w:tc>
          <w:tcPr>
            <w:tcW w:w="2160" w:type="dxa"/>
          </w:tcPr>
          <w:p w14:paraId="6152DCFE">
            <w:pPr>
              <w:jc w:val="center"/>
              <w:rPr>
                <w:rFonts w:hint="default" w:ascii="Times New Roman" w:hAnsi="Times New Roman" w:cs="Times New Roman"/>
              </w:rPr>
            </w:pPr>
            <w:r>
              <w:rPr>
                <w:rFonts w:hint="default" w:ascii="Times New Roman" w:hAnsi="Times New Roman" w:cs="Times New Roman"/>
                <w:sz w:val="18"/>
                <w:szCs w:val="18"/>
              </w:rPr>
              <w:t>7 (8.8%)</w:t>
            </w:r>
          </w:p>
        </w:tc>
        <w:tc>
          <w:tcPr>
            <w:tcW w:w="2160" w:type="dxa"/>
          </w:tcPr>
          <w:p w14:paraId="0D32EE43">
            <w:pPr>
              <w:jc w:val="center"/>
              <w:rPr>
                <w:rFonts w:hint="default" w:ascii="Times New Roman" w:hAnsi="Times New Roman" w:cs="Times New Roman"/>
              </w:rPr>
            </w:pPr>
            <w:r>
              <w:rPr>
                <w:rFonts w:hint="default" w:ascii="Times New Roman" w:hAnsi="Times New Roman" w:cs="Times New Roman"/>
                <w:sz w:val="18"/>
                <w:szCs w:val="18"/>
              </w:rPr>
              <w:t>37 (21.8%)</w:t>
            </w:r>
          </w:p>
        </w:tc>
      </w:tr>
      <w:tr w14:paraId="7227C4F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7070560">
            <w:pPr>
              <w:jc w:val="center"/>
              <w:rPr>
                <w:rFonts w:hint="default" w:ascii="Times New Roman" w:hAnsi="Times New Roman" w:cs="Times New Roman"/>
              </w:rPr>
            </w:pPr>
            <w:r>
              <w:rPr>
                <w:rFonts w:hint="default" w:ascii="Times New Roman" w:hAnsi="Times New Roman" w:cs="Times New Roman"/>
                <w:sz w:val="18"/>
                <w:szCs w:val="18"/>
              </w:rPr>
              <w:t>TSAT</w:t>
            </w:r>
          </w:p>
        </w:tc>
        <w:tc>
          <w:tcPr>
            <w:tcW w:w="2160" w:type="dxa"/>
          </w:tcPr>
          <w:p w14:paraId="31EFA8AE">
            <w:pPr>
              <w:jc w:val="center"/>
              <w:rPr>
                <w:rFonts w:hint="default" w:ascii="Times New Roman" w:hAnsi="Times New Roman" w:cs="Times New Roman"/>
              </w:rPr>
            </w:pPr>
            <w:r>
              <w:rPr>
                <w:rFonts w:hint="default" w:ascii="Times New Roman" w:hAnsi="Times New Roman" w:cs="Times New Roman"/>
                <w:sz w:val="18"/>
                <w:szCs w:val="18"/>
              </w:rPr>
              <w:t>30 (33.3%)</w:t>
            </w:r>
          </w:p>
        </w:tc>
        <w:tc>
          <w:tcPr>
            <w:tcW w:w="2160" w:type="dxa"/>
          </w:tcPr>
          <w:p w14:paraId="4E178993">
            <w:pPr>
              <w:jc w:val="center"/>
              <w:rPr>
                <w:rFonts w:hint="default" w:ascii="Times New Roman" w:hAnsi="Times New Roman" w:cs="Times New Roman"/>
              </w:rPr>
            </w:pPr>
            <w:r>
              <w:rPr>
                <w:rFonts w:hint="default" w:ascii="Times New Roman" w:hAnsi="Times New Roman" w:cs="Times New Roman"/>
                <w:sz w:val="18"/>
                <w:szCs w:val="18"/>
              </w:rPr>
              <w:t>7 (8.8%)</w:t>
            </w:r>
          </w:p>
        </w:tc>
        <w:tc>
          <w:tcPr>
            <w:tcW w:w="2160" w:type="dxa"/>
          </w:tcPr>
          <w:p w14:paraId="06193114">
            <w:pPr>
              <w:jc w:val="center"/>
              <w:rPr>
                <w:rFonts w:hint="default" w:ascii="Times New Roman" w:hAnsi="Times New Roman" w:cs="Times New Roman"/>
              </w:rPr>
            </w:pPr>
            <w:r>
              <w:rPr>
                <w:rFonts w:hint="default" w:ascii="Times New Roman" w:hAnsi="Times New Roman" w:cs="Times New Roman"/>
                <w:sz w:val="18"/>
                <w:szCs w:val="18"/>
              </w:rPr>
              <w:t>37 (21.8%)</w:t>
            </w:r>
          </w:p>
        </w:tc>
      </w:tr>
      <w:tr w14:paraId="2D6B96D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1E72593B">
            <w:pPr>
              <w:jc w:val="center"/>
              <w:rPr>
                <w:rFonts w:hint="default" w:ascii="Times New Roman" w:hAnsi="Times New Roman" w:cs="Times New Roman"/>
              </w:rPr>
            </w:pPr>
            <w:r>
              <w:rPr>
                <w:rFonts w:hint="default" w:ascii="Times New Roman" w:hAnsi="Times New Roman" w:cs="Times New Roman"/>
                <w:sz w:val="18"/>
                <w:szCs w:val="18"/>
              </w:rPr>
              <w:t>TIBC</w:t>
            </w:r>
          </w:p>
        </w:tc>
        <w:tc>
          <w:tcPr>
            <w:tcW w:w="2160" w:type="dxa"/>
          </w:tcPr>
          <w:p w14:paraId="6C0B302B">
            <w:pPr>
              <w:jc w:val="center"/>
              <w:rPr>
                <w:rFonts w:hint="default" w:ascii="Times New Roman" w:hAnsi="Times New Roman" w:cs="Times New Roman"/>
              </w:rPr>
            </w:pPr>
            <w:r>
              <w:rPr>
                <w:rFonts w:hint="default" w:ascii="Times New Roman" w:hAnsi="Times New Roman" w:cs="Times New Roman"/>
                <w:sz w:val="18"/>
                <w:szCs w:val="18"/>
              </w:rPr>
              <w:t>30 (33.3%)</w:t>
            </w:r>
          </w:p>
        </w:tc>
        <w:tc>
          <w:tcPr>
            <w:tcW w:w="2160" w:type="dxa"/>
          </w:tcPr>
          <w:p w14:paraId="550F910C">
            <w:pPr>
              <w:jc w:val="center"/>
              <w:rPr>
                <w:rFonts w:hint="default" w:ascii="Times New Roman" w:hAnsi="Times New Roman" w:cs="Times New Roman"/>
              </w:rPr>
            </w:pPr>
            <w:r>
              <w:rPr>
                <w:rFonts w:hint="default" w:ascii="Times New Roman" w:hAnsi="Times New Roman" w:cs="Times New Roman"/>
                <w:sz w:val="18"/>
                <w:szCs w:val="18"/>
              </w:rPr>
              <w:t>7 (8.8%)</w:t>
            </w:r>
          </w:p>
        </w:tc>
        <w:tc>
          <w:tcPr>
            <w:tcW w:w="2160" w:type="dxa"/>
          </w:tcPr>
          <w:p w14:paraId="2420A057">
            <w:pPr>
              <w:jc w:val="center"/>
              <w:rPr>
                <w:rFonts w:hint="default" w:ascii="Times New Roman" w:hAnsi="Times New Roman" w:cs="Times New Roman"/>
              </w:rPr>
            </w:pPr>
            <w:r>
              <w:rPr>
                <w:rFonts w:hint="default" w:ascii="Times New Roman" w:hAnsi="Times New Roman" w:cs="Times New Roman"/>
                <w:sz w:val="18"/>
                <w:szCs w:val="18"/>
              </w:rPr>
              <w:t>37 (21.8%)</w:t>
            </w:r>
          </w:p>
        </w:tc>
      </w:tr>
      <w:tr w14:paraId="59DEAE6B">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6D8B11E">
            <w:pPr>
              <w:jc w:val="center"/>
              <w:rPr>
                <w:rFonts w:hint="default" w:ascii="Times New Roman" w:hAnsi="Times New Roman" w:cs="Times New Roman"/>
              </w:rPr>
            </w:pPr>
            <w:r>
              <w:rPr>
                <w:rFonts w:hint="default" w:ascii="Times New Roman" w:hAnsi="Times New Roman" w:cs="Times New Roman"/>
                <w:sz w:val="18"/>
                <w:szCs w:val="18"/>
              </w:rPr>
              <w:t>Prealbumin</w:t>
            </w:r>
          </w:p>
        </w:tc>
        <w:tc>
          <w:tcPr>
            <w:tcW w:w="2160" w:type="dxa"/>
          </w:tcPr>
          <w:p w14:paraId="5C8091CA">
            <w:pPr>
              <w:jc w:val="center"/>
              <w:rPr>
                <w:rFonts w:hint="default" w:ascii="Times New Roman" w:hAnsi="Times New Roman" w:cs="Times New Roman"/>
              </w:rPr>
            </w:pPr>
            <w:r>
              <w:rPr>
                <w:rFonts w:hint="default" w:ascii="Times New Roman" w:hAnsi="Times New Roman" w:cs="Times New Roman"/>
                <w:sz w:val="18"/>
                <w:szCs w:val="18"/>
              </w:rPr>
              <w:t>29 (32.2%)</w:t>
            </w:r>
          </w:p>
        </w:tc>
        <w:tc>
          <w:tcPr>
            <w:tcW w:w="2160" w:type="dxa"/>
          </w:tcPr>
          <w:p w14:paraId="537915B5">
            <w:pPr>
              <w:jc w:val="center"/>
              <w:rPr>
                <w:rFonts w:hint="default" w:ascii="Times New Roman" w:hAnsi="Times New Roman" w:cs="Times New Roman"/>
              </w:rPr>
            </w:pPr>
            <w:r>
              <w:rPr>
                <w:rFonts w:hint="default" w:ascii="Times New Roman" w:hAnsi="Times New Roman" w:cs="Times New Roman"/>
                <w:sz w:val="18"/>
                <w:szCs w:val="18"/>
              </w:rPr>
              <w:t>18 (22.5%)</w:t>
            </w:r>
          </w:p>
        </w:tc>
        <w:tc>
          <w:tcPr>
            <w:tcW w:w="2160" w:type="dxa"/>
          </w:tcPr>
          <w:p w14:paraId="1A9756F3">
            <w:pPr>
              <w:jc w:val="center"/>
              <w:rPr>
                <w:rFonts w:hint="default" w:ascii="Times New Roman" w:hAnsi="Times New Roman" w:cs="Times New Roman"/>
              </w:rPr>
            </w:pPr>
            <w:r>
              <w:rPr>
                <w:rFonts w:hint="default" w:ascii="Times New Roman" w:hAnsi="Times New Roman" w:cs="Times New Roman"/>
                <w:sz w:val="18"/>
                <w:szCs w:val="18"/>
              </w:rPr>
              <w:t>47 (27.6%)</w:t>
            </w:r>
          </w:p>
        </w:tc>
      </w:tr>
      <w:tr w14:paraId="32A61CE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F755819">
            <w:pPr>
              <w:jc w:val="center"/>
              <w:rPr>
                <w:rFonts w:hint="default" w:ascii="Times New Roman" w:hAnsi="Times New Roman" w:cs="Times New Roman"/>
              </w:rPr>
            </w:pPr>
            <w:r>
              <w:rPr>
                <w:rFonts w:hint="default" w:ascii="Times New Roman" w:hAnsi="Times New Roman" w:cs="Times New Roman"/>
                <w:sz w:val="18"/>
                <w:szCs w:val="18"/>
              </w:rPr>
              <w:t>PTH</w:t>
            </w:r>
          </w:p>
        </w:tc>
        <w:tc>
          <w:tcPr>
            <w:tcW w:w="2160" w:type="dxa"/>
          </w:tcPr>
          <w:p w14:paraId="1D7F6CC3">
            <w:pPr>
              <w:jc w:val="center"/>
              <w:rPr>
                <w:rFonts w:hint="default" w:ascii="Times New Roman" w:hAnsi="Times New Roman" w:cs="Times New Roman"/>
              </w:rPr>
            </w:pPr>
            <w:r>
              <w:rPr>
                <w:rFonts w:hint="default" w:ascii="Times New Roman" w:hAnsi="Times New Roman" w:cs="Times New Roman"/>
                <w:sz w:val="18"/>
                <w:szCs w:val="18"/>
              </w:rPr>
              <w:t>32 (35.6%)</w:t>
            </w:r>
          </w:p>
        </w:tc>
        <w:tc>
          <w:tcPr>
            <w:tcW w:w="2160" w:type="dxa"/>
          </w:tcPr>
          <w:p w14:paraId="7C942795">
            <w:pPr>
              <w:jc w:val="center"/>
              <w:rPr>
                <w:rFonts w:hint="default" w:ascii="Times New Roman" w:hAnsi="Times New Roman" w:cs="Times New Roman"/>
              </w:rPr>
            </w:pPr>
            <w:r>
              <w:rPr>
                <w:rFonts w:hint="default" w:ascii="Times New Roman" w:hAnsi="Times New Roman" w:cs="Times New Roman"/>
                <w:sz w:val="18"/>
                <w:szCs w:val="18"/>
              </w:rPr>
              <w:t>13 (16.2%)</w:t>
            </w:r>
          </w:p>
        </w:tc>
        <w:tc>
          <w:tcPr>
            <w:tcW w:w="2160" w:type="dxa"/>
          </w:tcPr>
          <w:p w14:paraId="4343F2DD">
            <w:pPr>
              <w:jc w:val="center"/>
              <w:rPr>
                <w:rFonts w:hint="default" w:ascii="Times New Roman" w:hAnsi="Times New Roman" w:cs="Times New Roman"/>
              </w:rPr>
            </w:pPr>
            <w:r>
              <w:rPr>
                <w:rFonts w:hint="default" w:ascii="Times New Roman" w:hAnsi="Times New Roman" w:cs="Times New Roman"/>
                <w:sz w:val="18"/>
                <w:szCs w:val="18"/>
              </w:rPr>
              <w:t>45 (26.5%)</w:t>
            </w:r>
          </w:p>
        </w:tc>
      </w:tr>
      <w:tr w14:paraId="63477D8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822EC88">
            <w:pPr>
              <w:jc w:val="center"/>
              <w:rPr>
                <w:rFonts w:hint="default" w:ascii="Times New Roman" w:hAnsi="Times New Roman" w:cs="Times New Roman"/>
              </w:rPr>
            </w:pPr>
            <w:r>
              <w:rPr>
                <w:rFonts w:hint="default" w:ascii="Times New Roman" w:hAnsi="Times New Roman" w:cs="Times New Roman"/>
                <w:sz w:val="18"/>
                <w:szCs w:val="18"/>
              </w:rPr>
              <w:t>Ferritin</w:t>
            </w:r>
          </w:p>
        </w:tc>
        <w:tc>
          <w:tcPr>
            <w:tcW w:w="2160" w:type="dxa"/>
          </w:tcPr>
          <w:p w14:paraId="3C055D7D">
            <w:pPr>
              <w:jc w:val="center"/>
              <w:rPr>
                <w:rFonts w:hint="default" w:ascii="Times New Roman" w:hAnsi="Times New Roman" w:cs="Times New Roman"/>
              </w:rPr>
            </w:pPr>
            <w:r>
              <w:rPr>
                <w:rFonts w:hint="default" w:ascii="Times New Roman" w:hAnsi="Times New Roman" w:cs="Times New Roman"/>
                <w:sz w:val="18"/>
                <w:szCs w:val="18"/>
              </w:rPr>
              <w:t>39 (43.3%)</w:t>
            </w:r>
          </w:p>
        </w:tc>
        <w:tc>
          <w:tcPr>
            <w:tcW w:w="2160" w:type="dxa"/>
          </w:tcPr>
          <w:p w14:paraId="77214B6E">
            <w:pPr>
              <w:jc w:val="center"/>
              <w:rPr>
                <w:rFonts w:hint="default" w:ascii="Times New Roman" w:hAnsi="Times New Roman" w:cs="Times New Roman"/>
              </w:rPr>
            </w:pPr>
            <w:r>
              <w:rPr>
                <w:rFonts w:hint="default" w:ascii="Times New Roman" w:hAnsi="Times New Roman" w:cs="Times New Roman"/>
                <w:sz w:val="18"/>
                <w:szCs w:val="18"/>
              </w:rPr>
              <w:t>8 (10.0%)</w:t>
            </w:r>
          </w:p>
        </w:tc>
        <w:tc>
          <w:tcPr>
            <w:tcW w:w="2160" w:type="dxa"/>
          </w:tcPr>
          <w:p w14:paraId="1F46CB3A">
            <w:pPr>
              <w:jc w:val="center"/>
              <w:rPr>
                <w:rFonts w:hint="default" w:ascii="Times New Roman" w:hAnsi="Times New Roman" w:cs="Times New Roman"/>
              </w:rPr>
            </w:pPr>
            <w:r>
              <w:rPr>
                <w:rFonts w:hint="default" w:ascii="Times New Roman" w:hAnsi="Times New Roman" w:cs="Times New Roman"/>
                <w:sz w:val="18"/>
                <w:szCs w:val="18"/>
              </w:rPr>
              <w:t>47 (27.6%)</w:t>
            </w:r>
          </w:p>
        </w:tc>
      </w:tr>
      <w:tr w14:paraId="56E6FF5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5F20A1D">
            <w:pPr>
              <w:jc w:val="center"/>
              <w:rPr>
                <w:rFonts w:hint="default" w:ascii="Times New Roman" w:hAnsi="Times New Roman" w:cs="Times New Roman"/>
              </w:rPr>
            </w:pPr>
            <w:r>
              <w:rPr>
                <w:rFonts w:hint="default" w:ascii="Times New Roman" w:hAnsi="Times New Roman" w:cs="Times New Roman"/>
                <w:sz w:val="18"/>
                <w:szCs w:val="18"/>
              </w:rPr>
              <w:t>Triglycerides</w:t>
            </w:r>
          </w:p>
        </w:tc>
        <w:tc>
          <w:tcPr>
            <w:tcW w:w="2160" w:type="dxa"/>
          </w:tcPr>
          <w:p w14:paraId="5A54C379">
            <w:pPr>
              <w:jc w:val="center"/>
              <w:rPr>
                <w:rFonts w:hint="default" w:ascii="Times New Roman" w:hAnsi="Times New Roman" w:cs="Times New Roman"/>
              </w:rPr>
            </w:pPr>
            <w:r>
              <w:rPr>
                <w:rFonts w:hint="default" w:ascii="Times New Roman" w:hAnsi="Times New Roman" w:cs="Times New Roman"/>
                <w:sz w:val="18"/>
                <w:szCs w:val="18"/>
              </w:rPr>
              <w:t>34 (37.8%)</w:t>
            </w:r>
          </w:p>
        </w:tc>
        <w:tc>
          <w:tcPr>
            <w:tcW w:w="2160" w:type="dxa"/>
          </w:tcPr>
          <w:p w14:paraId="11A4B934">
            <w:pPr>
              <w:jc w:val="center"/>
              <w:rPr>
                <w:rFonts w:hint="default" w:ascii="Times New Roman" w:hAnsi="Times New Roman" w:cs="Times New Roman"/>
              </w:rPr>
            </w:pPr>
            <w:r>
              <w:rPr>
                <w:rFonts w:hint="default" w:ascii="Times New Roman" w:hAnsi="Times New Roman" w:cs="Times New Roman"/>
                <w:sz w:val="18"/>
                <w:szCs w:val="18"/>
              </w:rPr>
              <w:t>10 (12.5%)</w:t>
            </w:r>
          </w:p>
        </w:tc>
        <w:tc>
          <w:tcPr>
            <w:tcW w:w="2160" w:type="dxa"/>
          </w:tcPr>
          <w:p w14:paraId="48ABAC11">
            <w:pPr>
              <w:jc w:val="center"/>
              <w:rPr>
                <w:rFonts w:hint="default" w:ascii="Times New Roman" w:hAnsi="Times New Roman" w:cs="Times New Roman"/>
              </w:rPr>
            </w:pPr>
            <w:r>
              <w:rPr>
                <w:rFonts w:hint="default" w:ascii="Times New Roman" w:hAnsi="Times New Roman" w:cs="Times New Roman"/>
                <w:sz w:val="18"/>
                <w:szCs w:val="18"/>
              </w:rPr>
              <w:t>44 (25.9%)</w:t>
            </w:r>
          </w:p>
        </w:tc>
      </w:tr>
      <w:tr w14:paraId="18073C6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A71AB16">
            <w:pPr>
              <w:jc w:val="center"/>
              <w:rPr>
                <w:rFonts w:hint="default" w:ascii="Times New Roman" w:hAnsi="Times New Roman" w:cs="Times New Roman"/>
              </w:rPr>
            </w:pPr>
            <w:r>
              <w:rPr>
                <w:rFonts w:hint="default" w:ascii="Times New Roman" w:hAnsi="Times New Roman" w:cs="Times New Roman"/>
                <w:sz w:val="18"/>
                <w:szCs w:val="18"/>
              </w:rPr>
              <w:t>HDL</w:t>
            </w:r>
          </w:p>
        </w:tc>
        <w:tc>
          <w:tcPr>
            <w:tcW w:w="2160" w:type="dxa"/>
          </w:tcPr>
          <w:p w14:paraId="256E4C2F">
            <w:pPr>
              <w:jc w:val="center"/>
              <w:rPr>
                <w:rFonts w:hint="default" w:ascii="Times New Roman" w:hAnsi="Times New Roman" w:cs="Times New Roman"/>
              </w:rPr>
            </w:pPr>
            <w:r>
              <w:rPr>
                <w:rFonts w:hint="default" w:ascii="Times New Roman" w:hAnsi="Times New Roman" w:cs="Times New Roman"/>
                <w:sz w:val="18"/>
                <w:szCs w:val="18"/>
              </w:rPr>
              <w:t>34 (37.8%)</w:t>
            </w:r>
          </w:p>
        </w:tc>
        <w:tc>
          <w:tcPr>
            <w:tcW w:w="2160" w:type="dxa"/>
          </w:tcPr>
          <w:p w14:paraId="55FCD00E">
            <w:pPr>
              <w:jc w:val="center"/>
              <w:rPr>
                <w:rFonts w:hint="default" w:ascii="Times New Roman" w:hAnsi="Times New Roman" w:cs="Times New Roman"/>
              </w:rPr>
            </w:pPr>
            <w:r>
              <w:rPr>
                <w:rFonts w:hint="default" w:ascii="Times New Roman" w:hAnsi="Times New Roman" w:cs="Times New Roman"/>
                <w:sz w:val="18"/>
                <w:szCs w:val="18"/>
              </w:rPr>
              <w:t>10 (12.5%)</w:t>
            </w:r>
          </w:p>
        </w:tc>
        <w:tc>
          <w:tcPr>
            <w:tcW w:w="2160" w:type="dxa"/>
          </w:tcPr>
          <w:p w14:paraId="485BDE2B">
            <w:pPr>
              <w:jc w:val="center"/>
              <w:rPr>
                <w:rFonts w:hint="default" w:ascii="Times New Roman" w:hAnsi="Times New Roman" w:cs="Times New Roman"/>
              </w:rPr>
            </w:pPr>
            <w:r>
              <w:rPr>
                <w:rFonts w:hint="default" w:ascii="Times New Roman" w:hAnsi="Times New Roman" w:cs="Times New Roman"/>
                <w:sz w:val="18"/>
                <w:szCs w:val="18"/>
              </w:rPr>
              <w:t>44 (25.9%)</w:t>
            </w:r>
          </w:p>
        </w:tc>
      </w:tr>
      <w:tr w14:paraId="70B4A33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25EFB8B">
            <w:pPr>
              <w:jc w:val="center"/>
              <w:rPr>
                <w:rFonts w:hint="default" w:ascii="Times New Roman" w:hAnsi="Times New Roman" w:cs="Times New Roman"/>
              </w:rPr>
            </w:pPr>
            <w:r>
              <w:rPr>
                <w:rFonts w:hint="default" w:ascii="Times New Roman" w:hAnsi="Times New Roman" w:cs="Times New Roman"/>
                <w:sz w:val="18"/>
                <w:szCs w:val="18"/>
              </w:rPr>
              <w:t>LDL</w:t>
            </w:r>
          </w:p>
        </w:tc>
        <w:tc>
          <w:tcPr>
            <w:tcW w:w="2160" w:type="dxa"/>
          </w:tcPr>
          <w:p w14:paraId="3710A690">
            <w:pPr>
              <w:jc w:val="center"/>
              <w:rPr>
                <w:rFonts w:hint="default" w:ascii="Times New Roman" w:hAnsi="Times New Roman" w:cs="Times New Roman"/>
              </w:rPr>
            </w:pPr>
            <w:r>
              <w:rPr>
                <w:rFonts w:hint="default" w:ascii="Times New Roman" w:hAnsi="Times New Roman" w:cs="Times New Roman"/>
                <w:sz w:val="18"/>
                <w:szCs w:val="18"/>
              </w:rPr>
              <w:t>34 (37.8%)</w:t>
            </w:r>
          </w:p>
        </w:tc>
        <w:tc>
          <w:tcPr>
            <w:tcW w:w="2160" w:type="dxa"/>
          </w:tcPr>
          <w:p w14:paraId="4AD6BF45">
            <w:pPr>
              <w:jc w:val="center"/>
              <w:rPr>
                <w:rFonts w:hint="default" w:ascii="Times New Roman" w:hAnsi="Times New Roman" w:cs="Times New Roman"/>
              </w:rPr>
            </w:pPr>
            <w:r>
              <w:rPr>
                <w:rFonts w:hint="default" w:ascii="Times New Roman" w:hAnsi="Times New Roman" w:cs="Times New Roman"/>
                <w:sz w:val="18"/>
                <w:szCs w:val="18"/>
              </w:rPr>
              <w:t>10 (12.5%)</w:t>
            </w:r>
          </w:p>
        </w:tc>
        <w:tc>
          <w:tcPr>
            <w:tcW w:w="2160" w:type="dxa"/>
          </w:tcPr>
          <w:p w14:paraId="52A6DA01">
            <w:pPr>
              <w:jc w:val="center"/>
              <w:rPr>
                <w:rFonts w:hint="default" w:ascii="Times New Roman" w:hAnsi="Times New Roman" w:cs="Times New Roman"/>
              </w:rPr>
            </w:pPr>
            <w:r>
              <w:rPr>
                <w:rFonts w:hint="default" w:ascii="Times New Roman" w:hAnsi="Times New Roman" w:cs="Times New Roman"/>
                <w:sz w:val="18"/>
                <w:szCs w:val="18"/>
              </w:rPr>
              <w:t>44 (25.9%)</w:t>
            </w:r>
          </w:p>
        </w:tc>
      </w:tr>
      <w:tr w14:paraId="19249380">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0CC4022">
            <w:pPr>
              <w:jc w:val="center"/>
              <w:rPr>
                <w:rFonts w:hint="default" w:ascii="Times New Roman" w:hAnsi="Times New Roman" w:cs="Times New Roman"/>
              </w:rPr>
            </w:pPr>
            <w:r>
              <w:rPr>
                <w:rFonts w:hint="default" w:ascii="Times New Roman" w:hAnsi="Times New Roman" w:cs="Times New Roman"/>
                <w:sz w:val="18"/>
                <w:szCs w:val="18"/>
              </w:rPr>
              <w:t>Total cholesterol</w:t>
            </w:r>
          </w:p>
        </w:tc>
        <w:tc>
          <w:tcPr>
            <w:tcW w:w="2160" w:type="dxa"/>
          </w:tcPr>
          <w:p w14:paraId="538AB5EB">
            <w:pPr>
              <w:jc w:val="center"/>
              <w:rPr>
                <w:rFonts w:hint="default" w:ascii="Times New Roman" w:hAnsi="Times New Roman" w:cs="Times New Roman"/>
              </w:rPr>
            </w:pPr>
            <w:r>
              <w:rPr>
                <w:rFonts w:hint="default" w:ascii="Times New Roman" w:hAnsi="Times New Roman" w:cs="Times New Roman"/>
                <w:sz w:val="18"/>
                <w:szCs w:val="18"/>
              </w:rPr>
              <w:t>33 (36.7%)</w:t>
            </w:r>
          </w:p>
        </w:tc>
        <w:tc>
          <w:tcPr>
            <w:tcW w:w="2160" w:type="dxa"/>
          </w:tcPr>
          <w:p w14:paraId="66B73F88">
            <w:pPr>
              <w:jc w:val="center"/>
              <w:rPr>
                <w:rFonts w:hint="default" w:ascii="Times New Roman" w:hAnsi="Times New Roman" w:cs="Times New Roman"/>
              </w:rPr>
            </w:pPr>
            <w:r>
              <w:rPr>
                <w:rFonts w:hint="default" w:ascii="Times New Roman" w:hAnsi="Times New Roman" w:cs="Times New Roman"/>
                <w:sz w:val="18"/>
                <w:szCs w:val="18"/>
              </w:rPr>
              <w:t>10 (12.5%)</w:t>
            </w:r>
          </w:p>
        </w:tc>
        <w:tc>
          <w:tcPr>
            <w:tcW w:w="2160" w:type="dxa"/>
          </w:tcPr>
          <w:p w14:paraId="3FBB866E">
            <w:pPr>
              <w:jc w:val="center"/>
              <w:rPr>
                <w:rFonts w:hint="default" w:ascii="Times New Roman" w:hAnsi="Times New Roman" w:cs="Times New Roman"/>
              </w:rPr>
            </w:pPr>
            <w:r>
              <w:rPr>
                <w:rFonts w:hint="default" w:ascii="Times New Roman" w:hAnsi="Times New Roman" w:cs="Times New Roman"/>
                <w:sz w:val="18"/>
                <w:szCs w:val="18"/>
              </w:rPr>
              <w:t>43 (25.3%)</w:t>
            </w:r>
          </w:p>
        </w:tc>
      </w:tr>
      <w:tr w14:paraId="41D5992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220435B1">
            <w:pPr>
              <w:jc w:val="center"/>
              <w:rPr>
                <w:rFonts w:hint="default" w:ascii="Times New Roman" w:hAnsi="Times New Roman" w:cs="Times New Roman"/>
              </w:rPr>
            </w:pPr>
            <w:r>
              <w:rPr>
                <w:rFonts w:hint="default" w:ascii="Times New Roman" w:hAnsi="Times New Roman" w:cs="Times New Roman"/>
                <w:sz w:val="18"/>
                <w:szCs w:val="18"/>
              </w:rPr>
              <w:t>PCT</w:t>
            </w:r>
          </w:p>
        </w:tc>
        <w:tc>
          <w:tcPr>
            <w:tcW w:w="2160" w:type="dxa"/>
          </w:tcPr>
          <w:p w14:paraId="7D50E2CA">
            <w:pPr>
              <w:jc w:val="center"/>
              <w:rPr>
                <w:rFonts w:hint="default" w:ascii="Times New Roman" w:hAnsi="Times New Roman" w:cs="Times New Roman"/>
              </w:rPr>
            </w:pPr>
            <w:r>
              <w:rPr>
                <w:rFonts w:hint="default" w:ascii="Times New Roman" w:hAnsi="Times New Roman" w:cs="Times New Roman"/>
                <w:sz w:val="18"/>
                <w:szCs w:val="18"/>
              </w:rPr>
              <w:t>15 (16.7%)</w:t>
            </w:r>
          </w:p>
        </w:tc>
        <w:tc>
          <w:tcPr>
            <w:tcW w:w="2160" w:type="dxa"/>
          </w:tcPr>
          <w:p w14:paraId="7CE5140F">
            <w:pPr>
              <w:jc w:val="center"/>
              <w:rPr>
                <w:rFonts w:hint="default" w:ascii="Times New Roman" w:hAnsi="Times New Roman" w:cs="Times New Roman"/>
              </w:rPr>
            </w:pPr>
            <w:r>
              <w:rPr>
                <w:rFonts w:hint="default" w:ascii="Times New Roman" w:hAnsi="Times New Roman" w:cs="Times New Roman"/>
                <w:sz w:val="18"/>
                <w:szCs w:val="18"/>
              </w:rPr>
              <w:t>24 (30.0%)</w:t>
            </w:r>
          </w:p>
        </w:tc>
        <w:tc>
          <w:tcPr>
            <w:tcW w:w="2160" w:type="dxa"/>
          </w:tcPr>
          <w:p w14:paraId="648CFAB9">
            <w:pPr>
              <w:jc w:val="center"/>
              <w:rPr>
                <w:rFonts w:hint="default" w:ascii="Times New Roman" w:hAnsi="Times New Roman" w:cs="Times New Roman"/>
              </w:rPr>
            </w:pPr>
            <w:r>
              <w:rPr>
                <w:rFonts w:hint="default" w:ascii="Times New Roman" w:hAnsi="Times New Roman" w:cs="Times New Roman"/>
                <w:sz w:val="18"/>
                <w:szCs w:val="18"/>
              </w:rPr>
              <w:t>39 (22.9%)</w:t>
            </w:r>
          </w:p>
        </w:tc>
      </w:tr>
      <w:tr w14:paraId="74FB57E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27232CD">
            <w:pPr>
              <w:jc w:val="center"/>
              <w:rPr>
                <w:rFonts w:hint="default" w:ascii="Times New Roman" w:hAnsi="Times New Roman" w:cs="Times New Roman"/>
              </w:rPr>
            </w:pPr>
            <w:r>
              <w:rPr>
                <w:rFonts w:hint="default" w:ascii="Times New Roman" w:hAnsi="Times New Roman" w:cs="Times New Roman"/>
                <w:sz w:val="18"/>
                <w:szCs w:val="18"/>
              </w:rPr>
              <w:t>IL-6</w:t>
            </w:r>
          </w:p>
        </w:tc>
        <w:tc>
          <w:tcPr>
            <w:tcW w:w="2160" w:type="dxa"/>
          </w:tcPr>
          <w:p w14:paraId="54701D02">
            <w:pPr>
              <w:jc w:val="center"/>
              <w:rPr>
                <w:rFonts w:hint="default" w:ascii="Times New Roman" w:hAnsi="Times New Roman" w:cs="Times New Roman"/>
              </w:rPr>
            </w:pPr>
            <w:r>
              <w:rPr>
                <w:rFonts w:hint="default" w:ascii="Times New Roman" w:hAnsi="Times New Roman" w:cs="Times New Roman"/>
                <w:sz w:val="18"/>
                <w:szCs w:val="18"/>
              </w:rPr>
              <w:t>15 (16.7%)</w:t>
            </w:r>
          </w:p>
        </w:tc>
        <w:tc>
          <w:tcPr>
            <w:tcW w:w="2160" w:type="dxa"/>
          </w:tcPr>
          <w:p w14:paraId="50A0F3BD">
            <w:pPr>
              <w:jc w:val="center"/>
              <w:rPr>
                <w:rFonts w:hint="default" w:ascii="Times New Roman" w:hAnsi="Times New Roman" w:cs="Times New Roman"/>
              </w:rPr>
            </w:pPr>
            <w:r>
              <w:rPr>
                <w:rFonts w:hint="default" w:ascii="Times New Roman" w:hAnsi="Times New Roman" w:cs="Times New Roman"/>
                <w:sz w:val="18"/>
                <w:szCs w:val="18"/>
              </w:rPr>
              <w:t>24 (30.0%)</w:t>
            </w:r>
          </w:p>
        </w:tc>
        <w:tc>
          <w:tcPr>
            <w:tcW w:w="2160" w:type="dxa"/>
          </w:tcPr>
          <w:p w14:paraId="04E14592">
            <w:pPr>
              <w:jc w:val="center"/>
              <w:rPr>
                <w:rFonts w:hint="default" w:ascii="Times New Roman" w:hAnsi="Times New Roman" w:cs="Times New Roman"/>
              </w:rPr>
            </w:pPr>
            <w:r>
              <w:rPr>
                <w:rFonts w:hint="default" w:ascii="Times New Roman" w:hAnsi="Times New Roman" w:cs="Times New Roman"/>
                <w:sz w:val="18"/>
                <w:szCs w:val="18"/>
              </w:rPr>
              <w:t>39 (22.9%)</w:t>
            </w:r>
          </w:p>
        </w:tc>
      </w:tr>
      <w:tr w14:paraId="7585DC0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946492C">
            <w:pPr>
              <w:jc w:val="center"/>
              <w:rPr>
                <w:rFonts w:hint="default" w:ascii="Times New Roman" w:hAnsi="Times New Roman" w:cs="Times New Roman"/>
              </w:rPr>
            </w:pPr>
            <w:r>
              <w:rPr>
                <w:rFonts w:hint="default" w:ascii="Times New Roman" w:hAnsi="Times New Roman" w:cs="Times New Roman"/>
                <w:sz w:val="18"/>
                <w:szCs w:val="18"/>
              </w:rPr>
              <w:t>BMI</w:t>
            </w:r>
          </w:p>
        </w:tc>
        <w:tc>
          <w:tcPr>
            <w:tcW w:w="2160" w:type="dxa"/>
          </w:tcPr>
          <w:p w14:paraId="12E075A3">
            <w:pPr>
              <w:jc w:val="center"/>
              <w:rPr>
                <w:rFonts w:hint="default" w:ascii="Times New Roman" w:hAnsi="Times New Roman" w:cs="Times New Roman"/>
              </w:rPr>
            </w:pPr>
            <w:r>
              <w:rPr>
                <w:rFonts w:hint="default" w:ascii="Times New Roman" w:hAnsi="Times New Roman" w:cs="Times New Roman"/>
                <w:sz w:val="18"/>
                <w:szCs w:val="18"/>
              </w:rPr>
              <w:t>19 (21.1%)</w:t>
            </w:r>
          </w:p>
        </w:tc>
        <w:tc>
          <w:tcPr>
            <w:tcW w:w="2160" w:type="dxa"/>
          </w:tcPr>
          <w:p w14:paraId="7929A354">
            <w:pPr>
              <w:jc w:val="center"/>
              <w:rPr>
                <w:rFonts w:hint="default" w:ascii="Times New Roman" w:hAnsi="Times New Roman" w:cs="Times New Roman"/>
              </w:rPr>
            </w:pPr>
            <w:r>
              <w:rPr>
                <w:rFonts w:hint="default" w:ascii="Times New Roman" w:hAnsi="Times New Roman" w:cs="Times New Roman"/>
                <w:sz w:val="18"/>
                <w:szCs w:val="18"/>
              </w:rPr>
              <w:t>3 (3.8%)</w:t>
            </w:r>
          </w:p>
        </w:tc>
        <w:tc>
          <w:tcPr>
            <w:tcW w:w="2160" w:type="dxa"/>
          </w:tcPr>
          <w:p w14:paraId="1B79D848">
            <w:pPr>
              <w:jc w:val="center"/>
              <w:rPr>
                <w:rFonts w:hint="default" w:ascii="Times New Roman" w:hAnsi="Times New Roman" w:cs="Times New Roman"/>
              </w:rPr>
            </w:pPr>
            <w:r>
              <w:rPr>
                <w:rFonts w:hint="default" w:ascii="Times New Roman" w:hAnsi="Times New Roman" w:cs="Times New Roman"/>
                <w:sz w:val="18"/>
                <w:szCs w:val="18"/>
              </w:rPr>
              <w:t>22 (12.9%)</w:t>
            </w:r>
          </w:p>
        </w:tc>
      </w:tr>
      <w:tr w14:paraId="216FD40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FA6F8C7">
            <w:pPr>
              <w:jc w:val="center"/>
              <w:rPr>
                <w:rFonts w:hint="default" w:ascii="Times New Roman" w:hAnsi="Times New Roman" w:cs="Times New Roman"/>
              </w:rPr>
            </w:pPr>
            <w:r>
              <w:rPr>
                <w:rFonts w:hint="default" w:ascii="Times New Roman" w:hAnsi="Times New Roman" w:cs="Times New Roman"/>
                <w:sz w:val="18"/>
                <w:szCs w:val="18"/>
              </w:rPr>
              <w:t>Peritoneal Kt/V</w:t>
            </w:r>
          </w:p>
        </w:tc>
        <w:tc>
          <w:tcPr>
            <w:tcW w:w="2160" w:type="dxa"/>
          </w:tcPr>
          <w:p w14:paraId="75BCA1FA">
            <w:pPr>
              <w:jc w:val="center"/>
              <w:rPr>
                <w:rFonts w:hint="default" w:ascii="Times New Roman" w:hAnsi="Times New Roman" w:cs="Times New Roman"/>
              </w:rPr>
            </w:pPr>
            <w:r>
              <w:rPr>
                <w:rFonts w:hint="default" w:ascii="Times New Roman" w:hAnsi="Times New Roman" w:cs="Times New Roman"/>
                <w:sz w:val="18"/>
                <w:szCs w:val="18"/>
              </w:rPr>
              <w:t>16 (17.8%)</w:t>
            </w:r>
          </w:p>
        </w:tc>
        <w:tc>
          <w:tcPr>
            <w:tcW w:w="2160" w:type="dxa"/>
          </w:tcPr>
          <w:p w14:paraId="328F396B">
            <w:pPr>
              <w:jc w:val="center"/>
              <w:rPr>
                <w:rFonts w:hint="default" w:ascii="Times New Roman" w:hAnsi="Times New Roman" w:cs="Times New Roman"/>
              </w:rPr>
            </w:pPr>
            <w:r>
              <w:rPr>
                <w:rFonts w:hint="default" w:ascii="Times New Roman" w:hAnsi="Times New Roman" w:cs="Times New Roman"/>
                <w:sz w:val="18"/>
                <w:szCs w:val="18"/>
              </w:rPr>
              <w:t>1 (1.3%)</w:t>
            </w:r>
          </w:p>
        </w:tc>
        <w:tc>
          <w:tcPr>
            <w:tcW w:w="2160" w:type="dxa"/>
          </w:tcPr>
          <w:p w14:paraId="2EF36810">
            <w:pPr>
              <w:jc w:val="center"/>
              <w:rPr>
                <w:rFonts w:hint="default" w:ascii="Times New Roman" w:hAnsi="Times New Roman" w:cs="Times New Roman"/>
              </w:rPr>
            </w:pPr>
            <w:r>
              <w:rPr>
                <w:rFonts w:hint="default" w:ascii="Times New Roman" w:hAnsi="Times New Roman" w:cs="Times New Roman"/>
                <w:sz w:val="18"/>
                <w:szCs w:val="18"/>
              </w:rPr>
              <w:t>17 (10.0%)</w:t>
            </w:r>
          </w:p>
        </w:tc>
      </w:tr>
      <w:tr w14:paraId="438B205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5B0E5EA">
            <w:pPr>
              <w:jc w:val="center"/>
              <w:rPr>
                <w:rFonts w:hint="default" w:ascii="Times New Roman" w:hAnsi="Times New Roman" w:cs="Times New Roman"/>
              </w:rPr>
            </w:pPr>
            <w:r>
              <w:rPr>
                <w:rFonts w:hint="default" w:ascii="Times New Roman" w:hAnsi="Times New Roman" w:cs="Times New Roman"/>
                <w:sz w:val="18"/>
                <w:szCs w:val="18"/>
              </w:rPr>
              <w:t>Residual Kt/V</w:t>
            </w:r>
          </w:p>
        </w:tc>
        <w:tc>
          <w:tcPr>
            <w:tcW w:w="2160" w:type="dxa"/>
          </w:tcPr>
          <w:p w14:paraId="41145EC3">
            <w:pPr>
              <w:jc w:val="center"/>
              <w:rPr>
                <w:rFonts w:hint="default" w:ascii="Times New Roman" w:hAnsi="Times New Roman" w:cs="Times New Roman"/>
              </w:rPr>
            </w:pPr>
            <w:r>
              <w:rPr>
                <w:rFonts w:hint="default" w:ascii="Times New Roman" w:hAnsi="Times New Roman" w:cs="Times New Roman"/>
                <w:sz w:val="18"/>
                <w:szCs w:val="18"/>
              </w:rPr>
              <w:t>16 (17.8%)</w:t>
            </w:r>
          </w:p>
        </w:tc>
        <w:tc>
          <w:tcPr>
            <w:tcW w:w="2160" w:type="dxa"/>
          </w:tcPr>
          <w:p w14:paraId="362410E7">
            <w:pPr>
              <w:jc w:val="center"/>
              <w:rPr>
                <w:rFonts w:hint="default" w:ascii="Times New Roman" w:hAnsi="Times New Roman" w:cs="Times New Roman"/>
              </w:rPr>
            </w:pPr>
            <w:r>
              <w:rPr>
                <w:rFonts w:hint="default" w:ascii="Times New Roman" w:hAnsi="Times New Roman" w:cs="Times New Roman"/>
                <w:sz w:val="18"/>
                <w:szCs w:val="18"/>
              </w:rPr>
              <w:t>1 (1.3%)</w:t>
            </w:r>
          </w:p>
        </w:tc>
        <w:tc>
          <w:tcPr>
            <w:tcW w:w="2160" w:type="dxa"/>
          </w:tcPr>
          <w:p w14:paraId="3C78A696">
            <w:pPr>
              <w:jc w:val="center"/>
              <w:rPr>
                <w:rFonts w:hint="default" w:ascii="Times New Roman" w:hAnsi="Times New Roman" w:cs="Times New Roman"/>
              </w:rPr>
            </w:pPr>
            <w:r>
              <w:rPr>
                <w:rFonts w:hint="default" w:ascii="Times New Roman" w:hAnsi="Times New Roman" w:cs="Times New Roman"/>
                <w:sz w:val="18"/>
                <w:szCs w:val="18"/>
              </w:rPr>
              <w:t>17 (10.0%)</w:t>
            </w:r>
          </w:p>
        </w:tc>
      </w:tr>
      <w:tr w14:paraId="0CA41D2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1AFADCDA">
            <w:pPr>
              <w:jc w:val="center"/>
              <w:rPr>
                <w:rFonts w:hint="default" w:ascii="Times New Roman" w:hAnsi="Times New Roman" w:cs="Times New Roman"/>
              </w:rPr>
            </w:pPr>
            <w:r>
              <w:rPr>
                <w:rFonts w:hint="default" w:ascii="Times New Roman" w:hAnsi="Times New Roman" w:cs="Times New Roman"/>
                <w:sz w:val="18"/>
                <w:szCs w:val="18"/>
              </w:rPr>
              <w:t>Dry weight</w:t>
            </w:r>
          </w:p>
        </w:tc>
        <w:tc>
          <w:tcPr>
            <w:tcW w:w="2160" w:type="dxa"/>
          </w:tcPr>
          <w:p w14:paraId="583A250C">
            <w:pPr>
              <w:jc w:val="center"/>
              <w:rPr>
                <w:rFonts w:hint="default" w:ascii="Times New Roman" w:hAnsi="Times New Roman" w:cs="Times New Roman"/>
              </w:rPr>
            </w:pPr>
            <w:r>
              <w:rPr>
                <w:rFonts w:hint="default" w:ascii="Times New Roman" w:hAnsi="Times New Roman" w:cs="Times New Roman"/>
                <w:sz w:val="18"/>
                <w:szCs w:val="18"/>
              </w:rPr>
              <w:t>16 (17.8%)</w:t>
            </w:r>
          </w:p>
        </w:tc>
        <w:tc>
          <w:tcPr>
            <w:tcW w:w="2160" w:type="dxa"/>
          </w:tcPr>
          <w:p w14:paraId="30E2A29C">
            <w:pPr>
              <w:jc w:val="center"/>
              <w:rPr>
                <w:rFonts w:hint="default" w:ascii="Times New Roman" w:hAnsi="Times New Roman" w:cs="Times New Roman"/>
              </w:rPr>
            </w:pPr>
            <w:r>
              <w:rPr>
                <w:rFonts w:hint="default" w:ascii="Times New Roman" w:hAnsi="Times New Roman" w:cs="Times New Roman"/>
                <w:sz w:val="18"/>
                <w:szCs w:val="18"/>
              </w:rPr>
              <w:t>1 (1.3%)</w:t>
            </w:r>
          </w:p>
        </w:tc>
        <w:tc>
          <w:tcPr>
            <w:tcW w:w="2160" w:type="dxa"/>
          </w:tcPr>
          <w:p w14:paraId="578DB643">
            <w:pPr>
              <w:jc w:val="center"/>
              <w:rPr>
                <w:rFonts w:hint="default" w:ascii="Times New Roman" w:hAnsi="Times New Roman" w:cs="Times New Roman"/>
              </w:rPr>
            </w:pPr>
            <w:r>
              <w:rPr>
                <w:rFonts w:hint="default" w:ascii="Times New Roman" w:hAnsi="Times New Roman" w:cs="Times New Roman"/>
                <w:sz w:val="18"/>
                <w:szCs w:val="18"/>
              </w:rPr>
              <w:t>17 (10.0%)</w:t>
            </w:r>
          </w:p>
        </w:tc>
      </w:tr>
      <w:tr w14:paraId="46B10E8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8837A04">
            <w:pPr>
              <w:jc w:val="center"/>
              <w:rPr>
                <w:rFonts w:hint="default" w:ascii="Times New Roman" w:hAnsi="Times New Roman" w:cs="Times New Roman"/>
              </w:rPr>
            </w:pPr>
            <w:r>
              <w:rPr>
                <w:rFonts w:hint="default" w:ascii="Times New Roman" w:hAnsi="Times New Roman" w:cs="Times New Roman"/>
                <w:sz w:val="18"/>
                <w:szCs w:val="18"/>
              </w:rPr>
              <w:t>Total Kt/V</w:t>
            </w:r>
          </w:p>
        </w:tc>
        <w:tc>
          <w:tcPr>
            <w:tcW w:w="2160" w:type="dxa"/>
          </w:tcPr>
          <w:p w14:paraId="645B58B8">
            <w:pPr>
              <w:jc w:val="center"/>
              <w:rPr>
                <w:rFonts w:hint="default" w:ascii="Times New Roman" w:hAnsi="Times New Roman" w:cs="Times New Roman"/>
              </w:rPr>
            </w:pPr>
            <w:r>
              <w:rPr>
                <w:rFonts w:hint="default" w:ascii="Times New Roman" w:hAnsi="Times New Roman" w:cs="Times New Roman"/>
                <w:sz w:val="18"/>
                <w:szCs w:val="18"/>
              </w:rPr>
              <w:t>16 (17.8%)</w:t>
            </w:r>
          </w:p>
        </w:tc>
        <w:tc>
          <w:tcPr>
            <w:tcW w:w="2160" w:type="dxa"/>
          </w:tcPr>
          <w:p w14:paraId="20059A2E">
            <w:pPr>
              <w:jc w:val="center"/>
              <w:rPr>
                <w:rFonts w:hint="default" w:ascii="Times New Roman" w:hAnsi="Times New Roman" w:cs="Times New Roman"/>
              </w:rPr>
            </w:pPr>
            <w:r>
              <w:rPr>
                <w:rFonts w:hint="default" w:ascii="Times New Roman" w:hAnsi="Times New Roman" w:cs="Times New Roman"/>
                <w:sz w:val="18"/>
                <w:szCs w:val="18"/>
              </w:rPr>
              <w:t>1 (1.3%)</w:t>
            </w:r>
          </w:p>
        </w:tc>
        <w:tc>
          <w:tcPr>
            <w:tcW w:w="2160" w:type="dxa"/>
          </w:tcPr>
          <w:p w14:paraId="76C79FC4">
            <w:pPr>
              <w:jc w:val="center"/>
              <w:rPr>
                <w:rFonts w:hint="default" w:ascii="Times New Roman" w:hAnsi="Times New Roman" w:cs="Times New Roman"/>
              </w:rPr>
            </w:pPr>
            <w:r>
              <w:rPr>
                <w:rFonts w:hint="default" w:ascii="Times New Roman" w:hAnsi="Times New Roman" w:cs="Times New Roman"/>
                <w:sz w:val="18"/>
                <w:szCs w:val="18"/>
              </w:rPr>
              <w:t>17 (10.0%)</w:t>
            </w:r>
          </w:p>
        </w:tc>
      </w:tr>
      <w:tr w14:paraId="18DE93D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6D41CA71">
            <w:pPr>
              <w:jc w:val="center"/>
              <w:rPr>
                <w:rFonts w:hint="default" w:ascii="Times New Roman" w:hAnsi="Times New Roman" w:cs="Times New Roman"/>
              </w:rPr>
            </w:pPr>
            <w:r>
              <w:rPr>
                <w:rFonts w:hint="default" w:ascii="Times New Roman" w:hAnsi="Times New Roman" w:cs="Times New Roman"/>
                <w:sz w:val="18"/>
                <w:szCs w:val="18"/>
              </w:rPr>
              <w:t>Peritoneal Ccr</w:t>
            </w:r>
          </w:p>
        </w:tc>
        <w:tc>
          <w:tcPr>
            <w:tcW w:w="2160" w:type="dxa"/>
          </w:tcPr>
          <w:p w14:paraId="620D8F38">
            <w:pPr>
              <w:jc w:val="center"/>
              <w:rPr>
                <w:rFonts w:hint="default" w:ascii="Times New Roman" w:hAnsi="Times New Roman" w:cs="Times New Roman"/>
              </w:rPr>
            </w:pPr>
            <w:r>
              <w:rPr>
                <w:rFonts w:hint="default" w:ascii="Times New Roman" w:hAnsi="Times New Roman" w:cs="Times New Roman"/>
                <w:sz w:val="18"/>
                <w:szCs w:val="18"/>
              </w:rPr>
              <w:t>14 (15.6%)</w:t>
            </w:r>
          </w:p>
        </w:tc>
        <w:tc>
          <w:tcPr>
            <w:tcW w:w="2160" w:type="dxa"/>
          </w:tcPr>
          <w:p w14:paraId="37BBD553">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771933A1">
            <w:pPr>
              <w:jc w:val="center"/>
              <w:rPr>
                <w:rFonts w:hint="default" w:ascii="Times New Roman" w:hAnsi="Times New Roman" w:cs="Times New Roman"/>
              </w:rPr>
            </w:pPr>
            <w:r>
              <w:rPr>
                <w:rFonts w:hint="default" w:ascii="Times New Roman" w:hAnsi="Times New Roman" w:cs="Times New Roman"/>
                <w:sz w:val="18"/>
                <w:szCs w:val="18"/>
              </w:rPr>
              <w:t>14 (8.2%)</w:t>
            </w:r>
          </w:p>
        </w:tc>
      </w:tr>
      <w:tr w14:paraId="0E89D7A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01CF58D">
            <w:pPr>
              <w:jc w:val="center"/>
              <w:rPr>
                <w:rFonts w:hint="default" w:ascii="Times New Roman" w:hAnsi="Times New Roman" w:cs="Times New Roman"/>
              </w:rPr>
            </w:pPr>
            <w:r>
              <w:rPr>
                <w:rFonts w:hint="default" w:ascii="Times New Roman" w:hAnsi="Times New Roman" w:cs="Times New Roman"/>
                <w:sz w:val="18"/>
                <w:szCs w:val="18"/>
              </w:rPr>
              <w:t>Residual renal Ccr</w:t>
            </w:r>
          </w:p>
        </w:tc>
        <w:tc>
          <w:tcPr>
            <w:tcW w:w="2160" w:type="dxa"/>
          </w:tcPr>
          <w:p w14:paraId="4F60C9BA">
            <w:pPr>
              <w:jc w:val="center"/>
              <w:rPr>
                <w:rFonts w:hint="default" w:ascii="Times New Roman" w:hAnsi="Times New Roman" w:cs="Times New Roman"/>
              </w:rPr>
            </w:pPr>
            <w:r>
              <w:rPr>
                <w:rFonts w:hint="default" w:ascii="Times New Roman" w:hAnsi="Times New Roman" w:cs="Times New Roman"/>
                <w:sz w:val="18"/>
                <w:szCs w:val="18"/>
              </w:rPr>
              <w:t>14 (15.6%)</w:t>
            </w:r>
          </w:p>
        </w:tc>
        <w:tc>
          <w:tcPr>
            <w:tcW w:w="2160" w:type="dxa"/>
          </w:tcPr>
          <w:p w14:paraId="7A313A2D">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0ED3DCA6">
            <w:pPr>
              <w:jc w:val="center"/>
              <w:rPr>
                <w:rFonts w:hint="default" w:ascii="Times New Roman" w:hAnsi="Times New Roman" w:cs="Times New Roman"/>
              </w:rPr>
            </w:pPr>
            <w:r>
              <w:rPr>
                <w:rFonts w:hint="default" w:ascii="Times New Roman" w:hAnsi="Times New Roman" w:cs="Times New Roman"/>
                <w:sz w:val="18"/>
                <w:szCs w:val="18"/>
              </w:rPr>
              <w:t>14 (8.2%)</w:t>
            </w:r>
          </w:p>
        </w:tc>
      </w:tr>
      <w:tr w14:paraId="78E6DCC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0B848030">
            <w:pPr>
              <w:jc w:val="center"/>
              <w:rPr>
                <w:rFonts w:hint="default" w:ascii="Times New Roman" w:hAnsi="Times New Roman" w:cs="Times New Roman"/>
              </w:rPr>
            </w:pPr>
            <w:r>
              <w:rPr>
                <w:rFonts w:hint="default" w:ascii="Times New Roman" w:hAnsi="Times New Roman" w:cs="Times New Roman"/>
                <w:sz w:val="18"/>
                <w:szCs w:val="18"/>
              </w:rPr>
              <w:t>Total Ccr</w:t>
            </w:r>
          </w:p>
        </w:tc>
        <w:tc>
          <w:tcPr>
            <w:tcW w:w="2160" w:type="dxa"/>
          </w:tcPr>
          <w:p w14:paraId="47410379">
            <w:pPr>
              <w:jc w:val="center"/>
              <w:rPr>
                <w:rFonts w:hint="default" w:ascii="Times New Roman" w:hAnsi="Times New Roman" w:cs="Times New Roman"/>
              </w:rPr>
            </w:pPr>
            <w:r>
              <w:rPr>
                <w:rFonts w:hint="default" w:ascii="Times New Roman" w:hAnsi="Times New Roman" w:cs="Times New Roman"/>
                <w:sz w:val="18"/>
                <w:szCs w:val="18"/>
              </w:rPr>
              <w:t>14 (15.6%)</w:t>
            </w:r>
          </w:p>
        </w:tc>
        <w:tc>
          <w:tcPr>
            <w:tcW w:w="2160" w:type="dxa"/>
          </w:tcPr>
          <w:p w14:paraId="29B90730">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7835E482">
            <w:pPr>
              <w:jc w:val="center"/>
              <w:rPr>
                <w:rFonts w:hint="default" w:ascii="Times New Roman" w:hAnsi="Times New Roman" w:cs="Times New Roman"/>
              </w:rPr>
            </w:pPr>
            <w:r>
              <w:rPr>
                <w:rFonts w:hint="default" w:ascii="Times New Roman" w:hAnsi="Times New Roman" w:cs="Times New Roman"/>
                <w:sz w:val="18"/>
                <w:szCs w:val="18"/>
              </w:rPr>
              <w:t>14 (8.2%)</w:t>
            </w:r>
          </w:p>
        </w:tc>
      </w:tr>
      <w:tr w14:paraId="18D4C00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4805B32">
            <w:pPr>
              <w:jc w:val="center"/>
              <w:rPr>
                <w:rFonts w:hint="default" w:ascii="Times New Roman" w:hAnsi="Times New Roman" w:cs="Times New Roman"/>
              </w:rPr>
            </w:pPr>
            <w:r>
              <w:rPr>
                <w:rFonts w:hint="default" w:ascii="Times New Roman" w:hAnsi="Times New Roman" w:cs="Times New Roman"/>
                <w:sz w:val="18"/>
                <w:szCs w:val="18"/>
              </w:rPr>
              <w:t>Urine volume</w:t>
            </w:r>
          </w:p>
        </w:tc>
        <w:tc>
          <w:tcPr>
            <w:tcW w:w="2160" w:type="dxa"/>
          </w:tcPr>
          <w:p w14:paraId="05FB3A21">
            <w:pPr>
              <w:jc w:val="center"/>
              <w:rPr>
                <w:rFonts w:hint="default" w:ascii="Times New Roman" w:hAnsi="Times New Roman" w:cs="Times New Roman"/>
              </w:rPr>
            </w:pPr>
            <w:r>
              <w:rPr>
                <w:rFonts w:hint="default" w:ascii="Times New Roman" w:hAnsi="Times New Roman" w:cs="Times New Roman"/>
                <w:sz w:val="18"/>
                <w:szCs w:val="18"/>
              </w:rPr>
              <w:t>14 (15.6%)</w:t>
            </w:r>
          </w:p>
        </w:tc>
        <w:tc>
          <w:tcPr>
            <w:tcW w:w="2160" w:type="dxa"/>
          </w:tcPr>
          <w:p w14:paraId="56A1DAAA">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325065C2">
            <w:pPr>
              <w:jc w:val="center"/>
              <w:rPr>
                <w:rFonts w:hint="default" w:ascii="Times New Roman" w:hAnsi="Times New Roman" w:cs="Times New Roman"/>
              </w:rPr>
            </w:pPr>
            <w:r>
              <w:rPr>
                <w:rFonts w:hint="default" w:ascii="Times New Roman" w:hAnsi="Times New Roman" w:cs="Times New Roman"/>
                <w:sz w:val="18"/>
                <w:szCs w:val="18"/>
              </w:rPr>
              <w:t>14 (8.2%)</w:t>
            </w:r>
          </w:p>
        </w:tc>
      </w:tr>
      <w:tr w14:paraId="71615F53">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D850CE5">
            <w:pPr>
              <w:jc w:val="center"/>
              <w:rPr>
                <w:rFonts w:hint="default" w:ascii="Times New Roman" w:hAnsi="Times New Roman" w:cs="Times New Roman"/>
              </w:rPr>
            </w:pPr>
            <w:r>
              <w:rPr>
                <w:rFonts w:hint="default" w:ascii="Times New Roman" w:hAnsi="Times New Roman" w:cs="Times New Roman"/>
                <w:sz w:val="18"/>
                <w:szCs w:val="18"/>
              </w:rPr>
              <w:t>Phosphorus</w:t>
            </w:r>
          </w:p>
        </w:tc>
        <w:tc>
          <w:tcPr>
            <w:tcW w:w="2160" w:type="dxa"/>
          </w:tcPr>
          <w:p w14:paraId="7077D7CA">
            <w:pPr>
              <w:jc w:val="center"/>
              <w:rPr>
                <w:rFonts w:hint="default" w:ascii="Times New Roman" w:hAnsi="Times New Roman" w:cs="Times New Roman"/>
              </w:rPr>
            </w:pPr>
            <w:r>
              <w:rPr>
                <w:rFonts w:hint="default" w:ascii="Times New Roman" w:hAnsi="Times New Roman" w:cs="Times New Roman"/>
                <w:sz w:val="18"/>
                <w:szCs w:val="18"/>
              </w:rPr>
              <w:t>8 (8.9%)</w:t>
            </w:r>
          </w:p>
        </w:tc>
        <w:tc>
          <w:tcPr>
            <w:tcW w:w="2160" w:type="dxa"/>
          </w:tcPr>
          <w:p w14:paraId="7401AD8D">
            <w:pPr>
              <w:jc w:val="center"/>
              <w:rPr>
                <w:rFonts w:hint="default" w:ascii="Times New Roman" w:hAnsi="Times New Roman" w:cs="Times New Roman"/>
              </w:rPr>
            </w:pPr>
            <w:r>
              <w:rPr>
                <w:rFonts w:hint="default" w:ascii="Times New Roman" w:hAnsi="Times New Roman" w:cs="Times New Roman"/>
                <w:sz w:val="18"/>
                <w:szCs w:val="18"/>
              </w:rPr>
              <w:t>4 (5.0%)</w:t>
            </w:r>
          </w:p>
        </w:tc>
        <w:tc>
          <w:tcPr>
            <w:tcW w:w="2160" w:type="dxa"/>
          </w:tcPr>
          <w:p w14:paraId="3FDFF317">
            <w:pPr>
              <w:jc w:val="center"/>
              <w:rPr>
                <w:rFonts w:hint="default" w:ascii="Times New Roman" w:hAnsi="Times New Roman" w:cs="Times New Roman"/>
              </w:rPr>
            </w:pPr>
            <w:r>
              <w:rPr>
                <w:rFonts w:hint="default" w:ascii="Times New Roman" w:hAnsi="Times New Roman" w:cs="Times New Roman"/>
                <w:sz w:val="18"/>
                <w:szCs w:val="18"/>
              </w:rPr>
              <w:t>12 (7.1%)</w:t>
            </w:r>
          </w:p>
        </w:tc>
      </w:tr>
      <w:tr w14:paraId="4F85BF8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2D5D778F">
            <w:pPr>
              <w:jc w:val="center"/>
              <w:rPr>
                <w:rFonts w:hint="default" w:ascii="Times New Roman" w:hAnsi="Times New Roman" w:cs="Times New Roman"/>
              </w:rPr>
            </w:pPr>
            <w:r>
              <w:rPr>
                <w:rFonts w:hint="default" w:ascii="Times New Roman" w:hAnsi="Times New Roman" w:cs="Times New Roman"/>
                <w:sz w:val="18"/>
                <w:szCs w:val="18"/>
              </w:rPr>
              <w:t>CRP</w:t>
            </w:r>
          </w:p>
        </w:tc>
        <w:tc>
          <w:tcPr>
            <w:tcW w:w="2160" w:type="dxa"/>
          </w:tcPr>
          <w:p w14:paraId="7098A78C">
            <w:pPr>
              <w:jc w:val="center"/>
              <w:rPr>
                <w:rFonts w:hint="default" w:ascii="Times New Roman" w:hAnsi="Times New Roman" w:cs="Times New Roman"/>
              </w:rPr>
            </w:pPr>
            <w:r>
              <w:rPr>
                <w:rFonts w:hint="default" w:ascii="Times New Roman" w:hAnsi="Times New Roman" w:cs="Times New Roman"/>
                <w:sz w:val="18"/>
                <w:szCs w:val="18"/>
              </w:rPr>
              <w:t>4 (4.4%)</w:t>
            </w:r>
          </w:p>
        </w:tc>
        <w:tc>
          <w:tcPr>
            <w:tcW w:w="2160" w:type="dxa"/>
          </w:tcPr>
          <w:p w14:paraId="2E957405">
            <w:pPr>
              <w:jc w:val="center"/>
              <w:rPr>
                <w:rFonts w:hint="default" w:ascii="Times New Roman" w:hAnsi="Times New Roman" w:cs="Times New Roman"/>
              </w:rPr>
            </w:pPr>
            <w:r>
              <w:rPr>
                <w:rFonts w:hint="default" w:ascii="Times New Roman" w:hAnsi="Times New Roman" w:cs="Times New Roman"/>
                <w:sz w:val="18"/>
                <w:szCs w:val="18"/>
              </w:rPr>
              <w:t>6 (7.5%)</w:t>
            </w:r>
          </w:p>
        </w:tc>
        <w:tc>
          <w:tcPr>
            <w:tcW w:w="2160" w:type="dxa"/>
          </w:tcPr>
          <w:p w14:paraId="53F973EC">
            <w:pPr>
              <w:jc w:val="center"/>
              <w:rPr>
                <w:rFonts w:hint="default" w:ascii="Times New Roman" w:hAnsi="Times New Roman" w:cs="Times New Roman"/>
              </w:rPr>
            </w:pPr>
            <w:r>
              <w:rPr>
                <w:rFonts w:hint="default" w:ascii="Times New Roman" w:hAnsi="Times New Roman" w:cs="Times New Roman"/>
                <w:sz w:val="18"/>
                <w:szCs w:val="18"/>
              </w:rPr>
              <w:t>10 (5.9%)</w:t>
            </w:r>
          </w:p>
        </w:tc>
      </w:tr>
      <w:tr w14:paraId="4D3DB01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7331FE2">
            <w:pPr>
              <w:jc w:val="center"/>
              <w:rPr>
                <w:rFonts w:hint="default" w:ascii="Times New Roman" w:hAnsi="Times New Roman" w:cs="Times New Roman"/>
              </w:rPr>
            </w:pPr>
            <w:r>
              <w:rPr>
                <w:rFonts w:hint="default" w:ascii="Times New Roman" w:hAnsi="Times New Roman" w:cs="Times New Roman"/>
                <w:sz w:val="18"/>
                <w:szCs w:val="18"/>
              </w:rPr>
              <w:t>TnI</w:t>
            </w:r>
          </w:p>
        </w:tc>
        <w:tc>
          <w:tcPr>
            <w:tcW w:w="2160" w:type="dxa"/>
          </w:tcPr>
          <w:p w14:paraId="7F587A82">
            <w:pPr>
              <w:jc w:val="center"/>
              <w:rPr>
                <w:rFonts w:hint="default" w:ascii="Times New Roman" w:hAnsi="Times New Roman" w:cs="Times New Roman"/>
              </w:rPr>
            </w:pPr>
            <w:r>
              <w:rPr>
                <w:rFonts w:hint="default" w:ascii="Times New Roman" w:hAnsi="Times New Roman" w:cs="Times New Roman"/>
                <w:sz w:val="18"/>
                <w:szCs w:val="18"/>
              </w:rPr>
              <w:t>5 (5.6%)</w:t>
            </w:r>
          </w:p>
        </w:tc>
        <w:tc>
          <w:tcPr>
            <w:tcW w:w="2160" w:type="dxa"/>
          </w:tcPr>
          <w:p w14:paraId="325E8A8C">
            <w:pPr>
              <w:jc w:val="center"/>
              <w:rPr>
                <w:rFonts w:hint="default" w:ascii="Times New Roman" w:hAnsi="Times New Roman" w:cs="Times New Roman"/>
              </w:rPr>
            </w:pPr>
            <w:r>
              <w:rPr>
                <w:rFonts w:hint="default" w:ascii="Times New Roman" w:hAnsi="Times New Roman" w:cs="Times New Roman"/>
                <w:sz w:val="18"/>
                <w:szCs w:val="18"/>
              </w:rPr>
              <w:t>3 (3.8%)</w:t>
            </w:r>
          </w:p>
        </w:tc>
        <w:tc>
          <w:tcPr>
            <w:tcW w:w="2160" w:type="dxa"/>
          </w:tcPr>
          <w:p w14:paraId="62108974">
            <w:pPr>
              <w:jc w:val="center"/>
              <w:rPr>
                <w:rFonts w:hint="default" w:ascii="Times New Roman" w:hAnsi="Times New Roman" w:cs="Times New Roman"/>
              </w:rPr>
            </w:pPr>
            <w:r>
              <w:rPr>
                <w:rFonts w:hint="default" w:ascii="Times New Roman" w:hAnsi="Times New Roman" w:cs="Times New Roman"/>
                <w:sz w:val="18"/>
                <w:szCs w:val="18"/>
              </w:rPr>
              <w:t>8 (4.7%)</w:t>
            </w:r>
          </w:p>
        </w:tc>
      </w:tr>
      <w:tr w14:paraId="4A29861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834A8D9">
            <w:pPr>
              <w:jc w:val="center"/>
              <w:rPr>
                <w:rFonts w:hint="default" w:ascii="Times New Roman" w:hAnsi="Times New Roman" w:cs="Times New Roman"/>
              </w:rPr>
            </w:pPr>
            <w:r>
              <w:rPr>
                <w:rFonts w:hint="default" w:ascii="Times New Roman" w:hAnsi="Times New Roman" w:cs="Times New Roman"/>
                <w:sz w:val="18"/>
                <w:szCs w:val="18"/>
              </w:rPr>
              <w:t>Eosinophil %</w:t>
            </w:r>
          </w:p>
        </w:tc>
        <w:tc>
          <w:tcPr>
            <w:tcW w:w="2160" w:type="dxa"/>
          </w:tcPr>
          <w:p w14:paraId="122737F5">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4F493043">
            <w:pPr>
              <w:jc w:val="center"/>
              <w:rPr>
                <w:rFonts w:hint="default" w:ascii="Times New Roman" w:hAnsi="Times New Roman" w:cs="Times New Roman"/>
              </w:rPr>
            </w:pPr>
            <w:r>
              <w:rPr>
                <w:rFonts w:hint="default" w:ascii="Times New Roman" w:hAnsi="Times New Roman" w:cs="Times New Roman"/>
                <w:sz w:val="18"/>
                <w:szCs w:val="18"/>
              </w:rPr>
              <w:t>4 (5.0%)</w:t>
            </w:r>
          </w:p>
        </w:tc>
        <w:tc>
          <w:tcPr>
            <w:tcW w:w="2160" w:type="dxa"/>
          </w:tcPr>
          <w:p w14:paraId="6B5625C1">
            <w:pPr>
              <w:jc w:val="center"/>
              <w:rPr>
                <w:rFonts w:hint="default" w:ascii="Times New Roman" w:hAnsi="Times New Roman" w:cs="Times New Roman"/>
              </w:rPr>
            </w:pPr>
            <w:r>
              <w:rPr>
                <w:rFonts w:hint="default" w:ascii="Times New Roman" w:hAnsi="Times New Roman" w:cs="Times New Roman"/>
                <w:sz w:val="18"/>
                <w:szCs w:val="18"/>
              </w:rPr>
              <w:t>7 (4.1%)</w:t>
            </w:r>
          </w:p>
        </w:tc>
      </w:tr>
      <w:tr w14:paraId="5D0A8AF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184F416B">
            <w:pPr>
              <w:jc w:val="center"/>
              <w:rPr>
                <w:rFonts w:hint="default" w:ascii="Times New Roman" w:hAnsi="Times New Roman" w:cs="Times New Roman"/>
              </w:rPr>
            </w:pPr>
            <w:r>
              <w:rPr>
                <w:rFonts w:hint="default" w:ascii="Times New Roman" w:hAnsi="Times New Roman" w:cs="Times New Roman"/>
                <w:sz w:val="18"/>
                <w:szCs w:val="18"/>
              </w:rPr>
              <w:t>Monocyte %</w:t>
            </w:r>
          </w:p>
        </w:tc>
        <w:tc>
          <w:tcPr>
            <w:tcW w:w="2160" w:type="dxa"/>
          </w:tcPr>
          <w:p w14:paraId="6473D37D">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5C948CDC">
            <w:pPr>
              <w:jc w:val="center"/>
              <w:rPr>
                <w:rFonts w:hint="default" w:ascii="Times New Roman" w:hAnsi="Times New Roman" w:cs="Times New Roman"/>
              </w:rPr>
            </w:pPr>
            <w:r>
              <w:rPr>
                <w:rFonts w:hint="default" w:ascii="Times New Roman" w:hAnsi="Times New Roman" w:cs="Times New Roman"/>
                <w:sz w:val="18"/>
                <w:szCs w:val="18"/>
              </w:rPr>
              <w:t>4 (5.0%)</w:t>
            </w:r>
          </w:p>
        </w:tc>
        <w:tc>
          <w:tcPr>
            <w:tcW w:w="2160" w:type="dxa"/>
          </w:tcPr>
          <w:p w14:paraId="24DDDAE0">
            <w:pPr>
              <w:jc w:val="center"/>
              <w:rPr>
                <w:rFonts w:hint="default" w:ascii="Times New Roman" w:hAnsi="Times New Roman" w:cs="Times New Roman"/>
              </w:rPr>
            </w:pPr>
            <w:r>
              <w:rPr>
                <w:rFonts w:hint="default" w:ascii="Times New Roman" w:hAnsi="Times New Roman" w:cs="Times New Roman"/>
                <w:sz w:val="18"/>
                <w:szCs w:val="18"/>
              </w:rPr>
              <w:t>7 (4.1%)</w:t>
            </w:r>
          </w:p>
        </w:tc>
      </w:tr>
      <w:tr w14:paraId="47890DD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000CEE2">
            <w:pPr>
              <w:jc w:val="center"/>
              <w:rPr>
                <w:rFonts w:hint="default" w:ascii="Times New Roman" w:hAnsi="Times New Roman" w:cs="Times New Roman"/>
              </w:rPr>
            </w:pPr>
            <w:r>
              <w:rPr>
                <w:rFonts w:hint="default" w:ascii="Times New Roman" w:hAnsi="Times New Roman" w:cs="Times New Roman"/>
                <w:sz w:val="18"/>
                <w:szCs w:val="18"/>
              </w:rPr>
              <w:t>Basophil %</w:t>
            </w:r>
          </w:p>
        </w:tc>
        <w:tc>
          <w:tcPr>
            <w:tcW w:w="2160" w:type="dxa"/>
          </w:tcPr>
          <w:p w14:paraId="5326140D">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0647A96A">
            <w:pPr>
              <w:jc w:val="center"/>
              <w:rPr>
                <w:rFonts w:hint="default" w:ascii="Times New Roman" w:hAnsi="Times New Roman" w:cs="Times New Roman"/>
              </w:rPr>
            </w:pPr>
            <w:r>
              <w:rPr>
                <w:rFonts w:hint="default" w:ascii="Times New Roman" w:hAnsi="Times New Roman" w:cs="Times New Roman"/>
                <w:sz w:val="18"/>
                <w:szCs w:val="18"/>
              </w:rPr>
              <w:t>4 (5.0%)</w:t>
            </w:r>
          </w:p>
        </w:tc>
        <w:tc>
          <w:tcPr>
            <w:tcW w:w="2160" w:type="dxa"/>
          </w:tcPr>
          <w:p w14:paraId="2471AB8F">
            <w:pPr>
              <w:jc w:val="center"/>
              <w:rPr>
                <w:rFonts w:hint="default" w:ascii="Times New Roman" w:hAnsi="Times New Roman" w:cs="Times New Roman"/>
              </w:rPr>
            </w:pPr>
            <w:r>
              <w:rPr>
                <w:rFonts w:hint="default" w:ascii="Times New Roman" w:hAnsi="Times New Roman" w:cs="Times New Roman"/>
                <w:sz w:val="18"/>
                <w:szCs w:val="18"/>
              </w:rPr>
              <w:t>7 (4.1%)</w:t>
            </w:r>
          </w:p>
        </w:tc>
      </w:tr>
      <w:tr w14:paraId="7DB1D9C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3FD8CF1">
            <w:pPr>
              <w:jc w:val="center"/>
              <w:rPr>
                <w:rFonts w:hint="default" w:ascii="Times New Roman" w:hAnsi="Times New Roman" w:cs="Times New Roman"/>
              </w:rPr>
            </w:pPr>
            <w:r>
              <w:rPr>
                <w:rFonts w:hint="default" w:ascii="Times New Roman" w:hAnsi="Times New Roman" w:cs="Times New Roman"/>
                <w:sz w:val="18"/>
                <w:szCs w:val="18"/>
              </w:rPr>
              <w:t>Pro-BNP</w:t>
            </w:r>
          </w:p>
        </w:tc>
        <w:tc>
          <w:tcPr>
            <w:tcW w:w="2160" w:type="dxa"/>
          </w:tcPr>
          <w:p w14:paraId="2A1C1C19">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2DCE56B9">
            <w:pPr>
              <w:jc w:val="center"/>
              <w:rPr>
                <w:rFonts w:hint="default" w:ascii="Times New Roman" w:hAnsi="Times New Roman" w:cs="Times New Roman"/>
              </w:rPr>
            </w:pPr>
            <w:r>
              <w:rPr>
                <w:rFonts w:hint="default" w:ascii="Times New Roman" w:hAnsi="Times New Roman" w:cs="Times New Roman"/>
                <w:sz w:val="18"/>
                <w:szCs w:val="18"/>
              </w:rPr>
              <w:t>4 (5.0%)</w:t>
            </w:r>
          </w:p>
        </w:tc>
        <w:tc>
          <w:tcPr>
            <w:tcW w:w="2160" w:type="dxa"/>
          </w:tcPr>
          <w:p w14:paraId="7EFCA277">
            <w:pPr>
              <w:jc w:val="center"/>
              <w:rPr>
                <w:rFonts w:hint="default" w:ascii="Times New Roman" w:hAnsi="Times New Roman" w:cs="Times New Roman"/>
              </w:rPr>
            </w:pPr>
            <w:r>
              <w:rPr>
                <w:rFonts w:hint="default" w:ascii="Times New Roman" w:hAnsi="Times New Roman" w:cs="Times New Roman"/>
                <w:sz w:val="18"/>
                <w:szCs w:val="18"/>
              </w:rPr>
              <w:t>7 (4.1%)</w:t>
            </w:r>
          </w:p>
        </w:tc>
      </w:tr>
      <w:tr w14:paraId="5C9C40C8">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36FA0F4">
            <w:pPr>
              <w:jc w:val="center"/>
              <w:rPr>
                <w:rFonts w:hint="default" w:ascii="Times New Roman" w:hAnsi="Times New Roman" w:cs="Times New Roman"/>
              </w:rPr>
            </w:pPr>
            <w:r>
              <w:rPr>
                <w:rFonts w:hint="default" w:ascii="Times New Roman" w:hAnsi="Times New Roman" w:cs="Times New Roman"/>
                <w:sz w:val="18"/>
                <w:szCs w:val="18"/>
              </w:rPr>
              <w:t>Neutrophil %</w:t>
            </w:r>
          </w:p>
        </w:tc>
        <w:tc>
          <w:tcPr>
            <w:tcW w:w="2160" w:type="dxa"/>
          </w:tcPr>
          <w:p w14:paraId="3D311CF0">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6149E7AE">
            <w:pPr>
              <w:jc w:val="center"/>
              <w:rPr>
                <w:rFonts w:hint="default" w:ascii="Times New Roman" w:hAnsi="Times New Roman" w:cs="Times New Roman"/>
              </w:rPr>
            </w:pPr>
            <w:r>
              <w:rPr>
                <w:rFonts w:hint="default" w:ascii="Times New Roman" w:hAnsi="Times New Roman" w:cs="Times New Roman"/>
                <w:sz w:val="18"/>
                <w:szCs w:val="18"/>
              </w:rPr>
              <w:t>3 (3.8%)</w:t>
            </w:r>
          </w:p>
        </w:tc>
        <w:tc>
          <w:tcPr>
            <w:tcW w:w="2160" w:type="dxa"/>
          </w:tcPr>
          <w:p w14:paraId="523FC8DD">
            <w:pPr>
              <w:jc w:val="center"/>
              <w:rPr>
                <w:rFonts w:hint="default" w:ascii="Times New Roman" w:hAnsi="Times New Roman" w:cs="Times New Roman"/>
              </w:rPr>
            </w:pPr>
            <w:r>
              <w:rPr>
                <w:rFonts w:hint="default" w:ascii="Times New Roman" w:hAnsi="Times New Roman" w:cs="Times New Roman"/>
                <w:sz w:val="18"/>
                <w:szCs w:val="18"/>
              </w:rPr>
              <w:t>6 (3.5%)</w:t>
            </w:r>
          </w:p>
        </w:tc>
      </w:tr>
      <w:tr w14:paraId="55E2F20F">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4093519">
            <w:pPr>
              <w:jc w:val="center"/>
              <w:rPr>
                <w:rFonts w:hint="default" w:ascii="Times New Roman" w:hAnsi="Times New Roman" w:cs="Times New Roman"/>
              </w:rPr>
            </w:pPr>
            <w:r>
              <w:rPr>
                <w:rFonts w:hint="default" w:ascii="Times New Roman" w:hAnsi="Times New Roman" w:cs="Times New Roman"/>
                <w:sz w:val="18"/>
                <w:szCs w:val="18"/>
              </w:rPr>
              <w:t>Sex</w:t>
            </w:r>
          </w:p>
        </w:tc>
        <w:tc>
          <w:tcPr>
            <w:tcW w:w="2160" w:type="dxa"/>
          </w:tcPr>
          <w:p w14:paraId="4E5F6B8A">
            <w:pPr>
              <w:jc w:val="center"/>
              <w:rPr>
                <w:rFonts w:hint="default" w:ascii="Times New Roman" w:hAnsi="Times New Roman" w:cs="Times New Roman"/>
              </w:rPr>
            </w:pPr>
            <w:r>
              <w:rPr>
                <w:rFonts w:hint="default" w:ascii="Times New Roman" w:hAnsi="Times New Roman" w:cs="Times New Roman"/>
                <w:sz w:val="18"/>
                <w:szCs w:val="18"/>
              </w:rPr>
              <w:t>6 (6.7%)</w:t>
            </w:r>
          </w:p>
        </w:tc>
        <w:tc>
          <w:tcPr>
            <w:tcW w:w="2160" w:type="dxa"/>
          </w:tcPr>
          <w:p w14:paraId="14D6EF82">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3B959905">
            <w:pPr>
              <w:jc w:val="center"/>
              <w:rPr>
                <w:rFonts w:hint="default" w:ascii="Times New Roman" w:hAnsi="Times New Roman" w:cs="Times New Roman"/>
              </w:rPr>
            </w:pPr>
            <w:r>
              <w:rPr>
                <w:rFonts w:hint="default" w:ascii="Times New Roman" w:hAnsi="Times New Roman" w:cs="Times New Roman"/>
                <w:sz w:val="18"/>
                <w:szCs w:val="18"/>
              </w:rPr>
              <w:t>6 (3.5%)</w:t>
            </w:r>
          </w:p>
        </w:tc>
      </w:tr>
      <w:tr w14:paraId="6544968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5A93C2A">
            <w:pPr>
              <w:jc w:val="center"/>
              <w:rPr>
                <w:rFonts w:hint="default" w:ascii="Times New Roman" w:hAnsi="Times New Roman" w:cs="Times New Roman"/>
              </w:rPr>
            </w:pPr>
            <w:r>
              <w:rPr>
                <w:rFonts w:hint="default" w:ascii="Times New Roman" w:hAnsi="Times New Roman" w:cs="Times New Roman"/>
                <w:sz w:val="18"/>
                <w:szCs w:val="18"/>
              </w:rPr>
              <w:t>Total bilirubin</w:t>
            </w:r>
          </w:p>
        </w:tc>
        <w:tc>
          <w:tcPr>
            <w:tcW w:w="2160" w:type="dxa"/>
          </w:tcPr>
          <w:p w14:paraId="0A30E328">
            <w:pPr>
              <w:jc w:val="center"/>
              <w:rPr>
                <w:rFonts w:hint="default" w:ascii="Times New Roman" w:hAnsi="Times New Roman" w:cs="Times New Roman"/>
              </w:rPr>
            </w:pPr>
            <w:r>
              <w:rPr>
                <w:rFonts w:hint="default" w:ascii="Times New Roman" w:hAnsi="Times New Roman" w:cs="Times New Roman"/>
                <w:sz w:val="18"/>
                <w:szCs w:val="18"/>
              </w:rPr>
              <w:t>5 (5.6%)</w:t>
            </w:r>
          </w:p>
        </w:tc>
        <w:tc>
          <w:tcPr>
            <w:tcW w:w="2160" w:type="dxa"/>
          </w:tcPr>
          <w:p w14:paraId="7DB45E10">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5C49713F">
            <w:pPr>
              <w:jc w:val="center"/>
              <w:rPr>
                <w:rFonts w:hint="default" w:ascii="Times New Roman" w:hAnsi="Times New Roman" w:cs="Times New Roman"/>
              </w:rPr>
            </w:pPr>
            <w:r>
              <w:rPr>
                <w:rFonts w:hint="default" w:ascii="Times New Roman" w:hAnsi="Times New Roman" w:cs="Times New Roman"/>
                <w:sz w:val="18"/>
                <w:szCs w:val="18"/>
              </w:rPr>
              <w:t>5 (2.9%)</w:t>
            </w:r>
          </w:p>
        </w:tc>
      </w:tr>
      <w:tr w14:paraId="610EC2F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9A63120">
            <w:pPr>
              <w:jc w:val="center"/>
              <w:rPr>
                <w:rFonts w:hint="default" w:ascii="Times New Roman" w:hAnsi="Times New Roman" w:cs="Times New Roman"/>
              </w:rPr>
            </w:pPr>
            <w:r>
              <w:rPr>
                <w:rFonts w:hint="default" w:ascii="Times New Roman" w:hAnsi="Times New Roman" w:cs="Times New Roman"/>
                <w:sz w:val="18"/>
                <w:szCs w:val="18"/>
              </w:rPr>
              <w:t>ALP</w:t>
            </w:r>
          </w:p>
        </w:tc>
        <w:tc>
          <w:tcPr>
            <w:tcW w:w="2160" w:type="dxa"/>
          </w:tcPr>
          <w:p w14:paraId="7BF5061F">
            <w:pPr>
              <w:jc w:val="center"/>
              <w:rPr>
                <w:rFonts w:hint="default" w:ascii="Times New Roman" w:hAnsi="Times New Roman" w:cs="Times New Roman"/>
              </w:rPr>
            </w:pPr>
            <w:r>
              <w:rPr>
                <w:rFonts w:hint="default" w:ascii="Times New Roman" w:hAnsi="Times New Roman" w:cs="Times New Roman"/>
                <w:sz w:val="18"/>
                <w:szCs w:val="18"/>
              </w:rPr>
              <w:t>4 (4.4%)</w:t>
            </w:r>
          </w:p>
        </w:tc>
        <w:tc>
          <w:tcPr>
            <w:tcW w:w="2160" w:type="dxa"/>
          </w:tcPr>
          <w:p w14:paraId="51FFA1C8">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1549432A">
            <w:pPr>
              <w:jc w:val="center"/>
              <w:rPr>
                <w:rFonts w:hint="default" w:ascii="Times New Roman" w:hAnsi="Times New Roman" w:cs="Times New Roman"/>
              </w:rPr>
            </w:pPr>
            <w:r>
              <w:rPr>
                <w:rFonts w:hint="default" w:ascii="Times New Roman" w:hAnsi="Times New Roman" w:cs="Times New Roman"/>
                <w:sz w:val="18"/>
                <w:szCs w:val="18"/>
              </w:rPr>
              <w:t>4 (2.4%)</w:t>
            </w:r>
          </w:p>
        </w:tc>
      </w:tr>
      <w:tr w14:paraId="787C36C2">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1D4D7E60">
            <w:pPr>
              <w:jc w:val="center"/>
              <w:rPr>
                <w:rFonts w:hint="default" w:ascii="Times New Roman" w:hAnsi="Times New Roman" w:cs="Times New Roman"/>
              </w:rPr>
            </w:pPr>
            <w:r>
              <w:rPr>
                <w:rFonts w:hint="default" w:ascii="Times New Roman" w:hAnsi="Times New Roman" w:cs="Times New Roman"/>
                <w:sz w:val="18"/>
                <w:szCs w:val="18"/>
              </w:rPr>
              <w:t>RBC</w:t>
            </w:r>
          </w:p>
        </w:tc>
        <w:tc>
          <w:tcPr>
            <w:tcW w:w="2160" w:type="dxa"/>
          </w:tcPr>
          <w:p w14:paraId="1A7497AC">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21BA5868">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03FEC6E1">
            <w:pPr>
              <w:jc w:val="center"/>
              <w:rPr>
                <w:rFonts w:hint="default" w:ascii="Times New Roman" w:hAnsi="Times New Roman" w:cs="Times New Roman"/>
              </w:rPr>
            </w:pPr>
            <w:r>
              <w:rPr>
                <w:rFonts w:hint="default" w:ascii="Times New Roman" w:hAnsi="Times New Roman" w:cs="Times New Roman"/>
                <w:sz w:val="18"/>
                <w:szCs w:val="18"/>
              </w:rPr>
              <w:t>3 (1.8%)</w:t>
            </w:r>
          </w:p>
        </w:tc>
      </w:tr>
      <w:tr w14:paraId="7C6CDF16">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2AE333B2">
            <w:pPr>
              <w:jc w:val="center"/>
              <w:rPr>
                <w:rFonts w:hint="default" w:ascii="Times New Roman" w:hAnsi="Times New Roman" w:cs="Times New Roman"/>
              </w:rPr>
            </w:pPr>
            <w:r>
              <w:rPr>
                <w:rFonts w:hint="default" w:ascii="Times New Roman" w:hAnsi="Times New Roman" w:cs="Times New Roman"/>
                <w:sz w:val="18"/>
                <w:szCs w:val="18"/>
              </w:rPr>
              <w:t>Calcium</w:t>
            </w:r>
          </w:p>
        </w:tc>
        <w:tc>
          <w:tcPr>
            <w:tcW w:w="2160" w:type="dxa"/>
          </w:tcPr>
          <w:p w14:paraId="6E3CB55B">
            <w:pPr>
              <w:jc w:val="center"/>
              <w:rPr>
                <w:rFonts w:hint="default" w:ascii="Times New Roman" w:hAnsi="Times New Roman" w:cs="Times New Roman"/>
              </w:rPr>
            </w:pPr>
            <w:r>
              <w:rPr>
                <w:rFonts w:hint="default" w:ascii="Times New Roman" w:hAnsi="Times New Roman" w:cs="Times New Roman"/>
                <w:sz w:val="18"/>
                <w:szCs w:val="18"/>
              </w:rPr>
              <w:t>3 (3.3%)</w:t>
            </w:r>
          </w:p>
        </w:tc>
        <w:tc>
          <w:tcPr>
            <w:tcW w:w="2160" w:type="dxa"/>
          </w:tcPr>
          <w:p w14:paraId="11B3F91D">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164BC0F7">
            <w:pPr>
              <w:jc w:val="center"/>
              <w:rPr>
                <w:rFonts w:hint="default" w:ascii="Times New Roman" w:hAnsi="Times New Roman" w:cs="Times New Roman"/>
              </w:rPr>
            </w:pPr>
            <w:r>
              <w:rPr>
                <w:rFonts w:hint="default" w:ascii="Times New Roman" w:hAnsi="Times New Roman" w:cs="Times New Roman"/>
                <w:sz w:val="18"/>
                <w:szCs w:val="18"/>
              </w:rPr>
              <w:t>3 (1.8%)</w:t>
            </w:r>
          </w:p>
        </w:tc>
      </w:tr>
      <w:tr w14:paraId="0F1DCC64">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9E08970">
            <w:pPr>
              <w:jc w:val="center"/>
              <w:rPr>
                <w:rFonts w:hint="default" w:ascii="Times New Roman" w:hAnsi="Times New Roman" w:cs="Times New Roman"/>
              </w:rPr>
            </w:pPr>
            <w:r>
              <w:rPr>
                <w:rFonts w:hint="default" w:ascii="Times New Roman" w:hAnsi="Times New Roman" w:cs="Times New Roman"/>
                <w:sz w:val="18"/>
                <w:szCs w:val="18"/>
              </w:rPr>
              <w:t>AST</w:t>
            </w:r>
          </w:p>
        </w:tc>
        <w:tc>
          <w:tcPr>
            <w:tcW w:w="2160" w:type="dxa"/>
          </w:tcPr>
          <w:p w14:paraId="0EC6A36D">
            <w:pPr>
              <w:jc w:val="center"/>
              <w:rPr>
                <w:rFonts w:hint="default" w:ascii="Times New Roman" w:hAnsi="Times New Roman" w:cs="Times New Roman"/>
              </w:rPr>
            </w:pPr>
            <w:r>
              <w:rPr>
                <w:rFonts w:hint="default" w:ascii="Times New Roman" w:hAnsi="Times New Roman" w:cs="Times New Roman"/>
                <w:sz w:val="18"/>
                <w:szCs w:val="18"/>
              </w:rPr>
              <w:t>2 (2.2%)</w:t>
            </w:r>
          </w:p>
        </w:tc>
        <w:tc>
          <w:tcPr>
            <w:tcW w:w="2160" w:type="dxa"/>
          </w:tcPr>
          <w:p w14:paraId="15D4DF20">
            <w:pPr>
              <w:jc w:val="center"/>
              <w:rPr>
                <w:rFonts w:hint="default" w:ascii="Times New Roman" w:hAnsi="Times New Roman" w:cs="Times New Roman"/>
              </w:rPr>
            </w:pPr>
            <w:r>
              <w:rPr>
                <w:rFonts w:hint="default" w:ascii="Times New Roman" w:hAnsi="Times New Roman" w:cs="Times New Roman"/>
                <w:sz w:val="18"/>
                <w:szCs w:val="18"/>
              </w:rPr>
              <w:t>1 (1.3%)</w:t>
            </w:r>
          </w:p>
        </w:tc>
        <w:tc>
          <w:tcPr>
            <w:tcW w:w="2160" w:type="dxa"/>
          </w:tcPr>
          <w:p w14:paraId="046DEBA8">
            <w:pPr>
              <w:jc w:val="center"/>
              <w:rPr>
                <w:rFonts w:hint="default" w:ascii="Times New Roman" w:hAnsi="Times New Roman" w:cs="Times New Roman"/>
              </w:rPr>
            </w:pPr>
            <w:r>
              <w:rPr>
                <w:rFonts w:hint="default" w:ascii="Times New Roman" w:hAnsi="Times New Roman" w:cs="Times New Roman"/>
                <w:sz w:val="18"/>
                <w:szCs w:val="18"/>
              </w:rPr>
              <w:t>3 (1.8%)</w:t>
            </w:r>
          </w:p>
        </w:tc>
      </w:tr>
      <w:tr w14:paraId="4067E47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21B822AF">
            <w:pPr>
              <w:jc w:val="center"/>
              <w:rPr>
                <w:rFonts w:hint="default" w:ascii="Times New Roman" w:hAnsi="Times New Roman" w:cs="Times New Roman"/>
              </w:rPr>
            </w:pPr>
            <w:r>
              <w:rPr>
                <w:rFonts w:hint="default" w:ascii="Times New Roman" w:hAnsi="Times New Roman" w:cs="Times New Roman"/>
                <w:sz w:val="18"/>
                <w:szCs w:val="18"/>
              </w:rPr>
              <w:t>Albumin</w:t>
            </w:r>
          </w:p>
        </w:tc>
        <w:tc>
          <w:tcPr>
            <w:tcW w:w="2160" w:type="dxa"/>
          </w:tcPr>
          <w:p w14:paraId="42618B9A">
            <w:pPr>
              <w:jc w:val="center"/>
              <w:rPr>
                <w:rFonts w:hint="default" w:ascii="Times New Roman" w:hAnsi="Times New Roman" w:cs="Times New Roman"/>
              </w:rPr>
            </w:pPr>
            <w:r>
              <w:rPr>
                <w:rFonts w:hint="default" w:ascii="Times New Roman" w:hAnsi="Times New Roman" w:cs="Times New Roman"/>
                <w:sz w:val="18"/>
                <w:szCs w:val="18"/>
              </w:rPr>
              <w:t>2 (2.2%)</w:t>
            </w:r>
          </w:p>
        </w:tc>
        <w:tc>
          <w:tcPr>
            <w:tcW w:w="2160" w:type="dxa"/>
          </w:tcPr>
          <w:p w14:paraId="145E3C18">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77FCEDB6">
            <w:pPr>
              <w:jc w:val="center"/>
              <w:rPr>
                <w:rFonts w:hint="default" w:ascii="Times New Roman" w:hAnsi="Times New Roman" w:cs="Times New Roman"/>
              </w:rPr>
            </w:pPr>
            <w:r>
              <w:rPr>
                <w:rFonts w:hint="default" w:ascii="Times New Roman" w:hAnsi="Times New Roman" w:cs="Times New Roman"/>
                <w:sz w:val="18"/>
                <w:szCs w:val="18"/>
              </w:rPr>
              <w:t>2 (1.2%)</w:t>
            </w:r>
          </w:p>
        </w:tc>
      </w:tr>
      <w:tr w14:paraId="5634BE55">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6AAD711">
            <w:pPr>
              <w:jc w:val="center"/>
              <w:rPr>
                <w:rFonts w:hint="default" w:ascii="Times New Roman" w:hAnsi="Times New Roman" w:cs="Times New Roman"/>
              </w:rPr>
            </w:pPr>
            <w:r>
              <w:rPr>
                <w:rFonts w:hint="default" w:ascii="Times New Roman" w:hAnsi="Times New Roman" w:cs="Times New Roman"/>
                <w:sz w:val="18"/>
                <w:szCs w:val="18"/>
              </w:rPr>
              <w:t>Platelet</w:t>
            </w:r>
          </w:p>
        </w:tc>
        <w:tc>
          <w:tcPr>
            <w:tcW w:w="2160" w:type="dxa"/>
          </w:tcPr>
          <w:p w14:paraId="5E040F2E">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757357AD">
            <w:pPr>
              <w:jc w:val="center"/>
              <w:rPr>
                <w:rFonts w:hint="default" w:ascii="Times New Roman" w:hAnsi="Times New Roman" w:cs="Times New Roman"/>
              </w:rPr>
            </w:pPr>
            <w:r>
              <w:rPr>
                <w:rFonts w:hint="default" w:ascii="Times New Roman" w:hAnsi="Times New Roman" w:cs="Times New Roman"/>
                <w:sz w:val="18"/>
                <w:szCs w:val="18"/>
              </w:rPr>
              <w:t>1 (1.3%)</w:t>
            </w:r>
          </w:p>
        </w:tc>
        <w:tc>
          <w:tcPr>
            <w:tcW w:w="2160" w:type="dxa"/>
          </w:tcPr>
          <w:p w14:paraId="25AA04E2">
            <w:pPr>
              <w:jc w:val="center"/>
              <w:rPr>
                <w:rFonts w:hint="default" w:ascii="Times New Roman" w:hAnsi="Times New Roman" w:cs="Times New Roman"/>
              </w:rPr>
            </w:pPr>
            <w:r>
              <w:rPr>
                <w:rFonts w:hint="default" w:ascii="Times New Roman" w:hAnsi="Times New Roman" w:cs="Times New Roman"/>
                <w:sz w:val="18"/>
                <w:szCs w:val="18"/>
              </w:rPr>
              <w:t>2 (1.2%)</w:t>
            </w:r>
          </w:p>
        </w:tc>
      </w:tr>
      <w:tr w14:paraId="18F484E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3130C1F9">
            <w:pPr>
              <w:jc w:val="center"/>
              <w:rPr>
                <w:rFonts w:hint="default" w:ascii="Times New Roman" w:hAnsi="Times New Roman" w:cs="Times New Roman"/>
              </w:rPr>
            </w:pPr>
            <w:r>
              <w:rPr>
                <w:rFonts w:hint="default" w:ascii="Times New Roman" w:hAnsi="Times New Roman" w:cs="Times New Roman"/>
                <w:sz w:val="18"/>
                <w:szCs w:val="18"/>
              </w:rPr>
              <w:t>Uric acid</w:t>
            </w:r>
          </w:p>
        </w:tc>
        <w:tc>
          <w:tcPr>
            <w:tcW w:w="2160" w:type="dxa"/>
          </w:tcPr>
          <w:p w14:paraId="5D4B4106">
            <w:pPr>
              <w:jc w:val="center"/>
              <w:rPr>
                <w:rFonts w:hint="default" w:ascii="Times New Roman" w:hAnsi="Times New Roman" w:cs="Times New Roman"/>
              </w:rPr>
            </w:pPr>
            <w:r>
              <w:rPr>
                <w:rFonts w:hint="default" w:ascii="Times New Roman" w:hAnsi="Times New Roman" w:cs="Times New Roman"/>
                <w:sz w:val="18"/>
                <w:szCs w:val="18"/>
              </w:rPr>
              <w:t>2 (2.2%)</w:t>
            </w:r>
          </w:p>
        </w:tc>
        <w:tc>
          <w:tcPr>
            <w:tcW w:w="2160" w:type="dxa"/>
          </w:tcPr>
          <w:p w14:paraId="4430114F">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47F9B8D4">
            <w:pPr>
              <w:jc w:val="center"/>
              <w:rPr>
                <w:rFonts w:hint="default" w:ascii="Times New Roman" w:hAnsi="Times New Roman" w:cs="Times New Roman"/>
              </w:rPr>
            </w:pPr>
            <w:r>
              <w:rPr>
                <w:rFonts w:hint="default" w:ascii="Times New Roman" w:hAnsi="Times New Roman" w:cs="Times New Roman"/>
                <w:sz w:val="18"/>
                <w:szCs w:val="18"/>
              </w:rPr>
              <w:t>2 (1.2%)</w:t>
            </w:r>
          </w:p>
        </w:tc>
      </w:tr>
      <w:tr w14:paraId="377BAF8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6076E0D4">
            <w:pPr>
              <w:jc w:val="center"/>
              <w:rPr>
                <w:rFonts w:hint="default" w:ascii="Times New Roman" w:hAnsi="Times New Roman" w:cs="Times New Roman"/>
              </w:rPr>
            </w:pPr>
            <w:r>
              <w:rPr>
                <w:rFonts w:hint="default" w:ascii="Times New Roman" w:hAnsi="Times New Roman" w:cs="Times New Roman"/>
                <w:sz w:val="18"/>
                <w:szCs w:val="18"/>
              </w:rPr>
              <w:t>ALT</w:t>
            </w:r>
          </w:p>
        </w:tc>
        <w:tc>
          <w:tcPr>
            <w:tcW w:w="2160" w:type="dxa"/>
          </w:tcPr>
          <w:p w14:paraId="25A8C5F6">
            <w:pPr>
              <w:jc w:val="center"/>
              <w:rPr>
                <w:rFonts w:hint="default" w:ascii="Times New Roman" w:hAnsi="Times New Roman" w:cs="Times New Roman"/>
              </w:rPr>
            </w:pPr>
            <w:r>
              <w:rPr>
                <w:rFonts w:hint="default" w:ascii="Times New Roman" w:hAnsi="Times New Roman" w:cs="Times New Roman"/>
                <w:sz w:val="18"/>
                <w:szCs w:val="18"/>
              </w:rPr>
              <w:t>2 (2.2%)</w:t>
            </w:r>
          </w:p>
        </w:tc>
        <w:tc>
          <w:tcPr>
            <w:tcW w:w="2160" w:type="dxa"/>
          </w:tcPr>
          <w:p w14:paraId="7E615DED">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22CEC07C">
            <w:pPr>
              <w:jc w:val="center"/>
              <w:rPr>
                <w:rFonts w:hint="default" w:ascii="Times New Roman" w:hAnsi="Times New Roman" w:cs="Times New Roman"/>
              </w:rPr>
            </w:pPr>
            <w:r>
              <w:rPr>
                <w:rFonts w:hint="default" w:ascii="Times New Roman" w:hAnsi="Times New Roman" w:cs="Times New Roman"/>
                <w:sz w:val="18"/>
                <w:szCs w:val="18"/>
              </w:rPr>
              <w:t>2 (1.2%)</w:t>
            </w:r>
          </w:p>
        </w:tc>
      </w:tr>
      <w:tr w14:paraId="45E90D49">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522CFD0">
            <w:pPr>
              <w:jc w:val="center"/>
              <w:rPr>
                <w:rFonts w:hint="default" w:ascii="Times New Roman" w:hAnsi="Times New Roman" w:cs="Times New Roman"/>
              </w:rPr>
            </w:pPr>
            <w:r>
              <w:rPr>
                <w:rFonts w:hint="default" w:ascii="Times New Roman" w:hAnsi="Times New Roman" w:cs="Times New Roman"/>
                <w:sz w:val="18"/>
                <w:szCs w:val="18"/>
              </w:rPr>
              <w:t>Age</w:t>
            </w:r>
          </w:p>
        </w:tc>
        <w:tc>
          <w:tcPr>
            <w:tcW w:w="2160" w:type="dxa"/>
          </w:tcPr>
          <w:p w14:paraId="2F3289E3">
            <w:pPr>
              <w:jc w:val="center"/>
              <w:rPr>
                <w:rFonts w:hint="default" w:ascii="Times New Roman" w:hAnsi="Times New Roman" w:cs="Times New Roman"/>
              </w:rPr>
            </w:pPr>
            <w:r>
              <w:rPr>
                <w:rFonts w:hint="default" w:ascii="Times New Roman" w:hAnsi="Times New Roman" w:cs="Times New Roman"/>
                <w:sz w:val="18"/>
                <w:szCs w:val="18"/>
              </w:rPr>
              <w:t>2 (2.2%)</w:t>
            </w:r>
          </w:p>
        </w:tc>
        <w:tc>
          <w:tcPr>
            <w:tcW w:w="2160" w:type="dxa"/>
          </w:tcPr>
          <w:p w14:paraId="0152B390">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0FA4A43D">
            <w:pPr>
              <w:jc w:val="center"/>
              <w:rPr>
                <w:rFonts w:hint="default" w:ascii="Times New Roman" w:hAnsi="Times New Roman" w:cs="Times New Roman"/>
              </w:rPr>
            </w:pPr>
            <w:r>
              <w:rPr>
                <w:rFonts w:hint="default" w:ascii="Times New Roman" w:hAnsi="Times New Roman" w:cs="Times New Roman"/>
                <w:sz w:val="18"/>
                <w:szCs w:val="18"/>
              </w:rPr>
              <w:t>2 (1.2%)</w:t>
            </w:r>
          </w:p>
        </w:tc>
      </w:tr>
      <w:tr w14:paraId="170C720A">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ACC2842">
            <w:pPr>
              <w:jc w:val="center"/>
              <w:rPr>
                <w:rFonts w:hint="default" w:ascii="Times New Roman" w:hAnsi="Times New Roman" w:cs="Times New Roman"/>
              </w:rPr>
            </w:pPr>
            <w:r>
              <w:rPr>
                <w:rFonts w:hint="default" w:ascii="Times New Roman" w:hAnsi="Times New Roman" w:cs="Times New Roman"/>
                <w:sz w:val="18"/>
                <w:szCs w:val="18"/>
              </w:rPr>
              <w:t>Haemoglobin</w:t>
            </w:r>
          </w:p>
        </w:tc>
        <w:tc>
          <w:tcPr>
            <w:tcW w:w="2160" w:type="dxa"/>
          </w:tcPr>
          <w:p w14:paraId="1A336C1E">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75585517">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28CC1C34">
            <w:pPr>
              <w:jc w:val="center"/>
              <w:rPr>
                <w:rFonts w:hint="default" w:ascii="Times New Roman" w:hAnsi="Times New Roman" w:cs="Times New Roman"/>
              </w:rPr>
            </w:pPr>
            <w:r>
              <w:rPr>
                <w:rFonts w:hint="default" w:ascii="Times New Roman" w:hAnsi="Times New Roman" w:cs="Times New Roman"/>
                <w:sz w:val="18"/>
                <w:szCs w:val="18"/>
              </w:rPr>
              <w:t>1 (0.6%)</w:t>
            </w:r>
          </w:p>
        </w:tc>
      </w:tr>
      <w:tr w14:paraId="659CF3A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6C8C7125">
            <w:pPr>
              <w:jc w:val="center"/>
              <w:rPr>
                <w:rFonts w:hint="default" w:ascii="Times New Roman" w:hAnsi="Times New Roman" w:cs="Times New Roman"/>
              </w:rPr>
            </w:pPr>
            <w:r>
              <w:rPr>
                <w:rFonts w:hint="default" w:ascii="Times New Roman" w:hAnsi="Times New Roman" w:cs="Times New Roman"/>
                <w:sz w:val="18"/>
                <w:szCs w:val="18"/>
              </w:rPr>
              <w:t>WBC</w:t>
            </w:r>
          </w:p>
        </w:tc>
        <w:tc>
          <w:tcPr>
            <w:tcW w:w="2160" w:type="dxa"/>
          </w:tcPr>
          <w:p w14:paraId="1DDBCB93">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0CF59B3E">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6E96546D">
            <w:pPr>
              <w:jc w:val="center"/>
              <w:rPr>
                <w:rFonts w:hint="default" w:ascii="Times New Roman" w:hAnsi="Times New Roman" w:cs="Times New Roman"/>
              </w:rPr>
            </w:pPr>
            <w:r>
              <w:rPr>
                <w:rFonts w:hint="default" w:ascii="Times New Roman" w:hAnsi="Times New Roman" w:cs="Times New Roman"/>
                <w:sz w:val="18"/>
                <w:szCs w:val="18"/>
              </w:rPr>
              <w:t>1 (0.6%)</w:t>
            </w:r>
          </w:p>
        </w:tc>
      </w:tr>
      <w:tr w14:paraId="6EDA505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7C73E78C">
            <w:pPr>
              <w:jc w:val="center"/>
              <w:rPr>
                <w:rFonts w:hint="default" w:ascii="Times New Roman" w:hAnsi="Times New Roman" w:cs="Times New Roman"/>
              </w:rPr>
            </w:pPr>
            <w:r>
              <w:rPr>
                <w:rFonts w:hint="default" w:ascii="Times New Roman" w:hAnsi="Times New Roman" w:cs="Times New Roman"/>
                <w:sz w:val="18"/>
                <w:szCs w:val="18"/>
              </w:rPr>
              <w:t>Potassium</w:t>
            </w:r>
          </w:p>
        </w:tc>
        <w:tc>
          <w:tcPr>
            <w:tcW w:w="2160" w:type="dxa"/>
          </w:tcPr>
          <w:p w14:paraId="35260CD1">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1E2701C9">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60B5A37D">
            <w:pPr>
              <w:jc w:val="center"/>
              <w:rPr>
                <w:rFonts w:hint="default" w:ascii="Times New Roman" w:hAnsi="Times New Roman" w:cs="Times New Roman"/>
              </w:rPr>
            </w:pPr>
            <w:r>
              <w:rPr>
                <w:rFonts w:hint="default" w:ascii="Times New Roman" w:hAnsi="Times New Roman" w:cs="Times New Roman"/>
                <w:sz w:val="18"/>
                <w:szCs w:val="18"/>
              </w:rPr>
              <w:t>1 (0.6%)</w:t>
            </w:r>
          </w:p>
        </w:tc>
      </w:tr>
      <w:tr w14:paraId="7200C6C7">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57C452E8">
            <w:pPr>
              <w:jc w:val="center"/>
              <w:rPr>
                <w:rFonts w:hint="default" w:ascii="Times New Roman" w:hAnsi="Times New Roman" w:cs="Times New Roman"/>
              </w:rPr>
            </w:pPr>
            <w:r>
              <w:rPr>
                <w:rFonts w:hint="default" w:ascii="Times New Roman" w:hAnsi="Times New Roman" w:cs="Times New Roman"/>
                <w:sz w:val="18"/>
                <w:szCs w:val="18"/>
              </w:rPr>
              <w:t>Sodium</w:t>
            </w:r>
          </w:p>
        </w:tc>
        <w:tc>
          <w:tcPr>
            <w:tcW w:w="2160" w:type="dxa"/>
          </w:tcPr>
          <w:p w14:paraId="43E5FEF7">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0D1F797A">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479F51EE">
            <w:pPr>
              <w:jc w:val="center"/>
              <w:rPr>
                <w:rFonts w:hint="default" w:ascii="Times New Roman" w:hAnsi="Times New Roman" w:cs="Times New Roman"/>
              </w:rPr>
            </w:pPr>
            <w:r>
              <w:rPr>
                <w:rFonts w:hint="default" w:ascii="Times New Roman" w:hAnsi="Times New Roman" w:cs="Times New Roman"/>
                <w:sz w:val="18"/>
                <w:szCs w:val="18"/>
              </w:rPr>
              <w:t>1 (0.6%)</w:t>
            </w:r>
          </w:p>
        </w:tc>
      </w:tr>
      <w:tr w14:paraId="2260BB3C">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665CA039">
            <w:pPr>
              <w:jc w:val="center"/>
              <w:rPr>
                <w:rFonts w:hint="default" w:ascii="Times New Roman" w:hAnsi="Times New Roman" w:cs="Times New Roman"/>
              </w:rPr>
            </w:pPr>
            <w:r>
              <w:rPr>
                <w:rFonts w:hint="default" w:ascii="Times New Roman" w:hAnsi="Times New Roman" w:cs="Times New Roman"/>
                <w:sz w:val="18"/>
                <w:szCs w:val="18"/>
              </w:rPr>
              <w:t>Chloride</w:t>
            </w:r>
          </w:p>
        </w:tc>
        <w:tc>
          <w:tcPr>
            <w:tcW w:w="2160" w:type="dxa"/>
          </w:tcPr>
          <w:p w14:paraId="4064E47D">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4A2BD710">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3BFD9639">
            <w:pPr>
              <w:jc w:val="center"/>
              <w:rPr>
                <w:rFonts w:hint="default" w:ascii="Times New Roman" w:hAnsi="Times New Roman" w:cs="Times New Roman"/>
              </w:rPr>
            </w:pPr>
            <w:r>
              <w:rPr>
                <w:rFonts w:hint="default" w:ascii="Times New Roman" w:hAnsi="Times New Roman" w:cs="Times New Roman"/>
                <w:sz w:val="18"/>
                <w:szCs w:val="18"/>
              </w:rPr>
              <w:t>1 (0.6%)</w:t>
            </w:r>
          </w:p>
        </w:tc>
      </w:tr>
      <w:tr w14:paraId="19E83C1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1C437CB3">
            <w:pPr>
              <w:jc w:val="center"/>
              <w:rPr>
                <w:rFonts w:hint="default" w:ascii="Times New Roman" w:hAnsi="Times New Roman" w:cs="Times New Roman"/>
              </w:rPr>
            </w:pPr>
            <w:r>
              <w:rPr>
                <w:rFonts w:hint="default" w:ascii="Times New Roman" w:hAnsi="Times New Roman" w:cs="Times New Roman"/>
                <w:sz w:val="18"/>
                <w:szCs w:val="18"/>
              </w:rPr>
              <w:t>CO2</w:t>
            </w:r>
          </w:p>
        </w:tc>
        <w:tc>
          <w:tcPr>
            <w:tcW w:w="2160" w:type="dxa"/>
          </w:tcPr>
          <w:p w14:paraId="26EA756B">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0EAB59E0">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1E951219">
            <w:pPr>
              <w:jc w:val="center"/>
              <w:rPr>
                <w:rFonts w:hint="default" w:ascii="Times New Roman" w:hAnsi="Times New Roman" w:cs="Times New Roman"/>
              </w:rPr>
            </w:pPr>
            <w:r>
              <w:rPr>
                <w:rFonts w:hint="default" w:ascii="Times New Roman" w:hAnsi="Times New Roman" w:cs="Times New Roman"/>
                <w:sz w:val="18"/>
                <w:szCs w:val="18"/>
              </w:rPr>
              <w:t>1 (0.6%)</w:t>
            </w:r>
          </w:p>
        </w:tc>
      </w:tr>
      <w:tr w14:paraId="387EBC2D">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49385E22">
            <w:pPr>
              <w:jc w:val="center"/>
              <w:rPr>
                <w:rFonts w:hint="default" w:ascii="Times New Roman" w:hAnsi="Times New Roman" w:cs="Times New Roman"/>
              </w:rPr>
            </w:pPr>
            <w:r>
              <w:rPr>
                <w:rFonts w:hint="default" w:ascii="Times New Roman" w:hAnsi="Times New Roman" w:cs="Times New Roman"/>
                <w:sz w:val="18"/>
                <w:szCs w:val="18"/>
              </w:rPr>
              <w:t>Creatinine</w:t>
            </w:r>
          </w:p>
        </w:tc>
        <w:tc>
          <w:tcPr>
            <w:tcW w:w="2160" w:type="dxa"/>
          </w:tcPr>
          <w:p w14:paraId="4EDA3D7B">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4FD6A0AC">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1878E268">
            <w:pPr>
              <w:jc w:val="center"/>
              <w:rPr>
                <w:rFonts w:hint="default" w:ascii="Times New Roman" w:hAnsi="Times New Roman" w:cs="Times New Roman"/>
              </w:rPr>
            </w:pPr>
            <w:r>
              <w:rPr>
                <w:rFonts w:hint="default" w:ascii="Times New Roman" w:hAnsi="Times New Roman" w:cs="Times New Roman"/>
                <w:sz w:val="18"/>
                <w:szCs w:val="18"/>
              </w:rPr>
              <w:t>1 (0.6%)</w:t>
            </w:r>
          </w:p>
        </w:tc>
      </w:tr>
      <w:tr w14:paraId="5FC45B41">
        <w:tblPrEx>
          <w:tblBorders>
            <w:top w:val="single" w:color="000000" w:sz="12" w:space="0"/>
            <w:left w:val="none" w:color="000000" w:sz="0" w:space="0"/>
            <w:bottom w:val="single" w:color="000000" w:sz="12" w:space="0"/>
            <w:right w:val="none" w:color="000000" w:sz="0" w:space="0"/>
            <w:insideH w:val="single" w:color="000000" w:sz="4" w:space="0"/>
            <w:insideV w:val="none" w:color="000000" w:sz="0" w:space="0"/>
          </w:tblBorders>
          <w:tblCellMar>
            <w:top w:w="0" w:type="dxa"/>
            <w:left w:w="108" w:type="dxa"/>
            <w:bottom w:w="0" w:type="dxa"/>
            <w:right w:w="108" w:type="dxa"/>
          </w:tblCellMar>
        </w:tblPrEx>
        <w:trPr>
          <w:jc w:val="center"/>
        </w:trPr>
        <w:tc>
          <w:tcPr>
            <w:tcW w:w="2160" w:type="dxa"/>
          </w:tcPr>
          <w:p w14:paraId="201C54D8">
            <w:pPr>
              <w:jc w:val="center"/>
              <w:rPr>
                <w:rFonts w:hint="default" w:ascii="Times New Roman" w:hAnsi="Times New Roman" w:cs="Times New Roman"/>
              </w:rPr>
            </w:pPr>
            <w:r>
              <w:rPr>
                <w:rFonts w:hint="default" w:ascii="Times New Roman" w:hAnsi="Times New Roman" w:cs="Times New Roman"/>
                <w:sz w:val="18"/>
                <w:szCs w:val="18"/>
              </w:rPr>
              <w:t>BUN</w:t>
            </w:r>
          </w:p>
        </w:tc>
        <w:tc>
          <w:tcPr>
            <w:tcW w:w="2160" w:type="dxa"/>
          </w:tcPr>
          <w:p w14:paraId="2291D186">
            <w:pPr>
              <w:jc w:val="center"/>
              <w:rPr>
                <w:rFonts w:hint="default" w:ascii="Times New Roman" w:hAnsi="Times New Roman" w:cs="Times New Roman"/>
              </w:rPr>
            </w:pPr>
            <w:r>
              <w:rPr>
                <w:rFonts w:hint="default" w:ascii="Times New Roman" w:hAnsi="Times New Roman" w:cs="Times New Roman"/>
                <w:sz w:val="18"/>
                <w:szCs w:val="18"/>
              </w:rPr>
              <w:t>1 (1.1%)</w:t>
            </w:r>
          </w:p>
        </w:tc>
        <w:tc>
          <w:tcPr>
            <w:tcW w:w="2160" w:type="dxa"/>
          </w:tcPr>
          <w:p w14:paraId="66EEB510">
            <w:pPr>
              <w:jc w:val="center"/>
              <w:rPr>
                <w:rFonts w:hint="default" w:ascii="Times New Roman" w:hAnsi="Times New Roman" w:cs="Times New Roman"/>
              </w:rPr>
            </w:pPr>
            <w:r>
              <w:rPr>
                <w:rFonts w:hint="default" w:ascii="Times New Roman" w:hAnsi="Times New Roman" w:cs="Times New Roman"/>
                <w:sz w:val="18"/>
                <w:szCs w:val="18"/>
              </w:rPr>
              <w:t>0 (0.0%)</w:t>
            </w:r>
          </w:p>
        </w:tc>
        <w:tc>
          <w:tcPr>
            <w:tcW w:w="2160" w:type="dxa"/>
          </w:tcPr>
          <w:p w14:paraId="23D6CCC0">
            <w:pPr>
              <w:jc w:val="center"/>
              <w:rPr>
                <w:rFonts w:hint="default" w:ascii="Times New Roman" w:hAnsi="Times New Roman" w:cs="Times New Roman"/>
              </w:rPr>
            </w:pPr>
            <w:r>
              <w:rPr>
                <w:rFonts w:hint="default" w:ascii="Times New Roman" w:hAnsi="Times New Roman" w:cs="Times New Roman"/>
                <w:sz w:val="18"/>
                <w:szCs w:val="18"/>
              </w:rPr>
              <w:t>1 (0.6%)</w:t>
            </w:r>
          </w:p>
        </w:tc>
      </w:tr>
    </w:tbl>
    <w:p w14:paraId="32811F90">
      <w:pPr>
        <w:spacing w:after="120"/>
        <w:rPr>
          <w:rFonts w:hint="default" w:ascii="Times New Roman" w:hAnsi="Times New Roman" w:cs="Times New Roman"/>
        </w:rPr>
      </w:pPr>
    </w:p>
    <w:p w14:paraId="439007A4">
      <w:pPr>
        <w:spacing w:after="120"/>
        <w:rPr>
          <w:rFonts w:hint="default" w:ascii="Times New Roman" w:hAnsi="Times New Roman" w:cs="Times New Roman"/>
        </w:rPr>
      </w:pPr>
    </w:p>
    <w:p w14:paraId="4AF76670">
      <w:pPr>
        <w:spacing w:after="120"/>
        <w:rPr>
          <w:rFonts w:hint="default" w:ascii="Times New Roman" w:hAnsi="Times New Roman" w:cs="Times New Roman"/>
        </w:rPr>
      </w:pPr>
    </w:p>
    <w:p w14:paraId="064E5AAC">
      <w:pPr>
        <w:spacing w:after="120"/>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S3b. Characteristics of PDAP case episodes with versus without a recent total Kt/V measurement</w:t>
      </w:r>
    </w:p>
    <w:p w14:paraId="1DB08A5B">
      <w:pPr>
        <w:spacing w:after="120"/>
        <w:rPr>
          <w:rFonts w:hint="default" w:ascii="Times New Roman" w:hAnsi="Times New Roman" w:cs="Times New Roman"/>
          <w:sz w:val="24"/>
          <w:szCs w:val="24"/>
        </w:rPr>
      </w:pPr>
      <w:r>
        <w:rPr>
          <w:rFonts w:hint="default" w:ascii="Times New Roman" w:hAnsi="Times New Roman" w:cs="Times New Roman"/>
          <w:sz w:val="24"/>
          <w:szCs w:val="24"/>
        </w:rPr>
        <w:t>Exposure ascertainment differed between cases and controls (Methods, Control selection and adequacy measurement process). To gauge the potential informativeness of missing adequacy data, case episodes with (n = 74) and without (n = 16) a recent total Kt/V measurement are compared. Formats follow the same per-group normality rule as Table 1; denominators vary with missing values and are shown as n.</w:t>
      </w:r>
    </w:p>
    <w:tbl>
      <w:tblPr>
        <w:tblStyle w:val="32"/>
        <w:tblW w:w="0" w:type="auto"/>
        <w:tblInd w:w="-109" w:type="dxa"/>
        <w:tblLayout w:type="autofit"/>
        <w:tblCellMar>
          <w:top w:w="0" w:type="dxa"/>
          <w:left w:w="108" w:type="dxa"/>
          <w:bottom w:w="0" w:type="dxa"/>
          <w:right w:w="108" w:type="dxa"/>
        </w:tblCellMar>
      </w:tblPr>
      <w:tblGrid>
        <w:gridCol w:w="2160"/>
        <w:gridCol w:w="2160"/>
        <w:gridCol w:w="2160"/>
        <w:gridCol w:w="2160"/>
      </w:tblGrid>
      <w:tr w14:paraId="7FD80EC4">
        <w:tc>
          <w:tcPr>
            <w:tcW w:w="2160" w:type="dxa"/>
            <w:tcBorders>
              <w:top w:val="single" w:color="auto" w:sz="12" w:space="0"/>
              <w:left w:val="nil"/>
              <w:bottom w:val="nil"/>
              <w:right w:val="nil"/>
            </w:tcBorders>
            <w:noWrap w:val="0"/>
            <w:tcMar>
              <w:top w:w="-1" w:type="dxa"/>
              <w:left w:w="-1" w:type="dxa"/>
              <w:bottom w:w="-1" w:type="dxa"/>
              <w:right w:w="-1" w:type="dxa"/>
            </w:tcMar>
            <w:vAlign w:val="top"/>
          </w:tcPr>
          <w:p w14:paraId="5450441C">
            <w:pPr>
              <w:rPr>
                <w:rFonts w:hint="default" w:ascii="Times New Roman" w:hAnsi="Times New Roman" w:cs="Times New Roman"/>
              </w:rPr>
            </w:pPr>
            <w:r>
              <w:rPr>
                <w:rFonts w:hint="default" w:ascii="Times New Roman" w:hAnsi="Times New Roman" w:cs="Times New Roman"/>
              </w:rPr>
              <w:t>Variable</w:t>
            </w:r>
          </w:p>
        </w:tc>
        <w:tc>
          <w:tcPr>
            <w:tcW w:w="2160" w:type="dxa"/>
            <w:tcBorders>
              <w:top w:val="single" w:color="auto" w:sz="12" w:space="0"/>
              <w:left w:val="nil"/>
              <w:bottom w:val="nil"/>
              <w:right w:val="nil"/>
            </w:tcBorders>
            <w:noWrap w:val="0"/>
            <w:tcMar>
              <w:top w:w="-1" w:type="dxa"/>
              <w:left w:w="-1" w:type="dxa"/>
              <w:bottom w:w="-1" w:type="dxa"/>
              <w:right w:w="-1" w:type="dxa"/>
            </w:tcMar>
            <w:vAlign w:val="top"/>
          </w:tcPr>
          <w:p w14:paraId="73A0BDDB">
            <w:pPr>
              <w:rPr>
                <w:rFonts w:hint="default" w:ascii="Times New Roman" w:hAnsi="Times New Roman" w:cs="Times New Roman"/>
              </w:rPr>
            </w:pPr>
            <w:r>
              <w:rPr>
                <w:rFonts w:hint="default" w:ascii="Times New Roman" w:hAnsi="Times New Roman" w:cs="Times New Roman"/>
              </w:rPr>
              <w:t>With recent Kt/V (n = 74)</w:t>
            </w:r>
          </w:p>
        </w:tc>
        <w:tc>
          <w:tcPr>
            <w:tcW w:w="2160" w:type="dxa"/>
            <w:tcBorders>
              <w:top w:val="single" w:color="auto" w:sz="12" w:space="0"/>
              <w:left w:val="nil"/>
              <w:bottom w:val="nil"/>
              <w:right w:val="nil"/>
            </w:tcBorders>
            <w:noWrap w:val="0"/>
            <w:tcMar>
              <w:top w:w="-1" w:type="dxa"/>
              <w:left w:w="-1" w:type="dxa"/>
              <w:bottom w:w="-1" w:type="dxa"/>
              <w:right w:w="-1" w:type="dxa"/>
            </w:tcMar>
            <w:vAlign w:val="top"/>
          </w:tcPr>
          <w:p w14:paraId="3029325B">
            <w:pPr>
              <w:rPr>
                <w:rFonts w:hint="default" w:ascii="Times New Roman" w:hAnsi="Times New Roman" w:cs="Times New Roman"/>
              </w:rPr>
            </w:pPr>
            <w:r>
              <w:rPr>
                <w:rFonts w:hint="default" w:ascii="Times New Roman" w:hAnsi="Times New Roman" w:cs="Times New Roman"/>
              </w:rPr>
              <w:t>Without recent Kt/V (n = 16)</w:t>
            </w:r>
          </w:p>
        </w:tc>
        <w:tc>
          <w:tcPr>
            <w:tcW w:w="2160" w:type="dxa"/>
            <w:tcBorders>
              <w:top w:val="single" w:color="auto" w:sz="12" w:space="0"/>
              <w:left w:val="nil"/>
              <w:bottom w:val="nil"/>
              <w:right w:val="nil"/>
            </w:tcBorders>
            <w:noWrap w:val="0"/>
            <w:tcMar>
              <w:top w:w="-1" w:type="dxa"/>
              <w:left w:w="-1" w:type="dxa"/>
              <w:bottom w:w="-1" w:type="dxa"/>
              <w:right w:w="-1" w:type="dxa"/>
            </w:tcMar>
            <w:vAlign w:val="top"/>
          </w:tcPr>
          <w:p w14:paraId="76AFB47C">
            <w:pPr>
              <w:rPr>
                <w:rFonts w:hint="default" w:ascii="Times New Roman" w:hAnsi="Times New Roman" w:cs="Times New Roman"/>
              </w:rPr>
            </w:pPr>
            <w:r>
              <w:rPr>
                <w:rFonts w:hint="default" w:ascii="Times New Roman" w:hAnsi="Times New Roman" w:cs="Times New Roman"/>
              </w:rPr>
              <w:t>P value</w:t>
            </w:r>
          </w:p>
        </w:tc>
      </w:tr>
      <w:tr w14:paraId="3D8B7CF0">
        <w:tblPrEx>
          <w:tblCellMar>
            <w:top w:w="0" w:type="dxa"/>
            <w:left w:w="108" w:type="dxa"/>
            <w:bottom w:w="0" w:type="dxa"/>
            <w:right w:w="108" w:type="dxa"/>
          </w:tblCellMar>
        </w:tblPrEx>
        <w:tc>
          <w:tcPr>
            <w:tcW w:w="2160" w:type="dxa"/>
            <w:tcBorders>
              <w:top w:val="single" w:color="auto" w:sz="4" w:space="0"/>
              <w:left w:val="nil"/>
              <w:bottom w:val="nil"/>
              <w:right w:val="nil"/>
            </w:tcBorders>
            <w:noWrap w:val="0"/>
            <w:tcMar>
              <w:top w:w="-1" w:type="dxa"/>
              <w:left w:w="-1" w:type="dxa"/>
              <w:bottom w:w="-1" w:type="dxa"/>
              <w:right w:w="-1" w:type="dxa"/>
            </w:tcMar>
            <w:vAlign w:val="top"/>
          </w:tcPr>
          <w:p w14:paraId="521FDF6D">
            <w:pPr>
              <w:rPr>
                <w:rFonts w:hint="default" w:ascii="Times New Roman" w:hAnsi="Times New Roman" w:cs="Times New Roman"/>
              </w:rPr>
            </w:pPr>
            <w:r>
              <w:rPr>
                <w:rFonts w:hint="default" w:ascii="Times New Roman" w:hAnsi="Times New Roman" w:cs="Times New Roman"/>
              </w:rPr>
              <w:t>Age (years)</w:t>
            </w:r>
          </w:p>
        </w:tc>
        <w:tc>
          <w:tcPr>
            <w:tcW w:w="2160" w:type="dxa"/>
            <w:tcBorders>
              <w:top w:val="single" w:color="auto" w:sz="4" w:space="0"/>
              <w:left w:val="nil"/>
              <w:bottom w:val="nil"/>
              <w:right w:val="nil"/>
            </w:tcBorders>
            <w:noWrap w:val="0"/>
            <w:tcMar>
              <w:top w:w="-1" w:type="dxa"/>
              <w:left w:w="-1" w:type="dxa"/>
              <w:bottom w:w="-1" w:type="dxa"/>
              <w:right w:w="-1" w:type="dxa"/>
            </w:tcMar>
            <w:vAlign w:val="top"/>
          </w:tcPr>
          <w:p w14:paraId="3477DBD2">
            <w:pPr>
              <w:rPr>
                <w:rFonts w:hint="default" w:ascii="Times New Roman" w:hAnsi="Times New Roman" w:cs="Times New Roman"/>
              </w:rPr>
            </w:pPr>
            <w:r>
              <w:rPr>
                <w:rFonts w:hint="default" w:ascii="Times New Roman" w:hAnsi="Times New Roman" w:cs="Times New Roman"/>
              </w:rPr>
              <w:t>63.68 ± 12.35 (n=72)</w:t>
            </w:r>
          </w:p>
        </w:tc>
        <w:tc>
          <w:tcPr>
            <w:tcW w:w="2160" w:type="dxa"/>
            <w:tcBorders>
              <w:top w:val="single" w:color="auto" w:sz="4" w:space="0"/>
              <w:left w:val="nil"/>
              <w:bottom w:val="nil"/>
              <w:right w:val="nil"/>
            </w:tcBorders>
            <w:noWrap w:val="0"/>
            <w:tcMar>
              <w:top w:w="-1" w:type="dxa"/>
              <w:left w:w="-1" w:type="dxa"/>
              <w:bottom w:w="-1" w:type="dxa"/>
              <w:right w:w="-1" w:type="dxa"/>
            </w:tcMar>
            <w:vAlign w:val="top"/>
          </w:tcPr>
          <w:p w14:paraId="7A4E4295">
            <w:pPr>
              <w:rPr>
                <w:rFonts w:hint="default" w:ascii="Times New Roman" w:hAnsi="Times New Roman" w:cs="Times New Roman"/>
              </w:rPr>
            </w:pPr>
            <w:r>
              <w:rPr>
                <w:rFonts w:hint="default" w:ascii="Times New Roman" w:hAnsi="Times New Roman" w:cs="Times New Roman"/>
              </w:rPr>
              <w:t>63.00 ± 14.33 (n=16)</w:t>
            </w:r>
          </w:p>
        </w:tc>
        <w:tc>
          <w:tcPr>
            <w:tcW w:w="2160" w:type="dxa"/>
            <w:tcBorders>
              <w:top w:val="single" w:color="auto" w:sz="4" w:space="0"/>
              <w:left w:val="nil"/>
              <w:bottom w:val="nil"/>
              <w:right w:val="nil"/>
            </w:tcBorders>
            <w:noWrap w:val="0"/>
            <w:tcMar>
              <w:top w:w="-1" w:type="dxa"/>
              <w:left w:w="-1" w:type="dxa"/>
              <w:bottom w:w="-1" w:type="dxa"/>
              <w:right w:w="-1" w:type="dxa"/>
            </w:tcMar>
            <w:vAlign w:val="top"/>
          </w:tcPr>
          <w:p w14:paraId="170002B8">
            <w:pPr>
              <w:rPr>
                <w:rFonts w:hint="default" w:ascii="Times New Roman" w:hAnsi="Times New Roman" w:cs="Times New Roman"/>
              </w:rPr>
            </w:pPr>
            <w:r>
              <w:rPr>
                <w:rFonts w:hint="default" w:ascii="Times New Roman" w:hAnsi="Times New Roman" w:cs="Times New Roman"/>
              </w:rPr>
              <w:t>0.681</w:t>
            </w:r>
          </w:p>
        </w:tc>
      </w:tr>
      <w:tr w14:paraId="55512E4C">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26499298">
            <w:pPr>
              <w:rPr>
                <w:rFonts w:hint="default" w:ascii="Times New Roman" w:hAnsi="Times New Roman" w:cs="Times New Roman"/>
              </w:rPr>
            </w:pPr>
            <w:r>
              <w:rPr>
                <w:rFonts w:hint="default" w:ascii="Times New Roman" w:hAnsi="Times New Roman" w:cs="Times New Roman"/>
              </w:rPr>
              <w:t>Male sex, n (%)</w:t>
            </w:r>
          </w:p>
        </w:tc>
        <w:tc>
          <w:tcPr>
            <w:tcW w:w="2160" w:type="dxa"/>
            <w:tcBorders>
              <w:top w:val="nil"/>
              <w:left w:val="nil"/>
              <w:bottom w:val="nil"/>
              <w:right w:val="nil"/>
            </w:tcBorders>
            <w:noWrap w:val="0"/>
            <w:tcMar>
              <w:top w:w="-1" w:type="dxa"/>
              <w:left w:w="-1" w:type="dxa"/>
              <w:bottom w:w="-1" w:type="dxa"/>
              <w:right w:w="-1" w:type="dxa"/>
            </w:tcMar>
            <w:vAlign w:val="top"/>
          </w:tcPr>
          <w:p w14:paraId="0AB723B7">
            <w:pPr>
              <w:rPr>
                <w:rFonts w:hint="default" w:ascii="Times New Roman" w:hAnsi="Times New Roman" w:cs="Times New Roman"/>
              </w:rPr>
            </w:pPr>
            <w:r>
              <w:rPr>
                <w:rFonts w:hint="default" w:ascii="Times New Roman" w:hAnsi="Times New Roman" w:cs="Times New Roman"/>
              </w:rPr>
              <w:t>43/68 (63.2%)</w:t>
            </w:r>
          </w:p>
        </w:tc>
        <w:tc>
          <w:tcPr>
            <w:tcW w:w="2160" w:type="dxa"/>
            <w:tcBorders>
              <w:top w:val="nil"/>
              <w:left w:val="nil"/>
              <w:bottom w:val="nil"/>
              <w:right w:val="nil"/>
            </w:tcBorders>
            <w:noWrap w:val="0"/>
            <w:tcMar>
              <w:top w:w="-1" w:type="dxa"/>
              <w:left w:w="-1" w:type="dxa"/>
              <w:bottom w:w="-1" w:type="dxa"/>
              <w:right w:w="-1" w:type="dxa"/>
            </w:tcMar>
            <w:vAlign w:val="top"/>
          </w:tcPr>
          <w:p w14:paraId="372DA23B">
            <w:pPr>
              <w:rPr>
                <w:rFonts w:hint="default" w:ascii="Times New Roman" w:hAnsi="Times New Roman" w:cs="Times New Roman"/>
              </w:rPr>
            </w:pPr>
            <w:r>
              <w:rPr>
                <w:rFonts w:hint="default" w:ascii="Times New Roman" w:hAnsi="Times New Roman" w:cs="Times New Roman"/>
              </w:rPr>
              <w:t>10/16 (62.5%)</w:t>
            </w:r>
          </w:p>
        </w:tc>
        <w:tc>
          <w:tcPr>
            <w:tcW w:w="2160" w:type="dxa"/>
            <w:tcBorders>
              <w:top w:val="nil"/>
              <w:left w:val="nil"/>
              <w:bottom w:val="nil"/>
              <w:right w:val="nil"/>
            </w:tcBorders>
            <w:noWrap w:val="0"/>
            <w:tcMar>
              <w:top w:w="-1" w:type="dxa"/>
              <w:left w:w="-1" w:type="dxa"/>
              <w:bottom w:w="-1" w:type="dxa"/>
              <w:right w:w="-1" w:type="dxa"/>
            </w:tcMar>
            <w:vAlign w:val="top"/>
          </w:tcPr>
          <w:p w14:paraId="7E8BC249">
            <w:pPr>
              <w:rPr>
                <w:rFonts w:hint="default" w:ascii="Times New Roman" w:hAnsi="Times New Roman" w:cs="Times New Roman"/>
              </w:rPr>
            </w:pPr>
            <w:r>
              <w:rPr>
                <w:rFonts w:hint="default" w:ascii="Times New Roman" w:hAnsi="Times New Roman" w:cs="Times New Roman"/>
              </w:rPr>
              <w:t>1.000</w:t>
            </w:r>
          </w:p>
        </w:tc>
      </w:tr>
      <w:tr w14:paraId="2639E0D1">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65ADDDE0">
            <w:pPr>
              <w:rPr>
                <w:rFonts w:hint="default" w:ascii="Times New Roman" w:hAnsi="Times New Roman" w:cs="Times New Roman"/>
              </w:rPr>
            </w:pPr>
            <w:r>
              <w:rPr>
                <w:rFonts w:hint="default" w:ascii="Times New Roman" w:hAnsi="Times New Roman" w:cs="Times New Roman"/>
              </w:rPr>
              <w:t>Recurrent episode (≥2 episodes), n (%)</w:t>
            </w:r>
          </w:p>
        </w:tc>
        <w:tc>
          <w:tcPr>
            <w:tcW w:w="2160" w:type="dxa"/>
            <w:tcBorders>
              <w:top w:val="nil"/>
              <w:left w:val="nil"/>
              <w:bottom w:val="nil"/>
              <w:right w:val="nil"/>
            </w:tcBorders>
            <w:noWrap w:val="0"/>
            <w:tcMar>
              <w:top w:w="-1" w:type="dxa"/>
              <w:left w:w="-1" w:type="dxa"/>
              <w:bottom w:w="-1" w:type="dxa"/>
              <w:right w:w="-1" w:type="dxa"/>
            </w:tcMar>
            <w:vAlign w:val="top"/>
          </w:tcPr>
          <w:p w14:paraId="73092D62">
            <w:pPr>
              <w:rPr>
                <w:rFonts w:hint="default" w:ascii="Times New Roman" w:hAnsi="Times New Roman" w:cs="Times New Roman"/>
              </w:rPr>
            </w:pPr>
            <w:r>
              <w:rPr>
                <w:rFonts w:hint="default" w:ascii="Times New Roman" w:hAnsi="Times New Roman" w:cs="Times New Roman"/>
              </w:rPr>
              <w:t>38 (51.4%)</w:t>
            </w:r>
          </w:p>
        </w:tc>
        <w:tc>
          <w:tcPr>
            <w:tcW w:w="2160" w:type="dxa"/>
            <w:tcBorders>
              <w:top w:val="nil"/>
              <w:left w:val="nil"/>
              <w:bottom w:val="nil"/>
              <w:right w:val="nil"/>
            </w:tcBorders>
            <w:noWrap w:val="0"/>
            <w:tcMar>
              <w:top w:w="-1" w:type="dxa"/>
              <w:left w:w="-1" w:type="dxa"/>
              <w:bottom w:w="-1" w:type="dxa"/>
              <w:right w:w="-1" w:type="dxa"/>
            </w:tcMar>
            <w:vAlign w:val="top"/>
          </w:tcPr>
          <w:p w14:paraId="3E9B1B7E">
            <w:pPr>
              <w:rPr>
                <w:rFonts w:hint="default" w:ascii="Times New Roman" w:hAnsi="Times New Roman" w:cs="Times New Roman"/>
              </w:rPr>
            </w:pPr>
            <w:r>
              <w:rPr>
                <w:rFonts w:hint="default" w:ascii="Times New Roman" w:hAnsi="Times New Roman" w:cs="Times New Roman"/>
              </w:rPr>
              <w:t>10 (62.5%)</w:t>
            </w:r>
          </w:p>
        </w:tc>
        <w:tc>
          <w:tcPr>
            <w:tcW w:w="2160" w:type="dxa"/>
            <w:tcBorders>
              <w:top w:val="nil"/>
              <w:left w:val="nil"/>
              <w:bottom w:val="nil"/>
              <w:right w:val="nil"/>
            </w:tcBorders>
            <w:noWrap w:val="0"/>
            <w:tcMar>
              <w:top w:w="-1" w:type="dxa"/>
              <w:left w:w="-1" w:type="dxa"/>
              <w:bottom w:w="-1" w:type="dxa"/>
              <w:right w:w="-1" w:type="dxa"/>
            </w:tcMar>
            <w:vAlign w:val="top"/>
          </w:tcPr>
          <w:p w14:paraId="1FC205E5">
            <w:pPr>
              <w:rPr>
                <w:rFonts w:hint="default" w:ascii="Times New Roman" w:hAnsi="Times New Roman" w:cs="Times New Roman"/>
              </w:rPr>
            </w:pPr>
            <w:r>
              <w:rPr>
                <w:rFonts w:hint="default" w:ascii="Times New Roman" w:hAnsi="Times New Roman" w:cs="Times New Roman"/>
              </w:rPr>
              <w:t>0.582</w:t>
            </w:r>
          </w:p>
        </w:tc>
      </w:tr>
      <w:tr w14:paraId="080876D4">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26B94C99">
            <w:pPr>
              <w:rPr>
                <w:rFonts w:hint="default" w:ascii="Times New Roman" w:hAnsi="Times New Roman" w:cs="Times New Roman"/>
              </w:rPr>
            </w:pPr>
            <w:r>
              <w:rPr>
                <w:rFonts w:hint="default" w:ascii="Times New Roman" w:hAnsi="Times New Roman" w:cs="Times New Roman"/>
              </w:rPr>
              <w:t>Haemoglobin (g/L)</w:t>
            </w:r>
          </w:p>
        </w:tc>
        <w:tc>
          <w:tcPr>
            <w:tcW w:w="2160" w:type="dxa"/>
            <w:tcBorders>
              <w:top w:val="nil"/>
              <w:left w:val="nil"/>
              <w:bottom w:val="nil"/>
              <w:right w:val="nil"/>
            </w:tcBorders>
            <w:noWrap w:val="0"/>
            <w:tcMar>
              <w:top w:w="-1" w:type="dxa"/>
              <w:left w:w="-1" w:type="dxa"/>
              <w:bottom w:w="-1" w:type="dxa"/>
              <w:right w:w="-1" w:type="dxa"/>
            </w:tcMar>
            <w:vAlign w:val="top"/>
          </w:tcPr>
          <w:p w14:paraId="2817FD86">
            <w:pPr>
              <w:rPr>
                <w:rFonts w:hint="default" w:ascii="Times New Roman" w:hAnsi="Times New Roman" w:cs="Times New Roman"/>
              </w:rPr>
            </w:pPr>
            <w:r>
              <w:rPr>
                <w:rFonts w:hint="default" w:ascii="Times New Roman" w:hAnsi="Times New Roman" w:cs="Times New Roman"/>
              </w:rPr>
              <w:t>115.18 ± 19.06 (n=74)</w:t>
            </w:r>
          </w:p>
        </w:tc>
        <w:tc>
          <w:tcPr>
            <w:tcW w:w="2160" w:type="dxa"/>
            <w:tcBorders>
              <w:top w:val="nil"/>
              <w:left w:val="nil"/>
              <w:bottom w:val="nil"/>
              <w:right w:val="nil"/>
            </w:tcBorders>
            <w:noWrap w:val="0"/>
            <w:tcMar>
              <w:top w:w="-1" w:type="dxa"/>
              <w:left w:w="-1" w:type="dxa"/>
              <w:bottom w:w="-1" w:type="dxa"/>
              <w:right w:w="-1" w:type="dxa"/>
            </w:tcMar>
            <w:vAlign w:val="top"/>
          </w:tcPr>
          <w:p w14:paraId="794D5C42">
            <w:pPr>
              <w:rPr>
                <w:rFonts w:hint="default" w:ascii="Times New Roman" w:hAnsi="Times New Roman" w:cs="Times New Roman"/>
              </w:rPr>
            </w:pPr>
            <w:r>
              <w:rPr>
                <w:rFonts w:hint="default" w:ascii="Times New Roman" w:hAnsi="Times New Roman" w:cs="Times New Roman"/>
              </w:rPr>
              <w:t>99.27 ± 20.48 (n=15)</w:t>
            </w:r>
          </w:p>
        </w:tc>
        <w:tc>
          <w:tcPr>
            <w:tcW w:w="2160" w:type="dxa"/>
            <w:tcBorders>
              <w:top w:val="nil"/>
              <w:left w:val="nil"/>
              <w:bottom w:val="nil"/>
              <w:right w:val="nil"/>
            </w:tcBorders>
            <w:noWrap w:val="0"/>
            <w:tcMar>
              <w:top w:w="-1" w:type="dxa"/>
              <w:left w:w="-1" w:type="dxa"/>
              <w:bottom w:w="-1" w:type="dxa"/>
              <w:right w:w="-1" w:type="dxa"/>
            </w:tcMar>
            <w:vAlign w:val="top"/>
          </w:tcPr>
          <w:p w14:paraId="03BED7D4">
            <w:pPr>
              <w:rPr>
                <w:rFonts w:hint="default" w:ascii="Times New Roman" w:hAnsi="Times New Roman" w:cs="Times New Roman"/>
              </w:rPr>
            </w:pPr>
            <w:r>
              <w:rPr>
                <w:rFonts w:hint="default" w:ascii="Times New Roman" w:hAnsi="Times New Roman" w:cs="Times New Roman"/>
              </w:rPr>
              <w:t>0.007</w:t>
            </w:r>
          </w:p>
        </w:tc>
      </w:tr>
      <w:tr w14:paraId="63D44323">
        <w:tc>
          <w:tcPr>
            <w:tcW w:w="2160" w:type="dxa"/>
            <w:tcBorders>
              <w:top w:val="nil"/>
              <w:left w:val="nil"/>
              <w:bottom w:val="nil"/>
              <w:right w:val="nil"/>
            </w:tcBorders>
            <w:noWrap w:val="0"/>
            <w:tcMar>
              <w:top w:w="-1" w:type="dxa"/>
              <w:left w:w="-1" w:type="dxa"/>
              <w:bottom w:w="-1" w:type="dxa"/>
              <w:right w:w="-1" w:type="dxa"/>
            </w:tcMar>
            <w:vAlign w:val="top"/>
          </w:tcPr>
          <w:p w14:paraId="0C1062F1">
            <w:pPr>
              <w:rPr>
                <w:rFonts w:hint="default" w:ascii="Times New Roman" w:hAnsi="Times New Roman" w:cs="Times New Roman"/>
              </w:rPr>
            </w:pPr>
            <w:r>
              <w:rPr>
                <w:rFonts w:hint="default" w:ascii="Times New Roman" w:hAnsi="Times New Roman" w:cs="Times New Roman"/>
              </w:rPr>
              <w:t>WBC (×10⁹/L)</w:t>
            </w:r>
          </w:p>
        </w:tc>
        <w:tc>
          <w:tcPr>
            <w:tcW w:w="2160" w:type="dxa"/>
            <w:tcBorders>
              <w:top w:val="nil"/>
              <w:left w:val="nil"/>
              <w:bottom w:val="nil"/>
              <w:right w:val="nil"/>
            </w:tcBorders>
            <w:noWrap w:val="0"/>
            <w:tcMar>
              <w:top w:w="-1" w:type="dxa"/>
              <w:left w:w="-1" w:type="dxa"/>
              <w:bottom w:w="-1" w:type="dxa"/>
              <w:right w:w="-1" w:type="dxa"/>
            </w:tcMar>
            <w:vAlign w:val="top"/>
          </w:tcPr>
          <w:p w14:paraId="0B2A92D5">
            <w:pPr>
              <w:rPr>
                <w:rFonts w:hint="default" w:ascii="Times New Roman" w:hAnsi="Times New Roman" w:cs="Times New Roman"/>
              </w:rPr>
            </w:pPr>
            <w:r>
              <w:rPr>
                <w:rFonts w:hint="default" w:ascii="Times New Roman" w:hAnsi="Times New Roman" w:cs="Times New Roman"/>
              </w:rPr>
              <w:t>8.36 (6.73–12.37) (n=74)</w:t>
            </w:r>
          </w:p>
        </w:tc>
        <w:tc>
          <w:tcPr>
            <w:tcW w:w="2160" w:type="dxa"/>
            <w:tcBorders>
              <w:top w:val="nil"/>
              <w:left w:val="nil"/>
              <w:bottom w:val="nil"/>
              <w:right w:val="nil"/>
            </w:tcBorders>
            <w:noWrap w:val="0"/>
            <w:tcMar>
              <w:top w:w="-1" w:type="dxa"/>
              <w:left w:w="-1" w:type="dxa"/>
              <w:bottom w:w="-1" w:type="dxa"/>
              <w:right w:w="-1" w:type="dxa"/>
            </w:tcMar>
            <w:vAlign w:val="top"/>
          </w:tcPr>
          <w:p w14:paraId="3A6E24FA">
            <w:pPr>
              <w:rPr>
                <w:rFonts w:hint="default" w:ascii="Times New Roman" w:hAnsi="Times New Roman" w:cs="Times New Roman"/>
              </w:rPr>
            </w:pPr>
            <w:r>
              <w:rPr>
                <w:rFonts w:hint="default" w:ascii="Times New Roman" w:hAnsi="Times New Roman" w:cs="Times New Roman"/>
              </w:rPr>
              <w:t>10.54 ± 4.27 (n=15)</w:t>
            </w:r>
          </w:p>
        </w:tc>
        <w:tc>
          <w:tcPr>
            <w:tcW w:w="2160" w:type="dxa"/>
            <w:tcBorders>
              <w:top w:val="nil"/>
              <w:left w:val="nil"/>
              <w:bottom w:val="nil"/>
              <w:right w:val="nil"/>
            </w:tcBorders>
            <w:noWrap w:val="0"/>
            <w:tcMar>
              <w:top w:w="-1" w:type="dxa"/>
              <w:left w:w="-1" w:type="dxa"/>
              <w:bottom w:w="-1" w:type="dxa"/>
              <w:right w:w="-1" w:type="dxa"/>
            </w:tcMar>
            <w:vAlign w:val="top"/>
          </w:tcPr>
          <w:p w14:paraId="1FB3D194">
            <w:pPr>
              <w:rPr>
                <w:rFonts w:hint="default" w:ascii="Times New Roman" w:hAnsi="Times New Roman" w:cs="Times New Roman"/>
              </w:rPr>
            </w:pPr>
            <w:r>
              <w:rPr>
                <w:rFonts w:hint="default" w:ascii="Times New Roman" w:hAnsi="Times New Roman" w:cs="Times New Roman"/>
              </w:rPr>
              <w:t>0.641</w:t>
            </w:r>
          </w:p>
        </w:tc>
      </w:tr>
      <w:tr w14:paraId="3B3855D3">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348E0FD4">
            <w:pPr>
              <w:rPr>
                <w:rFonts w:hint="default" w:ascii="Times New Roman" w:hAnsi="Times New Roman" w:cs="Times New Roman"/>
              </w:rPr>
            </w:pPr>
            <w:r>
              <w:rPr>
                <w:rFonts w:hint="default" w:ascii="Times New Roman" w:hAnsi="Times New Roman" w:cs="Times New Roman"/>
              </w:rPr>
              <w:t>CRP (mg/L)</w:t>
            </w:r>
          </w:p>
        </w:tc>
        <w:tc>
          <w:tcPr>
            <w:tcW w:w="2160" w:type="dxa"/>
            <w:tcBorders>
              <w:top w:val="nil"/>
              <w:left w:val="nil"/>
              <w:bottom w:val="nil"/>
              <w:right w:val="nil"/>
            </w:tcBorders>
            <w:noWrap w:val="0"/>
            <w:tcMar>
              <w:top w:w="-1" w:type="dxa"/>
              <w:left w:w="-1" w:type="dxa"/>
              <w:bottom w:w="-1" w:type="dxa"/>
              <w:right w:w="-1" w:type="dxa"/>
            </w:tcMar>
            <w:vAlign w:val="top"/>
          </w:tcPr>
          <w:p w14:paraId="64C724B3">
            <w:pPr>
              <w:rPr>
                <w:rFonts w:hint="default" w:ascii="Times New Roman" w:hAnsi="Times New Roman" w:cs="Times New Roman"/>
              </w:rPr>
            </w:pPr>
            <w:r>
              <w:rPr>
                <w:rFonts w:hint="default" w:ascii="Times New Roman" w:hAnsi="Times New Roman" w:cs="Times New Roman"/>
              </w:rPr>
              <w:t>39.16 (21.09–92.30) (n=72)</w:t>
            </w:r>
          </w:p>
        </w:tc>
        <w:tc>
          <w:tcPr>
            <w:tcW w:w="2160" w:type="dxa"/>
            <w:tcBorders>
              <w:top w:val="nil"/>
              <w:left w:val="nil"/>
              <w:bottom w:val="nil"/>
              <w:right w:val="nil"/>
            </w:tcBorders>
            <w:noWrap w:val="0"/>
            <w:tcMar>
              <w:top w:w="-1" w:type="dxa"/>
              <w:left w:w="-1" w:type="dxa"/>
              <w:bottom w:w="-1" w:type="dxa"/>
              <w:right w:w="-1" w:type="dxa"/>
            </w:tcMar>
            <w:vAlign w:val="top"/>
          </w:tcPr>
          <w:p w14:paraId="6350828D">
            <w:pPr>
              <w:rPr>
                <w:rFonts w:hint="default" w:ascii="Times New Roman" w:hAnsi="Times New Roman" w:cs="Times New Roman"/>
              </w:rPr>
            </w:pPr>
            <w:r>
              <w:rPr>
                <w:rFonts w:hint="default" w:ascii="Times New Roman" w:hAnsi="Times New Roman" w:cs="Times New Roman"/>
              </w:rPr>
              <w:t>63.47 (19.73–96.74) (n=14)</w:t>
            </w:r>
          </w:p>
        </w:tc>
        <w:tc>
          <w:tcPr>
            <w:tcW w:w="2160" w:type="dxa"/>
            <w:tcBorders>
              <w:top w:val="nil"/>
              <w:left w:val="nil"/>
              <w:bottom w:val="nil"/>
              <w:right w:val="nil"/>
            </w:tcBorders>
            <w:noWrap w:val="0"/>
            <w:tcMar>
              <w:top w:w="-1" w:type="dxa"/>
              <w:left w:w="-1" w:type="dxa"/>
              <w:bottom w:w="-1" w:type="dxa"/>
              <w:right w:w="-1" w:type="dxa"/>
            </w:tcMar>
            <w:vAlign w:val="top"/>
          </w:tcPr>
          <w:p w14:paraId="0D3AD590">
            <w:pPr>
              <w:rPr>
                <w:rFonts w:hint="default" w:ascii="Times New Roman" w:hAnsi="Times New Roman" w:cs="Times New Roman"/>
              </w:rPr>
            </w:pPr>
            <w:r>
              <w:rPr>
                <w:rFonts w:hint="default" w:ascii="Times New Roman" w:hAnsi="Times New Roman" w:cs="Times New Roman"/>
              </w:rPr>
              <w:t>0.524</w:t>
            </w:r>
          </w:p>
        </w:tc>
      </w:tr>
      <w:tr w14:paraId="2F4060CE">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00409727">
            <w:pPr>
              <w:rPr>
                <w:rFonts w:hint="default" w:ascii="Times New Roman" w:hAnsi="Times New Roman" w:cs="Times New Roman"/>
              </w:rPr>
            </w:pPr>
            <w:r>
              <w:rPr>
                <w:rFonts w:hint="default" w:ascii="Times New Roman" w:hAnsi="Times New Roman" w:cs="Times New Roman"/>
              </w:rPr>
              <w:t>PCT (ng/mL)</w:t>
            </w:r>
          </w:p>
        </w:tc>
        <w:tc>
          <w:tcPr>
            <w:tcW w:w="2160" w:type="dxa"/>
            <w:tcBorders>
              <w:top w:val="nil"/>
              <w:left w:val="nil"/>
              <w:bottom w:val="nil"/>
              <w:right w:val="nil"/>
            </w:tcBorders>
            <w:noWrap w:val="0"/>
            <w:tcMar>
              <w:top w:w="-1" w:type="dxa"/>
              <w:left w:w="-1" w:type="dxa"/>
              <w:bottom w:w="-1" w:type="dxa"/>
              <w:right w:w="-1" w:type="dxa"/>
            </w:tcMar>
            <w:vAlign w:val="top"/>
          </w:tcPr>
          <w:p w14:paraId="765E90BF">
            <w:pPr>
              <w:rPr>
                <w:rFonts w:hint="default" w:ascii="Times New Roman" w:hAnsi="Times New Roman" w:cs="Times New Roman"/>
              </w:rPr>
            </w:pPr>
            <w:r>
              <w:rPr>
                <w:rFonts w:hint="default" w:ascii="Times New Roman" w:hAnsi="Times New Roman" w:cs="Times New Roman"/>
              </w:rPr>
              <w:t>1.52 (0.48–6.63) (n=64)</w:t>
            </w:r>
          </w:p>
        </w:tc>
        <w:tc>
          <w:tcPr>
            <w:tcW w:w="2160" w:type="dxa"/>
            <w:tcBorders>
              <w:top w:val="nil"/>
              <w:left w:val="nil"/>
              <w:bottom w:val="nil"/>
              <w:right w:val="nil"/>
            </w:tcBorders>
            <w:noWrap w:val="0"/>
            <w:tcMar>
              <w:top w:w="-1" w:type="dxa"/>
              <w:left w:w="-1" w:type="dxa"/>
              <w:bottom w:w="-1" w:type="dxa"/>
              <w:right w:w="-1" w:type="dxa"/>
            </w:tcMar>
            <w:vAlign w:val="top"/>
          </w:tcPr>
          <w:p w14:paraId="031426BD">
            <w:pPr>
              <w:rPr>
                <w:rFonts w:hint="default" w:ascii="Times New Roman" w:hAnsi="Times New Roman" w:cs="Times New Roman"/>
              </w:rPr>
            </w:pPr>
            <w:r>
              <w:rPr>
                <w:rFonts w:hint="default" w:ascii="Times New Roman" w:hAnsi="Times New Roman" w:cs="Times New Roman"/>
              </w:rPr>
              <w:t>1.27 (0.60–8.11) (n=11)</w:t>
            </w:r>
          </w:p>
        </w:tc>
        <w:tc>
          <w:tcPr>
            <w:tcW w:w="2160" w:type="dxa"/>
            <w:tcBorders>
              <w:top w:val="nil"/>
              <w:left w:val="nil"/>
              <w:bottom w:val="nil"/>
              <w:right w:val="nil"/>
            </w:tcBorders>
            <w:noWrap w:val="0"/>
            <w:tcMar>
              <w:top w:w="-1" w:type="dxa"/>
              <w:left w:w="-1" w:type="dxa"/>
              <w:bottom w:w="-1" w:type="dxa"/>
              <w:right w:w="-1" w:type="dxa"/>
            </w:tcMar>
            <w:vAlign w:val="top"/>
          </w:tcPr>
          <w:p w14:paraId="66E70F58">
            <w:pPr>
              <w:rPr>
                <w:rFonts w:hint="default" w:ascii="Times New Roman" w:hAnsi="Times New Roman" w:cs="Times New Roman"/>
              </w:rPr>
            </w:pPr>
            <w:r>
              <w:rPr>
                <w:rFonts w:hint="default" w:ascii="Times New Roman" w:hAnsi="Times New Roman" w:cs="Times New Roman"/>
              </w:rPr>
              <w:t>0.742</w:t>
            </w:r>
          </w:p>
        </w:tc>
      </w:tr>
      <w:tr w14:paraId="7F373695">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1899582F">
            <w:pPr>
              <w:rPr>
                <w:rFonts w:hint="default" w:ascii="Times New Roman" w:hAnsi="Times New Roman" w:cs="Times New Roman"/>
              </w:rPr>
            </w:pPr>
            <w:r>
              <w:rPr>
                <w:rFonts w:hint="default" w:ascii="Times New Roman" w:hAnsi="Times New Roman" w:cs="Times New Roman"/>
              </w:rPr>
              <w:t>IL-6 (pg/mL)</w:t>
            </w:r>
          </w:p>
        </w:tc>
        <w:tc>
          <w:tcPr>
            <w:tcW w:w="2160" w:type="dxa"/>
            <w:tcBorders>
              <w:top w:val="nil"/>
              <w:left w:val="nil"/>
              <w:bottom w:val="nil"/>
              <w:right w:val="nil"/>
            </w:tcBorders>
            <w:noWrap w:val="0"/>
            <w:tcMar>
              <w:top w:w="-1" w:type="dxa"/>
              <w:left w:w="-1" w:type="dxa"/>
              <w:bottom w:w="-1" w:type="dxa"/>
              <w:right w:w="-1" w:type="dxa"/>
            </w:tcMar>
            <w:vAlign w:val="top"/>
          </w:tcPr>
          <w:p w14:paraId="4C051DB3">
            <w:pPr>
              <w:rPr>
                <w:rFonts w:hint="default" w:ascii="Times New Roman" w:hAnsi="Times New Roman" w:cs="Times New Roman"/>
              </w:rPr>
            </w:pPr>
            <w:r>
              <w:rPr>
                <w:rFonts w:hint="default" w:ascii="Times New Roman" w:hAnsi="Times New Roman" w:cs="Times New Roman"/>
              </w:rPr>
              <w:t>84.45 (14.20–390.50) (n=64)</w:t>
            </w:r>
          </w:p>
        </w:tc>
        <w:tc>
          <w:tcPr>
            <w:tcW w:w="2160" w:type="dxa"/>
            <w:tcBorders>
              <w:top w:val="nil"/>
              <w:left w:val="nil"/>
              <w:bottom w:val="nil"/>
              <w:right w:val="nil"/>
            </w:tcBorders>
            <w:noWrap w:val="0"/>
            <w:tcMar>
              <w:top w:w="-1" w:type="dxa"/>
              <w:left w:w="-1" w:type="dxa"/>
              <w:bottom w:w="-1" w:type="dxa"/>
              <w:right w:w="-1" w:type="dxa"/>
            </w:tcMar>
            <w:vAlign w:val="top"/>
          </w:tcPr>
          <w:p w14:paraId="36F8EAB0">
            <w:pPr>
              <w:rPr>
                <w:rFonts w:hint="default" w:ascii="Times New Roman" w:hAnsi="Times New Roman" w:cs="Times New Roman"/>
              </w:rPr>
            </w:pPr>
            <w:r>
              <w:rPr>
                <w:rFonts w:hint="default" w:ascii="Times New Roman" w:hAnsi="Times New Roman" w:cs="Times New Roman"/>
              </w:rPr>
              <w:t>179.00 (62.10–371.50) (n=11)</w:t>
            </w:r>
          </w:p>
        </w:tc>
        <w:tc>
          <w:tcPr>
            <w:tcW w:w="2160" w:type="dxa"/>
            <w:tcBorders>
              <w:top w:val="nil"/>
              <w:left w:val="nil"/>
              <w:bottom w:val="nil"/>
              <w:right w:val="nil"/>
            </w:tcBorders>
            <w:noWrap w:val="0"/>
            <w:tcMar>
              <w:top w:w="-1" w:type="dxa"/>
              <w:left w:w="-1" w:type="dxa"/>
              <w:bottom w:w="-1" w:type="dxa"/>
              <w:right w:w="-1" w:type="dxa"/>
            </w:tcMar>
            <w:vAlign w:val="top"/>
          </w:tcPr>
          <w:p w14:paraId="0EAF88B1">
            <w:pPr>
              <w:rPr>
                <w:rFonts w:hint="default" w:ascii="Times New Roman" w:hAnsi="Times New Roman" w:cs="Times New Roman"/>
              </w:rPr>
            </w:pPr>
            <w:r>
              <w:rPr>
                <w:rFonts w:hint="default" w:ascii="Times New Roman" w:hAnsi="Times New Roman" w:cs="Times New Roman"/>
              </w:rPr>
              <w:t>0.381</w:t>
            </w:r>
          </w:p>
        </w:tc>
      </w:tr>
      <w:tr w14:paraId="00F6FCF6">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5DF84E6E">
            <w:pPr>
              <w:rPr>
                <w:rFonts w:hint="default" w:ascii="Times New Roman" w:hAnsi="Times New Roman" w:cs="Times New Roman"/>
              </w:rPr>
            </w:pPr>
            <w:r>
              <w:rPr>
                <w:rFonts w:hint="default" w:ascii="Times New Roman" w:hAnsi="Times New Roman" w:cs="Times New Roman"/>
              </w:rPr>
              <w:t>Ferritin (ng/mL)</w:t>
            </w:r>
          </w:p>
        </w:tc>
        <w:tc>
          <w:tcPr>
            <w:tcW w:w="2160" w:type="dxa"/>
            <w:tcBorders>
              <w:top w:val="nil"/>
              <w:left w:val="nil"/>
              <w:bottom w:val="nil"/>
              <w:right w:val="nil"/>
            </w:tcBorders>
            <w:noWrap w:val="0"/>
            <w:tcMar>
              <w:top w:w="-1" w:type="dxa"/>
              <w:left w:w="-1" w:type="dxa"/>
              <w:bottom w:w="-1" w:type="dxa"/>
              <w:right w:w="-1" w:type="dxa"/>
            </w:tcMar>
            <w:vAlign w:val="top"/>
          </w:tcPr>
          <w:p w14:paraId="125608AB">
            <w:pPr>
              <w:rPr>
                <w:rFonts w:hint="default" w:ascii="Times New Roman" w:hAnsi="Times New Roman" w:cs="Times New Roman"/>
              </w:rPr>
            </w:pPr>
            <w:r>
              <w:rPr>
                <w:rFonts w:hint="default" w:ascii="Times New Roman" w:hAnsi="Times New Roman" w:cs="Times New Roman"/>
              </w:rPr>
              <w:t>302.25 (151.78–644.21) (n=40)</w:t>
            </w:r>
          </w:p>
        </w:tc>
        <w:tc>
          <w:tcPr>
            <w:tcW w:w="2160" w:type="dxa"/>
            <w:tcBorders>
              <w:top w:val="nil"/>
              <w:left w:val="nil"/>
              <w:bottom w:val="nil"/>
              <w:right w:val="nil"/>
            </w:tcBorders>
            <w:noWrap w:val="0"/>
            <w:tcMar>
              <w:top w:w="-1" w:type="dxa"/>
              <w:left w:w="-1" w:type="dxa"/>
              <w:bottom w:w="-1" w:type="dxa"/>
              <w:right w:w="-1" w:type="dxa"/>
            </w:tcMar>
            <w:vAlign w:val="top"/>
          </w:tcPr>
          <w:p w14:paraId="5E509740">
            <w:pPr>
              <w:rPr>
                <w:rFonts w:hint="default" w:ascii="Times New Roman" w:hAnsi="Times New Roman" w:cs="Times New Roman"/>
              </w:rPr>
            </w:pPr>
            <w:r>
              <w:rPr>
                <w:rFonts w:hint="default" w:ascii="Times New Roman" w:hAnsi="Times New Roman" w:cs="Times New Roman"/>
              </w:rPr>
              <w:t>308.20 (255.85–546.64) (n=11)</w:t>
            </w:r>
          </w:p>
        </w:tc>
        <w:tc>
          <w:tcPr>
            <w:tcW w:w="2160" w:type="dxa"/>
            <w:tcBorders>
              <w:top w:val="nil"/>
              <w:left w:val="nil"/>
              <w:bottom w:val="nil"/>
              <w:right w:val="nil"/>
            </w:tcBorders>
            <w:noWrap w:val="0"/>
            <w:tcMar>
              <w:top w:w="-1" w:type="dxa"/>
              <w:left w:w="-1" w:type="dxa"/>
              <w:bottom w:w="-1" w:type="dxa"/>
              <w:right w:w="-1" w:type="dxa"/>
            </w:tcMar>
            <w:vAlign w:val="top"/>
          </w:tcPr>
          <w:p w14:paraId="7580DF84">
            <w:pPr>
              <w:rPr>
                <w:rFonts w:hint="default" w:ascii="Times New Roman" w:hAnsi="Times New Roman" w:cs="Times New Roman"/>
              </w:rPr>
            </w:pPr>
            <w:r>
              <w:rPr>
                <w:rFonts w:hint="default" w:ascii="Times New Roman" w:hAnsi="Times New Roman" w:cs="Times New Roman"/>
              </w:rPr>
              <w:t>0.403</w:t>
            </w:r>
          </w:p>
        </w:tc>
      </w:tr>
      <w:tr w14:paraId="4AE2D437">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12FCDF2E">
            <w:pPr>
              <w:rPr>
                <w:rFonts w:hint="default" w:ascii="Times New Roman" w:hAnsi="Times New Roman" w:cs="Times New Roman"/>
              </w:rPr>
            </w:pPr>
            <w:r>
              <w:rPr>
                <w:rFonts w:hint="default" w:ascii="Times New Roman" w:hAnsi="Times New Roman" w:cs="Times New Roman"/>
              </w:rPr>
              <w:t>Serum iron (μmol/L)</w:t>
            </w:r>
          </w:p>
        </w:tc>
        <w:tc>
          <w:tcPr>
            <w:tcW w:w="2160" w:type="dxa"/>
            <w:tcBorders>
              <w:top w:val="nil"/>
              <w:left w:val="nil"/>
              <w:bottom w:val="nil"/>
              <w:right w:val="nil"/>
            </w:tcBorders>
            <w:noWrap w:val="0"/>
            <w:tcMar>
              <w:top w:w="-1" w:type="dxa"/>
              <w:left w:w="-1" w:type="dxa"/>
              <w:bottom w:w="-1" w:type="dxa"/>
              <w:right w:w="-1" w:type="dxa"/>
            </w:tcMar>
            <w:vAlign w:val="top"/>
          </w:tcPr>
          <w:p w14:paraId="28C9C619">
            <w:pPr>
              <w:rPr>
                <w:rFonts w:hint="default" w:ascii="Times New Roman" w:hAnsi="Times New Roman" w:cs="Times New Roman"/>
              </w:rPr>
            </w:pPr>
            <w:r>
              <w:rPr>
                <w:rFonts w:hint="default" w:ascii="Times New Roman" w:hAnsi="Times New Roman" w:cs="Times New Roman"/>
              </w:rPr>
              <w:t>7.04 (4.85–9.97) (n=48)</w:t>
            </w:r>
          </w:p>
        </w:tc>
        <w:tc>
          <w:tcPr>
            <w:tcW w:w="2160" w:type="dxa"/>
            <w:tcBorders>
              <w:top w:val="nil"/>
              <w:left w:val="nil"/>
              <w:bottom w:val="nil"/>
              <w:right w:val="nil"/>
            </w:tcBorders>
            <w:noWrap w:val="0"/>
            <w:tcMar>
              <w:top w:w="-1" w:type="dxa"/>
              <w:left w:w="-1" w:type="dxa"/>
              <w:bottom w:w="-1" w:type="dxa"/>
              <w:right w:w="-1" w:type="dxa"/>
            </w:tcMar>
            <w:vAlign w:val="top"/>
          </w:tcPr>
          <w:p w14:paraId="2527C1F7">
            <w:pPr>
              <w:rPr>
                <w:rFonts w:hint="default" w:ascii="Times New Roman" w:hAnsi="Times New Roman" w:cs="Times New Roman"/>
              </w:rPr>
            </w:pPr>
            <w:r>
              <w:rPr>
                <w:rFonts w:hint="default" w:ascii="Times New Roman" w:hAnsi="Times New Roman" w:cs="Times New Roman"/>
              </w:rPr>
              <w:t>7.31 ± 3.90 (n=12)</w:t>
            </w:r>
          </w:p>
        </w:tc>
        <w:tc>
          <w:tcPr>
            <w:tcW w:w="2160" w:type="dxa"/>
            <w:tcBorders>
              <w:top w:val="nil"/>
              <w:left w:val="nil"/>
              <w:bottom w:val="nil"/>
              <w:right w:val="nil"/>
            </w:tcBorders>
            <w:noWrap w:val="0"/>
            <w:tcMar>
              <w:top w:w="-1" w:type="dxa"/>
              <w:left w:w="-1" w:type="dxa"/>
              <w:bottom w:w="-1" w:type="dxa"/>
              <w:right w:w="-1" w:type="dxa"/>
            </w:tcMar>
            <w:vAlign w:val="top"/>
          </w:tcPr>
          <w:p w14:paraId="067E4458">
            <w:pPr>
              <w:rPr>
                <w:rFonts w:hint="default" w:ascii="Times New Roman" w:hAnsi="Times New Roman" w:cs="Times New Roman"/>
              </w:rPr>
            </w:pPr>
            <w:r>
              <w:rPr>
                <w:rFonts w:hint="default" w:ascii="Times New Roman" w:hAnsi="Times New Roman" w:cs="Times New Roman"/>
              </w:rPr>
              <w:t>0.705</w:t>
            </w:r>
          </w:p>
        </w:tc>
      </w:tr>
      <w:tr w14:paraId="6CAFC3F3">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098FAD8C">
            <w:pPr>
              <w:rPr>
                <w:rFonts w:hint="default" w:ascii="Times New Roman" w:hAnsi="Times New Roman" w:cs="Times New Roman"/>
              </w:rPr>
            </w:pPr>
            <w:r>
              <w:rPr>
                <w:rFonts w:hint="default" w:ascii="Times New Roman" w:hAnsi="Times New Roman" w:cs="Times New Roman"/>
              </w:rPr>
              <w:t>TIBC (μmol/L)</w:t>
            </w:r>
          </w:p>
        </w:tc>
        <w:tc>
          <w:tcPr>
            <w:tcW w:w="2160" w:type="dxa"/>
            <w:tcBorders>
              <w:top w:val="nil"/>
              <w:left w:val="nil"/>
              <w:bottom w:val="nil"/>
              <w:right w:val="nil"/>
            </w:tcBorders>
            <w:noWrap w:val="0"/>
            <w:tcMar>
              <w:top w:w="-1" w:type="dxa"/>
              <w:left w:w="-1" w:type="dxa"/>
              <w:bottom w:w="-1" w:type="dxa"/>
              <w:right w:w="-1" w:type="dxa"/>
            </w:tcMar>
            <w:vAlign w:val="top"/>
          </w:tcPr>
          <w:p w14:paraId="1503941A">
            <w:pPr>
              <w:rPr>
                <w:rFonts w:hint="default" w:ascii="Times New Roman" w:hAnsi="Times New Roman" w:cs="Times New Roman"/>
              </w:rPr>
            </w:pPr>
            <w:r>
              <w:rPr>
                <w:rFonts w:hint="default" w:ascii="Times New Roman" w:hAnsi="Times New Roman" w:cs="Times New Roman"/>
              </w:rPr>
              <w:t>39.94 ± 11.88 (n=48)</w:t>
            </w:r>
          </w:p>
        </w:tc>
        <w:tc>
          <w:tcPr>
            <w:tcW w:w="2160" w:type="dxa"/>
            <w:tcBorders>
              <w:top w:val="nil"/>
              <w:left w:val="nil"/>
              <w:bottom w:val="nil"/>
              <w:right w:val="nil"/>
            </w:tcBorders>
            <w:noWrap w:val="0"/>
            <w:tcMar>
              <w:top w:w="-1" w:type="dxa"/>
              <w:left w:w="-1" w:type="dxa"/>
              <w:bottom w:w="-1" w:type="dxa"/>
              <w:right w:w="-1" w:type="dxa"/>
            </w:tcMar>
            <w:vAlign w:val="top"/>
          </w:tcPr>
          <w:p w14:paraId="71EDFB17">
            <w:pPr>
              <w:rPr>
                <w:rFonts w:hint="default" w:ascii="Times New Roman" w:hAnsi="Times New Roman" w:cs="Times New Roman"/>
              </w:rPr>
            </w:pPr>
            <w:r>
              <w:rPr>
                <w:rFonts w:hint="default" w:ascii="Times New Roman" w:hAnsi="Times New Roman" w:cs="Times New Roman"/>
              </w:rPr>
              <w:t>31.39 ± 10.32 (n=12)</w:t>
            </w:r>
          </w:p>
        </w:tc>
        <w:tc>
          <w:tcPr>
            <w:tcW w:w="2160" w:type="dxa"/>
            <w:tcBorders>
              <w:top w:val="nil"/>
              <w:left w:val="nil"/>
              <w:bottom w:val="nil"/>
              <w:right w:val="nil"/>
            </w:tcBorders>
            <w:noWrap w:val="0"/>
            <w:tcMar>
              <w:top w:w="-1" w:type="dxa"/>
              <w:left w:w="-1" w:type="dxa"/>
              <w:bottom w:w="-1" w:type="dxa"/>
              <w:right w:w="-1" w:type="dxa"/>
            </w:tcMar>
            <w:vAlign w:val="top"/>
          </w:tcPr>
          <w:p w14:paraId="5AAB8B10">
            <w:pPr>
              <w:rPr>
                <w:rFonts w:hint="default" w:ascii="Times New Roman" w:hAnsi="Times New Roman" w:cs="Times New Roman"/>
              </w:rPr>
            </w:pPr>
            <w:r>
              <w:rPr>
                <w:rFonts w:hint="default" w:ascii="Times New Roman" w:hAnsi="Times New Roman" w:cs="Times New Roman"/>
              </w:rPr>
              <w:t>0.016</w:t>
            </w:r>
          </w:p>
        </w:tc>
      </w:tr>
      <w:tr w14:paraId="183D5362">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5005167A">
            <w:pPr>
              <w:rPr>
                <w:rFonts w:hint="default" w:ascii="Times New Roman" w:hAnsi="Times New Roman" w:cs="Times New Roman"/>
              </w:rPr>
            </w:pPr>
            <w:r>
              <w:rPr>
                <w:rFonts w:hint="default" w:ascii="Times New Roman" w:hAnsi="Times New Roman" w:cs="Times New Roman"/>
              </w:rPr>
              <w:t>TSAT (%)</w:t>
            </w:r>
          </w:p>
        </w:tc>
        <w:tc>
          <w:tcPr>
            <w:tcW w:w="2160" w:type="dxa"/>
            <w:tcBorders>
              <w:top w:val="nil"/>
              <w:left w:val="nil"/>
              <w:bottom w:val="nil"/>
              <w:right w:val="nil"/>
            </w:tcBorders>
            <w:noWrap w:val="0"/>
            <w:tcMar>
              <w:top w:w="-1" w:type="dxa"/>
              <w:left w:w="-1" w:type="dxa"/>
              <w:bottom w:w="-1" w:type="dxa"/>
              <w:right w:w="-1" w:type="dxa"/>
            </w:tcMar>
            <w:vAlign w:val="top"/>
          </w:tcPr>
          <w:p w14:paraId="3583FBE4">
            <w:pPr>
              <w:rPr>
                <w:rFonts w:hint="default" w:ascii="Times New Roman" w:hAnsi="Times New Roman" w:cs="Times New Roman"/>
              </w:rPr>
            </w:pPr>
            <w:r>
              <w:rPr>
                <w:rFonts w:hint="default" w:ascii="Times New Roman" w:hAnsi="Times New Roman" w:cs="Times New Roman"/>
              </w:rPr>
              <w:t>17.38 (12.20–31.67) (n=48)</w:t>
            </w:r>
          </w:p>
        </w:tc>
        <w:tc>
          <w:tcPr>
            <w:tcW w:w="2160" w:type="dxa"/>
            <w:tcBorders>
              <w:top w:val="nil"/>
              <w:left w:val="nil"/>
              <w:bottom w:val="nil"/>
              <w:right w:val="nil"/>
            </w:tcBorders>
            <w:noWrap w:val="0"/>
            <w:tcMar>
              <w:top w:w="-1" w:type="dxa"/>
              <w:left w:w="-1" w:type="dxa"/>
              <w:bottom w:w="-1" w:type="dxa"/>
              <w:right w:w="-1" w:type="dxa"/>
            </w:tcMar>
            <w:vAlign w:val="top"/>
          </w:tcPr>
          <w:p w14:paraId="06126555">
            <w:pPr>
              <w:rPr>
                <w:rFonts w:hint="default" w:ascii="Times New Roman" w:hAnsi="Times New Roman" w:cs="Times New Roman"/>
              </w:rPr>
            </w:pPr>
            <w:r>
              <w:rPr>
                <w:rFonts w:hint="default" w:ascii="Times New Roman" w:hAnsi="Times New Roman" w:cs="Times New Roman"/>
              </w:rPr>
              <w:t>26.38 ± 19.07 (n=12)</w:t>
            </w:r>
          </w:p>
        </w:tc>
        <w:tc>
          <w:tcPr>
            <w:tcW w:w="2160" w:type="dxa"/>
            <w:tcBorders>
              <w:top w:val="nil"/>
              <w:left w:val="nil"/>
              <w:bottom w:val="nil"/>
              <w:right w:val="nil"/>
            </w:tcBorders>
            <w:noWrap w:val="0"/>
            <w:tcMar>
              <w:top w:w="-1" w:type="dxa"/>
              <w:left w:w="-1" w:type="dxa"/>
              <w:bottom w:w="-1" w:type="dxa"/>
              <w:right w:w="-1" w:type="dxa"/>
            </w:tcMar>
            <w:vAlign w:val="top"/>
          </w:tcPr>
          <w:p w14:paraId="75E02D9B">
            <w:pPr>
              <w:rPr>
                <w:rFonts w:hint="default" w:ascii="Times New Roman" w:hAnsi="Times New Roman" w:cs="Times New Roman"/>
              </w:rPr>
            </w:pPr>
            <w:r>
              <w:rPr>
                <w:rFonts w:hint="default" w:ascii="Times New Roman" w:hAnsi="Times New Roman" w:cs="Times New Roman"/>
              </w:rPr>
              <w:t>0.698</w:t>
            </w:r>
          </w:p>
        </w:tc>
      </w:tr>
      <w:tr w14:paraId="1DE1FD3D">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21365435">
            <w:pPr>
              <w:rPr>
                <w:rFonts w:hint="default" w:ascii="Times New Roman" w:hAnsi="Times New Roman" w:cs="Times New Roman"/>
              </w:rPr>
            </w:pPr>
            <w:r>
              <w:rPr>
                <w:rFonts w:hint="default" w:ascii="Times New Roman" w:hAnsi="Times New Roman" w:cs="Times New Roman"/>
              </w:rPr>
              <w:t>Albumin (g/L)</w:t>
            </w:r>
          </w:p>
        </w:tc>
        <w:tc>
          <w:tcPr>
            <w:tcW w:w="2160" w:type="dxa"/>
            <w:tcBorders>
              <w:top w:val="nil"/>
              <w:left w:val="nil"/>
              <w:bottom w:val="nil"/>
              <w:right w:val="nil"/>
            </w:tcBorders>
            <w:noWrap w:val="0"/>
            <w:tcMar>
              <w:top w:w="-1" w:type="dxa"/>
              <w:left w:w="-1" w:type="dxa"/>
              <w:bottom w:w="-1" w:type="dxa"/>
              <w:right w:w="-1" w:type="dxa"/>
            </w:tcMar>
            <w:vAlign w:val="top"/>
          </w:tcPr>
          <w:p w14:paraId="7800EAE1">
            <w:pPr>
              <w:rPr>
                <w:rFonts w:hint="default" w:ascii="Times New Roman" w:hAnsi="Times New Roman" w:cs="Times New Roman"/>
              </w:rPr>
            </w:pPr>
            <w:r>
              <w:rPr>
                <w:rFonts w:hint="default" w:ascii="Times New Roman" w:hAnsi="Times New Roman" w:cs="Times New Roman"/>
              </w:rPr>
              <w:t>29.60 (25.64–34.20) (n=74)</w:t>
            </w:r>
          </w:p>
        </w:tc>
        <w:tc>
          <w:tcPr>
            <w:tcW w:w="2160" w:type="dxa"/>
            <w:tcBorders>
              <w:top w:val="nil"/>
              <w:left w:val="nil"/>
              <w:bottom w:val="nil"/>
              <w:right w:val="nil"/>
            </w:tcBorders>
            <w:noWrap w:val="0"/>
            <w:tcMar>
              <w:top w:w="-1" w:type="dxa"/>
              <w:left w:w="-1" w:type="dxa"/>
              <w:bottom w:w="-1" w:type="dxa"/>
              <w:right w:w="-1" w:type="dxa"/>
            </w:tcMar>
            <w:vAlign w:val="top"/>
          </w:tcPr>
          <w:p w14:paraId="10883B58">
            <w:pPr>
              <w:rPr>
                <w:rFonts w:hint="default" w:ascii="Times New Roman" w:hAnsi="Times New Roman" w:cs="Times New Roman"/>
              </w:rPr>
            </w:pPr>
            <w:r>
              <w:rPr>
                <w:rFonts w:hint="default" w:ascii="Times New Roman" w:hAnsi="Times New Roman" w:cs="Times New Roman"/>
              </w:rPr>
              <w:t>26.75 ± 6.23 (n=14)</w:t>
            </w:r>
          </w:p>
        </w:tc>
        <w:tc>
          <w:tcPr>
            <w:tcW w:w="2160" w:type="dxa"/>
            <w:tcBorders>
              <w:top w:val="nil"/>
              <w:left w:val="nil"/>
              <w:bottom w:val="nil"/>
              <w:right w:val="nil"/>
            </w:tcBorders>
            <w:noWrap w:val="0"/>
            <w:tcMar>
              <w:top w:w="-1" w:type="dxa"/>
              <w:left w:w="-1" w:type="dxa"/>
              <w:bottom w:w="-1" w:type="dxa"/>
              <w:right w:w="-1" w:type="dxa"/>
            </w:tcMar>
            <w:vAlign w:val="top"/>
          </w:tcPr>
          <w:p w14:paraId="325BC553">
            <w:pPr>
              <w:rPr>
                <w:rFonts w:hint="default" w:ascii="Times New Roman" w:hAnsi="Times New Roman" w:cs="Times New Roman"/>
              </w:rPr>
            </w:pPr>
            <w:r>
              <w:rPr>
                <w:rFonts w:hint="default" w:ascii="Times New Roman" w:hAnsi="Times New Roman" w:cs="Times New Roman"/>
              </w:rPr>
              <w:t>0.125</w:t>
            </w:r>
          </w:p>
        </w:tc>
      </w:tr>
      <w:tr w14:paraId="7AD005E5">
        <w:tblPrEx>
          <w:tblCellMar>
            <w:top w:w="0" w:type="dxa"/>
            <w:left w:w="108" w:type="dxa"/>
            <w:bottom w:w="0" w:type="dxa"/>
            <w:right w:w="108" w:type="dxa"/>
          </w:tblCellMar>
        </w:tblPrEx>
        <w:tc>
          <w:tcPr>
            <w:tcW w:w="2160" w:type="dxa"/>
            <w:tcBorders>
              <w:top w:val="nil"/>
              <w:left w:val="nil"/>
              <w:bottom w:val="nil"/>
              <w:right w:val="nil"/>
            </w:tcBorders>
            <w:noWrap w:val="0"/>
            <w:tcMar>
              <w:top w:w="-1" w:type="dxa"/>
              <w:left w:w="-1" w:type="dxa"/>
              <w:bottom w:w="-1" w:type="dxa"/>
              <w:right w:w="-1" w:type="dxa"/>
            </w:tcMar>
            <w:vAlign w:val="top"/>
          </w:tcPr>
          <w:p w14:paraId="129D735C">
            <w:pPr>
              <w:rPr>
                <w:rFonts w:hint="default" w:ascii="Times New Roman" w:hAnsi="Times New Roman" w:cs="Times New Roman"/>
              </w:rPr>
            </w:pPr>
            <w:r>
              <w:rPr>
                <w:rFonts w:hint="default" w:ascii="Times New Roman" w:hAnsi="Times New Roman" w:cs="Times New Roman"/>
              </w:rPr>
              <w:t>Creatinine (μmol/L)</w:t>
            </w:r>
          </w:p>
        </w:tc>
        <w:tc>
          <w:tcPr>
            <w:tcW w:w="2160" w:type="dxa"/>
            <w:tcBorders>
              <w:top w:val="nil"/>
              <w:left w:val="nil"/>
              <w:bottom w:val="nil"/>
              <w:right w:val="nil"/>
            </w:tcBorders>
            <w:noWrap w:val="0"/>
            <w:tcMar>
              <w:top w:w="-1" w:type="dxa"/>
              <w:left w:w="-1" w:type="dxa"/>
              <w:bottom w:w="-1" w:type="dxa"/>
              <w:right w:w="-1" w:type="dxa"/>
            </w:tcMar>
            <w:vAlign w:val="top"/>
          </w:tcPr>
          <w:p w14:paraId="54BB3392">
            <w:pPr>
              <w:rPr>
                <w:rFonts w:hint="default" w:ascii="Times New Roman" w:hAnsi="Times New Roman" w:cs="Times New Roman"/>
              </w:rPr>
            </w:pPr>
            <w:r>
              <w:rPr>
                <w:rFonts w:hint="default" w:ascii="Times New Roman" w:hAnsi="Times New Roman" w:cs="Times New Roman"/>
              </w:rPr>
              <w:t>797.10 (617.50–962.25) (n=74)</w:t>
            </w:r>
          </w:p>
        </w:tc>
        <w:tc>
          <w:tcPr>
            <w:tcW w:w="2160" w:type="dxa"/>
            <w:tcBorders>
              <w:top w:val="nil"/>
              <w:left w:val="nil"/>
              <w:bottom w:val="nil"/>
              <w:right w:val="nil"/>
            </w:tcBorders>
            <w:noWrap w:val="0"/>
            <w:tcMar>
              <w:top w:w="-1" w:type="dxa"/>
              <w:left w:w="-1" w:type="dxa"/>
              <w:bottom w:w="-1" w:type="dxa"/>
              <w:right w:w="-1" w:type="dxa"/>
            </w:tcMar>
            <w:vAlign w:val="top"/>
          </w:tcPr>
          <w:p w14:paraId="3DF6264B">
            <w:pPr>
              <w:rPr>
                <w:rFonts w:hint="default" w:ascii="Times New Roman" w:hAnsi="Times New Roman" w:cs="Times New Roman"/>
              </w:rPr>
            </w:pPr>
            <w:r>
              <w:rPr>
                <w:rFonts w:hint="default" w:ascii="Times New Roman" w:hAnsi="Times New Roman" w:cs="Times New Roman"/>
              </w:rPr>
              <w:t>916.32 ± 304.33 (n=15)</w:t>
            </w:r>
          </w:p>
        </w:tc>
        <w:tc>
          <w:tcPr>
            <w:tcW w:w="2160" w:type="dxa"/>
            <w:tcBorders>
              <w:top w:val="nil"/>
              <w:left w:val="nil"/>
              <w:bottom w:val="nil"/>
              <w:right w:val="nil"/>
            </w:tcBorders>
            <w:noWrap w:val="0"/>
            <w:tcMar>
              <w:top w:w="-1" w:type="dxa"/>
              <w:left w:w="-1" w:type="dxa"/>
              <w:bottom w:w="-1" w:type="dxa"/>
              <w:right w:w="-1" w:type="dxa"/>
            </w:tcMar>
            <w:vAlign w:val="top"/>
          </w:tcPr>
          <w:p w14:paraId="65CBE954">
            <w:pPr>
              <w:rPr>
                <w:rFonts w:hint="default" w:ascii="Times New Roman" w:hAnsi="Times New Roman" w:cs="Times New Roman"/>
              </w:rPr>
            </w:pPr>
            <w:r>
              <w:rPr>
                <w:rFonts w:hint="default" w:ascii="Times New Roman" w:hAnsi="Times New Roman" w:cs="Times New Roman"/>
              </w:rPr>
              <w:t>0.266</w:t>
            </w:r>
          </w:p>
        </w:tc>
      </w:tr>
      <w:tr w14:paraId="271FB6B7">
        <w:tblPrEx>
          <w:tblCellMar>
            <w:top w:w="0" w:type="dxa"/>
            <w:left w:w="108" w:type="dxa"/>
            <w:bottom w:w="0" w:type="dxa"/>
            <w:right w:w="108" w:type="dxa"/>
          </w:tblCellMar>
        </w:tblPrEx>
        <w:tc>
          <w:tcPr>
            <w:tcW w:w="2160" w:type="dxa"/>
            <w:tcBorders>
              <w:top w:val="nil"/>
              <w:left w:val="nil"/>
              <w:bottom w:val="single" w:color="auto" w:sz="12" w:space="0"/>
              <w:right w:val="nil"/>
            </w:tcBorders>
            <w:noWrap w:val="0"/>
            <w:tcMar>
              <w:top w:w="-1" w:type="dxa"/>
              <w:left w:w="-1" w:type="dxa"/>
              <w:bottom w:w="-1" w:type="dxa"/>
              <w:right w:w="-1" w:type="dxa"/>
            </w:tcMar>
            <w:vAlign w:val="top"/>
          </w:tcPr>
          <w:p w14:paraId="38C057AF">
            <w:pPr>
              <w:rPr>
                <w:rFonts w:hint="default" w:ascii="Times New Roman" w:hAnsi="Times New Roman" w:cs="Times New Roman"/>
              </w:rPr>
            </w:pPr>
            <w:r>
              <w:rPr>
                <w:rFonts w:hint="default" w:ascii="Times New Roman" w:hAnsi="Times New Roman" w:cs="Times New Roman"/>
              </w:rPr>
              <w:t>Pro-BNP</w:t>
            </w:r>
          </w:p>
        </w:tc>
        <w:tc>
          <w:tcPr>
            <w:tcW w:w="2160" w:type="dxa"/>
            <w:tcBorders>
              <w:top w:val="nil"/>
              <w:left w:val="nil"/>
              <w:bottom w:val="single" w:color="auto" w:sz="12" w:space="0"/>
              <w:right w:val="nil"/>
            </w:tcBorders>
            <w:noWrap w:val="0"/>
            <w:tcMar>
              <w:top w:w="-1" w:type="dxa"/>
              <w:left w:w="-1" w:type="dxa"/>
              <w:bottom w:w="-1" w:type="dxa"/>
              <w:right w:w="-1" w:type="dxa"/>
            </w:tcMar>
            <w:vAlign w:val="top"/>
          </w:tcPr>
          <w:p w14:paraId="64D5E8D1">
            <w:pPr>
              <w:rPr>
                <w:rFonts w:hint="default" w:ascii="Times New Roman" w:hAnsi="Times New Roman" w:cs="Times New Roman"/>
              </w:rPr>
            </w:pPr>
            <w:r>
              <w:rPr>
                <w:rFonts w:hint="default" w:ascii="Times New Roman" w:hAnsi="Times New Roman" w:cs="Times New Roman"/>
              </w:rPr>
              <w:t>5035.00 (2480.00–19099.00) (n=73)</w:t>
            </w:r>
          </w:p>
        </w:tc>
        <w:tc>
          <w:tcPr>
            <w:tcW w:w="2160" w:type="dxa"/>
            <w:tcBorders>
              <w:top w:val="nil"/>
              <w:left w:val="nil"/>
              <w:bottom w:val="single" w:color="auto" w:sz="12" w:space="0"/>
              <w:right w:val="nil"/>
            </w:tcBorders>
            <w:noWrap w:val="0"/>
            <w:tcMar>
              <w:top w:w="-1" w:type="dxa"/>
              <w:left w:w="-1" w:type="dxa"/>
              <w:bottom w:w="-1" w:type="dxa"/>
              <w:right w:w="-1" w:type="dxa"/>
            </w:tcMar>
            <w:vAlign w:val="top"/>
          </w:tcPr>
          <w:p w14:paraId="731A1F2C">
            <w:pPr>
              <w:rPr>
                <w:rFonts w:hint="default" w:ascii="Times New Roman" w:hAnsi="Times New Roman" w:cs="Times New Roman"/>
              </w:rPr>
            </w:pPr>
            <w:r>
              <w:rPr>
                <w:rFonts w:hint="default" w:ascii="Times New Roman" w:hAnsi="Times New Roman" w:cs="Times New Roman"/>
              </w:rPr>
              <w:t>9821.00 (2100.75–29682.75) (n=14)</w:t>
            </w:r>
          </w:p>
        </w:tc>
        <w:tc>
          <w:tcPr>
            <w:tcW w:w="2160" w:type="dxa"/>
            <w:tcBorders>
              <w:top w:val="nil"/>
              <w:left w:val="nil"/>
              <w:bottom w:val="single" w:color="auto" w:sz="12" w:space="0"/>
              <w:right w:val="nil"/>
            </w:tcBorders>
            <w:noWrap w:val="0"/>
            <w:tcMar>
              <w:top w:w="-1" w:type="dxa"/>
              <w:left w:w="-1" w:type="dxa"/>
              <w:bottom w:w="-1" w:type="dxa"/>
              <w:right w:w="-1" w:type="dxa"/>
            </w:tcMar>
            <w:vAlign w:val="top"/>
          </w:tcPr>
          <w:p w14:paraId="219CE280">
            <w:pPr>
              <w:rPr>
                <w:rFonts w:hint="default" w:ascii="Times New Roman" w:hAnsi="Times New Roman" w:cs="Times New Roman"/>
              </w:rPr>
            </w:pPr>
            <w:r>
              <w:rPr>
                <w:rFonts w:hint="default" w:ascii="Times New Roman" w:hAnsi="Times New Roman" w:cs="Times New Roman"/>
              </w:rPr>
              <w:t>0.536</w:t>
            </w:r>
          </w:p>
        </w:tc>
      </w:tr>
    </w:tbl>
    <w:p w14:paraId="568815BD">
      <w:pPr>
        <w:spacing w:after="240"/>
        <w:rPr>
          <w:rFonts w:hint="default" w:ascii="Times New Roman" w:hAnsi="Times New Roman" w:cs="Times New Roman"/>
          <w:sz w:val="24"/>
          <w:szCs w:val="24"/>
        </w:rPr>
      </w:pPr>
      <w:r>
        <w:rPr>
          <w:rFonts w:hint="default" w:ascii="Times New Roman" w:hAnsi="Times New Roman" w:cs="Times New Roman"/>
          <w:sz w:val="24"/>
          <w:szCs w:val="24"/>
        </w:rPr>
        <w:t>P values: Mann–Whitney U for continuous variables, Fisher’s exact test for categorical variables. Residual renal indices (residual Kt/V, residual Ccr, urine volume) were unavailable by construction for most cases without a recent Kt/V measurement (residual Ccr available for 74/74 vs. 2/16) and are not compared. The lower haemoglobin and TIBC among cases without a recent Kt/V measurement, with numerically higher IL-6, are compatible with more acute or advanced presentations, although the small subgroup size (n = 16) limits precision. IL-6 = interleukin-6; TIBC = total iron-binding capacity; TSAT = transferrin saturation. Recurrent-episode proportions in this table are episode-level proportions (patient-level recurrence is summarised in Supplementary Table S4). Subgroup comparisons involving the n = 16 subgroup are reported as exploratory indicators of missingness informativeness.</w:t>
      </w:r>
    </w:p>
    <w:p w14:paraId="294756BE">
      <w:pPr>
        <w:spacing w:after="120"/>
        <w:rPr>
          <w:rFonts w:hint="default" w:ascii="Times New Roman" w:hAnsi="Times New Roman" w:cs="Times New Roman"/>
          <w:sz w:val="24"/>
          <w:szCs w:val="24"/>
        </w:rPr>
      </w:pPr>
      <w:r>
        <w:rPr>
          <w:rFonts w:hint="default" w:ascii="Times New Roman" w:hAnsi="Times New Roman" w:eastAsia="宋体" w:cs="Times New Roman"/>
          <w:b/>
          <w:sz w:val="24"/>
          <w:szCs w:val="24"/>
        </w:rPr>
        <w:t>Supplementary Table S4. Patient episode distribution</w:t>
      </w:r>
    </w:p>
    <w:tbl>
      <w:tblPr>
        <w:tblStyle w:val="32"/>
        <w:tblW w:w="0" w:type="auto"/>
        <w:tblInd w:w="-109" w:type="dxa"/>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Layout w:type="autofit"/>
        <w:tblCellMar>
          <w:top w:w="0" w:type="dxa"/>
          <w:left w:w="108" w:type="dxa"/>
          <w:bottom w:w="0" w:type="dxa"/>
          <w:right w:w="108" w:type="dxa"/>
        </w:tblCellMar>
      </w:tblPr>
      <w:tblGrid>
        <w:gridCol w:w="2880"/>
        <w:gridCol w:w="2880"/>
        <w:gridCol w:w="2880"/>
      </w:tblGrid>
      <w:tr w14:paraId="16859D3A">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PrEx>
        <w:tc>
          <w:tcPr>
            <w:tcW w:w="2880" w:type="dxa"/>
            <w:tcBorders>
              <w:top w:val="single" w:color="auto" w:sz="12" w:space="0"/>
              <w:left w:val="nil"/>
              <w:bottom w:val="nil"/>
              <w:right w:val="nil"/>
            </w:tcBorders>
            <w:noWrap w:val="0"/>
            <w:tcMar>
              <w:top w:w="-1" w:type="dxa"/>
              <w:left w:w="-1" w:type="dxa"/>
              <w:bottom w:w="-1" w:type="dxa"/>
              <w:right w:w="-1" w:type="dxa"/>
            </w:tcMar>
            <w:vAlign w:val="top"/>
          </w:tcPr>
          <w:p w14:paraId="3F9BB059">
            <w:pPr>
              <w:rPr>
                <w:rFonts w:hint="default" w:ascii="Times New Roman" w:hAnsi="Times New Roman" w:cs="Times New Roman"/>
              </w:rPr>
            </w:pPr>
            <w:r>
              <w:rPr>
                <w:rFonts w:hint="default" w:ascii="Times New Roman" w:hAnsi="Times New Roman" w:cs="Times New Roman"/>
                <w:b/>
              </w:rPr>
              <w:t>Episodes per patient</w:t>
            </w:r>
          </w:p>
        </w:tc>
        <w:tc>
          <w:tcPr>
            <w:tcW w:w="2880" w:type="dxa"/>
            <w:tcBorders>
              <w:top w:val="single" w:color="auto" w:sz="12" w:space="0"/>
              <w:left w:val="nil"/>
              <w:bottom w:val="nil"/>
              <w:right w:val="nil"/>
            </w:tcBorders>
            <w:noWrap w:val="0"/>
            <w:tcMar>
              <w:top w:w="-1" w:type="dxa"/>
              <w:left w:w="-1" w:type="dxa"/>
              <w:bottom w:w="-1" w:type="dxa"/>
              <w:right w:w="-1" w:type="dxa"/>
            </w:tcMar>
            <w:vAlign w:val="top"/>
          </w:tcPr>
          <w:p w14:paraId="118DCA67">
            <w:pPr>
              <w:rPr>
                <w:rFonts w:hint="default" w:ascii="Times New Roman" w:hAnsi="Times New Roman" w:cs="Times New Roman"/>
              </w:rPr>
            </w:pPr>
            <w:r>
              <w:rPr>
                <w:rFonts w:hint="default" w:ascii="Times New Roman" w:hAnsi="Times New Roman" w:cs="Times New Roman"/>
                <w:b/>
              </w:rPr>
              <w:t>Patients</w:t>
            </w:r>
          </w:p>
        </w:tc>
        <w:tc>
          <w:tcPr>
            <w:tcW w:w="2880" w:type="dxa"/>
            <w:tcBorders>
              <w:top w:val="single" w:color="auto" w:sz="12" w:space="0"/>
              <w:left w:val="nil"/>
              <w:bottom w:val="nil"/>
              <w:right w:val="nil"/>
            </w:tcBorders>
            <w:noWrap w:val="0"/>
            <w:tcMar>
              <w:top w:w="-1" w:type="dxa"/>
              <w:left w:w="-1" w:type="dxa"/>
              <w:bottom w:w="-1" w:type="dxa"/>
              <w:right w:w="-1" w:type="dxa"/>
            </w:tcMar>
            <w:vAlign w:val="top"/>
          </w:tcPr>
          <w:p w14:paraId="4197FF09">
            <w:pPr>
              <w:rPr>
                <w:rFonts w:hint="default" w:ascii="Times New Roman" w:hAnsi="Times New Roman" w:cs="Times New Roman"/>
              </w:rPr>
            </w:pPr>
            <w:r>
              <w:rPr>
                <w:rFonts w:hint="default" w:ascii="Times New Roman" w:hAnsi="Times New Roman" w:cs="Times New Roman"/>
                <w:b/>
              </w:rPr>
              <w:t>Episodes</w:t>
            </w:r>
          </w:p>
        </w:tc>
      </w:tr>
      <w:tr w14:paraId="28FEAA5E">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c>
          <w:tcPr>
            <w:tcW w:w="2880" w:type="dxa"/>
            <w:tcBorders>
              <w:top w:val="single" w:color="auto" w:sz="4" w:space="0"/>
              <w:left w:val="nil"/>
              <w:bottom w:val="nil"/>
              <w:right w:val="nil"/>
            </w:tcBorders>
            <w:noWrap w:val="0"/>
            <w:tcMar>
              <w:top w:w="-1" w:type="dxa"/>
              <w:left w:w="-1" w:type="dxa"/>
              <w:bottom w:w="-1" w:type="dxa"/>
              <w:right w:w="-1" w:type="dxa"/>
            </w:tcMar>
            <w:vAlign w:val="top"/>
          </w:tcPr>
          <w:p w14:paraId="71200A3E">
            <w:pPr>
              <w:rPr>
                <w:rFonts w:hint="default" w:ascii="Times New Roman" w:hAnsi="Times New Roman" w:cs="Times New Roman"/>
              </w:rPr>
            </w:pPr>
            <w:r>
              <w:rPr>
                <w:rFonts w:hint="default" w:ascii="Times New Roman" w:hAnsi="Times New Roman" w:cs="Times New Roman"/>
                <w:b w:val="0"/>
              </w:rPr>
              <w:t>1</w:t>
            </w:r>
          </w:p>
        </w:tc>
        <w:tc>
          <w:tcPr>
            <w:tcW w:w="2880" w:type="dxa"/>
            <w:tcBorders>
              <w:top w:val="single" w:color="auto" w:sz="4" w:space="0"/>
              <w:left w:val="nil"/>
              <w:bottom w:val="nil"/>
              <w:right w:val="nil"/>
            </w:tcBorders>
            <w:noWrap w:val="0"/>
            <w:tcMar>
              <w:top w:w="-1" w:type="dxa"/>
              <w:left w:w="-1" w:type="dxa"/>
              <w:bottom w:w="-1" w:type="dxa"/>
              <w:right w:w="-1" w:type="dxa"/>
            </w:tcMar>
            <w:vAlign w:val="top"/>
          </w:tcPr>
          <w:p w14:paraId="422765FD">
            <w:pPr>
              <w:rPr>
                <w:rFonts w:hint="default" w:ascii="Times New Roman" w:hAnsi="Times New Roman" w:cs="Times New Roman"/>
              </w:rPr>
            </w:pPr>
            <w:r>
              <w:rPr>
                <w:rFonts w:hint="default" w:ascii="Times New Roman" w:hAnsi="Times New Roman" w:cs="Times New Roman"/>
                <w:b w:val="0"/>
              </w:rPr>
              <w:t>42</w:t>
            </w:r>
          </w:p>
        </w:tc>
        <w:tc>
          <w:tcPr>
            <w:tcW w:w="2880" w:type="dxa"/>
            <w:tcBorders>
              <w:top w:val="single" w:color="auto" w:sz="4" w:space="0"/>
              <w:left w:val="nil"/>
              <w:bottom w:val="nil"/>
              <w:right w:val="nil"/>
            </w:tcBorders>
            <w:noWrap w:val="0"/>
            <w:tcMar>
              <w:top w:w="-1" w:type="dxa"/>
              <w:left w:w="-1" w:type="dxa"/>
              <w:bottom w:w="-1" w:type="dxa"/>
              <w:right w:w="-1" w:type="dxa"/>
            </w:tcMar>
            <w:vAlign w:val="top"/>
          </w:tcPr>
          <w:p w14:paraId="00DA46D2">
            <w:pPr>
              <w:rPr>
                <w:rFonts w:hint="default" w:ascii="Times New Roman" w:hAnsi="Times New Roman" w:cs="Times New Roman"/>
              </w:rPr>
            </w:pPr>
            <w:r>
              <w:rPr>
                <w:rFonts w:hint="default" w:ascii="Times New Roman" w:hAnsi="Times New Roman" w:cs="Times New Roman"/>
                <w:b w:val="0"/>
              </w:rPr>
              <w:t>42</w:t>
            </w:r>
          </w:p>
        </w:tc>
      </w:tr>
      <w:tr w14:paraId="06D94038">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c>
          <w:tcPr>
            <w:tcW w:w="2880" w:type="dxa"/>
            <w:tcBorders>
              <w:top w:val="nil"/>
              <w:left w:val="nil"/>
              <w:bottom w:val="nil"/>
              <w:right w:val="nil"/>
            </w:tcBorders>
            <w:noWrap w:val="0"/>
            <w:tcMar>
              <w:top w:w="-1" w:type="dxa"/>
              <w:left w:w="-1" w:type="dxa"/>
              <w:bottom w:w="-1" w:type="dxa"/>
              <w:right w:w="-1" w:type="dxa"/>
            </w:tcMar>
            <w:vAlign w:val="top"/>
          </w:tcPr>
          <w:p w14:paraId="261C1257">
            <w:pPr>
              <w:rPr>
                <w:rFonts w:hint="default" w:ascii="Times New Roman" w:hAnsi="Times New Roman" w:cs="Times New Roman"/>
              </w:rPr>
            </w:pPr>
            <w:r>
              <w:rPr>
                <w:rFonts w:hint="default" w:ascii="Times New Roman" w:hAnsi="Times New Roman" w:cs="Times New Roman"/>
                <w:b w:val="0"/>
              </w:rPr>
              <w:t>2</w:t>
            </w:r>
          </w:p>
        </w:tc>
        <w:tc>
          <w:tcPr>
            <w:tcW w:w="2880" w:type="dxa"/>
            <w:tcBorders>
              <w:top w:val="nil"/>
              <w:left w:val="nil"/>
              <w:bottom w:val="nil"/>
              <w:right w:val="nil"/>
            </w:tcBorders>
            <w:noWrap w:val="0"/>
            <w:tcMar>
              <w:top w:w="-1" w:type="dxa"/>
              <w:left w:w="-1" w:type="dxa"/>
              <w:bottom w:w="-1" w:type="dxa"/>
              <w:right w:w="-1" w:type="dxa"/>
            </w:tcMar>
            <w:vAlign w:val="top"/>
          </w:tcPr>
          <w:p w14:paraId="5D6FBEB5">
            <w:pPr>
              <w:rPr>
                <w:rFonts w:hint="default" w:ascii="Times New Roman" w:hAnsi="Times New Roman" w:cs="Times New Roman"/>
              </w:rPr>
            </w:pPr>
            <w:r>
              <w:rPr>
                <w:rFonts w:hint="default" w:ascii="Times New Roman" w:hAnsi="Times New Roman" w:cs="Times New Roman"/>
                <w:b w:val="0"/>
              </w:rPr>
              <w:t>9</w:t>
            </w:r>
          </w:p>
        </w:tc>
        <w:tc>
          <w:tcPr>
            <w:tcW w:w="2880" w:type="dxa"/>
            <w:tcBorders>
              <w:top w:val="nil"/>
              <w:left w:val="nil"/>
              <w:bottom w:val="nil"/>
              <w:right w:val="nil"/>
            </w:tcBorders>
            <w:noWrap w:val="0"/>
            <w:tcMar>
              <w:top w:w="-1" w:type="dxa"/>
              <w:left w:w="-1" w:type="dxa"/>
              <w:bottom w:w="-1" w:type="dxa"/>
              <w:right w:w="-1" w:type="dxa"/>
            </w:tcMar>
            <w:vAlign w:val="top"/>
          </w:tcPr>
          <w:p w14:paraId="4E8E3AC5">
            <w:pPr>
              <w:rPr>
                <w:rFonts w:hint="default" w:ascii="Times New Roman" w:hAnsi="Times New Roman" w:cs="Times New Roman"/>
              </w:rPr>
            </w:pPr>
            <w:r>
              <w:rPr>
                <w:rFonts w:hint="default" w:ascii="Times New Roman" w:hAnsi="Times New Roman" w:cs="Times New Roman"/>
                <w:b w:val="0"/>
              </w:rPr>
              <w:t>18</w:t>
            </w:r>
          </w:p>
        </w:tc>
      </w:tr>
      <w:tr w14:paraId="67037104">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c>
          <w:tcPr>
            <w:tcW w:w="2880" w:type="dxa"/>
            <w:tcBorders>
              <w:top w:val="nil"/>
              <w:left w:val="nil"/>
              <w:bottom w:val="nil"/>
              <w:right w:val="nil"/>
            </w:tcBorders>
            <w:noWrap w:val="0"/>
            <w:tcMar>
              <w:top w:w="-1" w:type="dxa"/>
              <w:left w:w="-1" w:type="dxa"/>
              <w:bottom w:w="-1" w:type="dxa"/>
              <w:right w:w="-1" w:type="dxa"/>
            </w:tcMar>
            <w:vAlign w:val="top"/>
          </w:tcPr>
          <w:p w14:paraId="47026E82">
            <w:pPr>
              <w:rPr>
                <w:rFonts w:hint="default" w:ascii="Times New Roman" w:hAnsi="Times New Roman" w:cs="Times New Roman"/>
              </w:rPr>
            </w:pPr>
            <w:r>
              <w:rPr>
                <w:rFonts w:hint="default" w:ascii="Times New Roman" w:hAnsi="Times New Roman" w:cs="Times New Roman"/>
                <w:b w:val="0"/>
              </w:rPr>
              <w:t>3</w:t>
            </w:r>
          </w:p>
        </w:tc>
        <w:tc>
          <w:tcPr>
            <w:tcW w:w="2880" w:type="dxa"/>
            <w:tcBorders>
              <w:top w:val="nil"/>
              <w:left w:val="nil"/>
              <w:bottom w:val="nil"/>
              <w:right w:val="nil"/>
            </w:tcBorders>
            <w:noWrap w:val="0"/>
            <w:tcMar>
              <w:top w:w="-1" w:type="dxa"/>
              <w:left w:w="-1" w:type="dxa"/>
              <w:bottom w:w="-1" w:type="dxa"/>
              <w:right w:w="-1" w:type="dxa"/>
            </w:tcMar>
            <w:vAlign w:val="top"/>
          </w:tcPr>
          <w:p w14:paraId="047F81E7">
            <w:pPr>
              <w:rPr>
                <w:rFonts w:hint="default" w:ascii="Times New Roman" w:hAnsi="Times New Roman" w:cs="Times New Roman"/>
              </w:rPr>
            </w:pPr>
            <w:r>
              <w:rPr>
                <w:rFonts w:hint="default" w:ascii="Times New Roman" w:hAnsi="Times New Roman" w:cs="Times New Roman"/>
                <w:b w:val="0"/>
              </w:rPr>
              <w:t>3</w:t>
            </w:r>
          </w:p>
        </w:tc>
        <w:tc>
          <w:tcPr>
            <w:tcW w:w="2880" w:type="dxa"/>
            <w:tcBorders>
              <w:top w:val="nil"/>
              <w:left w:val="nil"/>
              <w:bottom w:val="nil"/>
              <w:right w:val="nil"/>
            </w:tcBorders>
            <w:noWrap w:val="0"/>
            <w:tcMar>
              <w:top w:w="-1" w:type="dxa"/>
              <w:left w:w="-1" w:type="dxa"/>
              <w:bottom w:w="-1" w:type="dxa"/>
              <w:right w:w="-1" w:type="dxa"/>
            </w:tcMar>
            <w:vAlign w:val="top"/>
          </w:tcPr>
          <w:p w14:paraId="7604D616">
            <w:pPr>
              <w:rPr>
                <w:rFonts w:hint="default" w:ascii="Times New Roman" w:hAnsi="Times New Roman" w:cs="Times New Roman"/>
              </w:rPr>
            </w:pPr>
            <w:r>
              <w:rPr>
                <w:rFonts w:hint="default" w:ascii="Times New Roman" w:hAnsi="Times New Roman" w:cs="Times New Roman"/>
                <w:b w:val="0"/>
              </w:rPr>
              <w:t>9</w:t>
            </w:r>
          </w:p>
        </w:tc>
      </w:tr>
      <w:tr w14:paraId="3D3E5CB0">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c>
          <w:tcPr>
            <w:tcW w:w="2880" w:type="dxa"/>
            <w:tcBorders>
              <w:top w:val="nil"/>
              <w:left w:val="nil"/>
              <w:bottom w:val="nil"/>
              <w:right w:val="nil"/>
            </w:tcBorders>
            <w:noWrap w:val="0"/>
            <w:tcMar>
              <w:top w:w="-1" w:type="dxa"/>
              <w:left w:w="-1" w:type="dxa"/>
              <w:bottom w:w="-1" w:type="dxa"/>
              <w:right w:w="-1" w:type="dxa"/>
            </w:tcMar>
            <w:vAlign w:val="top"/>
          </w:tcPr>
          <w:p w14:paraId="54E73A61">
            <w:pPr>
              <w:rPr>
                <w:rFonts w:hint="default" w:ascii="Times New Roman" w:hAnsi="Times New Roman" w:cs="Times New Roman"/>
              </w:rPr>
            </w:pPr>
            <w:r>
              <w:rPr>
                <w:rFonts w:hint="default" w:ascii="Times New Roman" w:hAnsi="Times New Roman" w:cs="Times New Roman"/>
                <w:b w:val="0"/>
              </w:rPr>
              <w:t>4</w:t>
            </w:r>
          </w:p>
        </w:tc>
        <w:tc>
          <w:tcPr>
            <w:tcW w:w="2880" w:type="dxa"/>
            <w:tcBorders>
              <w:top w:val="nil"/>
              <w:left w:val="nil"/>
              <w:bottom w:val="nil"/>
              <w:right w:val="nil"/>
            </w:tcBorders>
            <w:noWrap w:val="0"/>
            <w:tcMar>
              <w:top w:w="-1" w:type="dxa"/>
              <w:left w:w="-1" w:type="dxa"/>
              <w:bottom w:w="-1" w:type="dxa"/>
              <w:right w:w="-1" w:type="dxa"/>
            </w:tcMar>
            <w:vAlign w:val="top"/>
          </w:tcPr>
          <w:p w14:paraId="1A8C6A06">
            <w:pPr>
              <w:rPr>
                <w:rFonts w:hint="default" w:ascii="Times New Roman" w:hAnsi="Times New Roman" w:cs="Times New Roman"/>
              </w:rPr>
            </w:pPr>
            <w:r>
              <w:rPr>
                <w:rFonts w:hint="default" w:ascii="Times New Roman" w:hAnsi="Times New Roman" w:cs="Times New Roman"/>
                <w:b w:val="0"/>
              </w:rPr>
              <w:t>4</w:t>
            </w:r>
          </w:p>
        </w:tc>
        <w:tc>
          <w:tcPr>
            <w:tcW w:w="2880" w:type="dxa"/>
            <w:tcBorders>
              <w:top w:val="nil"/>
              <w:left w:val="nil"/>
              <w:bottom w:val="nil"/>
              <w:right w:val="nil"/>
            </w:tcBorders>
            <w:noWrap w:val="0"/>
            <w:tcMar>
              <w:top w:w="-1" w:type="dxa"/>
              <w:left w:w="-1" w:type="dxa"/>
              <w:bottom w:w="-1" w:type="dxa"/>
              <w:right w:w="-1" w:type="dxa"/>
            </w:tcMar>
            <w:vAlign w:val="top"/>
          </w:tcPr>
          <w:p w14:paraId="1B16E387">
            <w:pPr>
              <w:rPr>
                <w:rFonts w:hint="default" w:ascii="Times New Roman" w:hAnsi="Times New Roman" w:cs="Times New Roman"/>
              </w:rPr>
            </w:pPr>
            <w:r>
              <w:rPr>
                <w:rFonts w:hint="default" w:ascii="Times New Roman" w:hAnsi="Times New Roman" w:cs="Times New Roman"/>
                <w:b w:val="0"/>
              </w:rPr>
              <w:t>16</w:t>
            </w:r>
          </w:p>
        </w:tc>
      </w:tr>
      <w:tr w14:paraId="0F0FBFC2">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c>
          <w:tcPr>
            <w:tcW w:w="2880" w:type="dxa"/>
            <w:tcBorders>
              <w:top w:val="nil"/>
              <w:left w:val="nil"/>
              <w:bottom w:val="nil"/>
              <w:right w:val="nil"/>
            </w:tcBorders>
            <w:noWrap w:val="0"/>
            <w:tcMar>
              <w:top w:w="-1" w:type="dxa"/>
              <w:left w:w="-1" w:type="dxa"/>
              <w:bottom w:w="-1" w:type="dxa"/>
              <w:right w:w="-1" w:type="dxa"/>
            </w:tcMar>
            <w:vAlign w:val="top"/>
          </w:tcPr>
          <w:p w14:paraId="44BA0A35">
            <w:pPr>
              <w:rPr>
                <w:rFonts w:hint="default" w:ascii="Times New Roman" w:hAnsi="Times New Roman" w:cs="Times New Roman"/>
              </w:rPr>
            </w:pPr>
            <w:r>
              <w:rPr>
                <w:rFonts w:hint="default" w:ascii="Times New Roman" w:hAnsi="Times New Roman" w:cs="Times New Roman"/>
                <w:b w:val="0"/>
              </w:rPr>
              <w:t>5</w:t>
            </w:r>
          </w:p>
        </w:tc>
        <w:tc>
          <w:tcPr>
            <w:tcW w:w="2880" w:type="dxa"/>
            <w:tcBorders>
              <w:top w:val="nil"/>
              <w:left w:val="nil"/>
              <w:bottom w:val="nil"/>
              <w:right w:val="nil"/>
            </w:tcBorders>
            <w:noWrap w:val="0"/>
            <w:tcMar>
              <w:top w:w="-1" w:type="dxa"/>
              <w:left w:w="-1" w:type="dxa"/>
              <w:bottom w:w="-1" w:type="dxa"/>
              <w:right w:w="-1" w:type="dxa"/>
            </w:tcMar>
            <w:vAlign w:val="top"/>
          </w:tcPr>
          <w:p w14:paraId="343E269E">
            <w:pPr>
              <w:rPr>
                <w:rFonts w:hint="default" w:ascii="Times New Roman" w:hAnsi="Times New Roman" w:cs="Times New Roman"/>
              </w:rPr>
            </w:pPr>
            <w:r>
              <w:rPr>
                <w:rFonts w:hint="default" w:ascii="Times New Roman" w:hAnsi="Times New Roman" w:cs="Times New Roman"/>
                <w:b w:val="0"/>
              </w:rPr>
              <w:t>1</w:t>
            </w:r>
          </w:p>
        </w:tc>
        <w:tc>
          <w:tcPr>
            <w:tcW w:w="2880" w:type="dxa"/>
            <w:tcBorders>
              <w:top w:val="nil"/>
              <w:left w:val="nil"/>
              <w:bottom w:val="nil"/>
              <w:right w:val="nil"/>
            </w:tcBorders>
            <w:noWrap w:val="0"/>
            <w:tcMar>
              <w:top w:w="-1" w:type="dxa"/>
              <w:left w:w="-1" w:type="dxa"/>
              <w:bottom w:w="-1" w:type="dxa"/>
              <w:right w:w="-1" w:type="dxa"/>
            </w:tcMar>
            <w:vAlign w:val="top"/>
          </w:tcPr>
          <w:p w14:paraId="4F575625">
            <w:pPr>
              <w:rPr>
                <w:rFonts w:hint="default" w:ascii="Times New Roman" w:hAnsi="Times New Roman" w:cs="Times New Roman"/>
              </w:rPr>
            </w:pPr>
            <w:r>
              <w:rPr>
                <w:rFonts w:hint="default" w:ascii="Times New Roman" w:hAnsi="Times New Roman" w:cs="Times New Roman"/>
                <w:b w:val="0"/>
              </w:rPr>
              <w:t>5</w:t>
            </w:r>
          </w:p>
        </w:tc>
      </w:tr>
      <w:tr w14:paraId="155260FA">
        <w:tblPrEx>
          <w:tblBorders>
            <w:top w:val="none" w:color="000000" w:sz="12" w:space="0"/>
            <w:left w:val="none" w:color="000000" w:sz="0" w:space="0"/>
            <w:bottom w:val="none" w:color="000000" w:sz="12" w:space="0"/>
            <w:right w:val="none" w:color="000000" w:sz="0" w:space="0"/>
            <w:insideH w:val="none" w:color="000000" w:sz="4" w:space="0"/>
            <w:insideV w:val="none" w:color="000000" w:sz="0" w:space="0"/>
          </w:tblBorders>
          <w:tblCellMar>
            <w:top w:w="0" w:type="dxa"/>
            <w:left w:w="108" w:type="dxa"/>
            <w:bottom w:w="0" w:type="dxa"/>
            <w:right w:w="108" w:type="dxa"/>
          </w:tblCellMar>
        </w:tblPrEx>
        <w:tc>
          <w:tcPr>
            <w:tcW w:w="2880" w:type="dxa"/>
            <w:tcBorders>
              <w:top w:val="nil"/>
              <w:left w:val="nil"/>
              <w:bottom w:val="single" w:color="auto" w:sz="12" w:space="0"/>
              <w:right w:val="nil"/>
            </w:tcBorders>
            <w:noWrap w:val="0"/>
            <w:tcMar>
              <w:top w:w="-1" w:type="dxa"/>
              <w:left w:w="-1" w:type="dxa"/>
              <w:bottom w:w="-1" w:type="dxa"/>
              <w:right w:w="-1" w:type="dxa"/>
            </w:tcMar>
            <w:vAlign w:val="top"/>
          </w:tcPr>
          <w:p w14:paraId="5C889406">
            <w:pPr>
              <w:rPr>
                <w:rFonts w:hint="default" w:ascii="Times New Roman" w:hAnsi="Times New Roman" w:cs="Times New Roman"/>
              </w:rPr>
            </w:pPr>
            <w:r>
              <w:rPr>
                <w:rFonts w:hint="default" w:ascii="Times New Roman" w:hAnsi="Times New Roman" w:cs="Times New Roman"/>
                <w:b/>
              </w:rPr>
              <w:t>Total</w:t>
            </w:r>
          </w:p>
        </w:tc>
        <w:tc>
          <w:tcPr>
            <w:tcW w:w="2880" w:type="dxa"/>
            <w:tcBorders>
              <w:top w:val="nil"/>
              <w:left w:val="nil"/>
              <w:bottom w:val="single" w:color="auto" w:sz="12" w:space="0"/>
              <w:right w:val="nil"/>
            </w:tcBorders>
            <w:noWrap w:val="0"/>
            <w:tcMar>
              <w:top w:w="-1" w:type="dxa"/>
              <w:left w:w="-1" w:type="dxa"/>
              <w:bottom w:w="-1" w:type="dxa"/>
              <w:right w:w="-1" w:type="dxa"/>
            </w:tcMar>
            <w:vAlign w:val="top"/>
          </w:tcPr>
          <w:p w14:paraId="52F5ABBC">
            <w:pPr>
              <w:rPr>
                <w:rFonts w:hint="default" w:ascii="Times New Roman" w:hAnsi="Times New Roman" w:cs="Times New Roman"/>
              </w:rPr>
            </w:pPr>
            <w:r>
              <w:rPr>
                <w:rFonts w:hint="default" w:ascii="Times New Roman" w:hAnsi="Times New Roman" w:cs="Times New Roman"/>
                <w:b/>
              </w:rPr>
              <w:t>59</w:t>
            </w:r>
          </w:p>
        </w:tc>
        <w:tc>
          <w:tcPr>
            <w:tcW w:w="2880" w:type="dxa"/>
            <w:tcBorders>
              <w:top w:val="nil"/>
              <w:left w:val="nil"/>
              <w:bottom w:val="single" w:color="auto" w:sz="12" w:space="0"/>
              <w:right w:val="nil"/>
            </w:tcBorders>
            <w:noWrap w:val="0"/>
            <w:tcMar>
              <w:top w:w="-1" w:type="dxa"/>
              <w:left w:w="-1" w:type="dxa"/>
              <w:bottom w:w="-1" w:type="dxa"/>
              <w:right w:w="-1" w:type="dxa"/>
            </w:tcMar>
            <w:vAlign w:val="top"/>
          </w:tcPr>
          <w:p w14:paraId="20FED140">
            <w:pPr>
              <w:rPr>
                <w:rFonts w:hint="default" w:ascii="Times New Roman" w:hAnsi="Times New Roman" w:cs="Times New Roman"/>
              </w:rPr>
            </w:pPr>
            <w:r>
              <w:rPr>
                <w:rFonts w:hint="default" w:ascii="Times New Roman" w:hAnsi="Times New Roman" w:cs="Times New Roman"/>
                <w:b/>
              </w:rPr>
              <w:t>90</w:t>
            </w:r>
          </w:p>
        </w:tc>
      </w:tr>
    </w:tbl>
    <w:p w14:paraId="64933D4E">
      <w:pPr>
        <w:spacing w:after="240"/>
        <w:jc w:val="both"/>
        <w:rPr>
          <w:rFonts w:hint="default" w:ascii="Times New Roman" w:hAnsi="Times New Roman" w:cs="Times New Roman"/>
          <w:sz w:val="24"/>
          <w:szCs w:val="24"/>
        </w:rPr>
      </w:pPr>
      <w:r>
        <w:rPr>
          <w:rFonts w:hint="default" w:ascii="Times New Roman" w:hAnsi="Times New Roman" w:cs="Times New Roman"/>
          <w:sz w:val="24"/>
          <w:szCs w:val="24"/>
        </w:rPr>
        <w:t>In total, 17 of 59 patients (28.8%) contributed multiple episodes (two or more episodes each).</w:t>
      </w:r>
    </w:p>
    <w:p w14:paraId="062D79E6">
      <w:pPr>
        <w:rPr>
          <w:rFonts w:hint="default" w:ascii="Times New Roman" w:hAnsi="Times New Roman" w:cs="Times New Roman"/>
          <w:b/>
          <w:bCs/>
          <w:sz w:val="24"/>
          <w:szCs w:val="24"/>
        </w:rPr>
      </w:pPr>
      <w:r>
        <w:rPr>
          <w:rFonts w:hint="default" w:ascii="Times New Roman" w:hAnsi="Times New Roman" w:cs="Times New Roman"/>
          <w:b/>
          <w:bCs/>
          <w:sz w:val="24"/>
          <w:szCs w:val="24"/>
        </w:rPr>
        <w:t>Supplementary Table S5. Measurement timing of study variables</w:t>
      </w:r>
    </w:p>
    <w:tbl>
      <w:tblPr>
        <w:tblStyle w:val="32"/>
        <w:tblW w:w="0" w:type="auto"/>
        <w:tblInd w:w="-109" w:type="dxa"/>
        <w:tblLayout w:type="autofit"/>
        <w:tblCellMar>
          <w:top w:w="0" w:type="dxa"/>
          <w:left w:w="108" w:type="dxa"/>
          <w:bottom w:w="0" w:type="dxa"/>
          <w:right w:w="108" w:type="dxa"/>
        </w:tblCellMar>
      </w:tblPr>
      <w:tblGrid>
        <w:gridCol w:w="1728"/>
        <w:gridCol w:w="1728"/>
        <w:gridCol w:w="1728"/>
        <w:gridCol w:w="1728"/>
        <w:gridCol w:w="1728"/>
      </w:tblGrid>
      <w:tr w14:paraId="26EE4CA0">
        <w:tblPrEx>
          <w:tblCellMar>
            <w:top w:w="0" w:type="dxa"/>
            <w:left w:w="108" w:type="dxa"/>
            <w:bottom w:w="0" w:type="dxa"/>
            <w:right w:w="108" w:type="dxa"/>
          </w:tblCellMar>
        </w:tblPrEx>
        <w:tc>
          <w:tcPr>
            <w:tcW w:w="1728" w:type="dxa"/>
            <w:tcBorders>
              <w:top w:val="single" w:color="auto" w:sz="12" w:space="0"/>
              <w:left w:val="nil"/>
              <w:bottom w:val="nil"/>
              <w:right w:val="nil"/>
            </w:tcBorders>
            <w:noWrap w:val="0"/>
            <w:tcMar>
              <w:top w:w="-1" w:type="dxa"/>
              <w:left w:w="-1" w:type="dxa"/>
              <w:bottom w:w="-1" w:type="dxa"/>
              <w:right w:w="-1" w:type="dxa"/>
            </w:tcMar>
            <w:vAlign w:val="top"/>
          </w:tcPr>
          <w:p w14:paraId="6BD6FF94">
            <w:pPr>
              <w:rPr>
                <w:rFonts w:hint="default" w:ascii="Times New Roman" w:hAnsi="Times New Roman" w:cs="Times New Roman"/>
              </w:rPr>
            </w:pPr>
            <w:r>
              <w:rPr>
                <w:rFonts w:hint="default" w:ascii="Times New Roman" w:hAnsi="Times New Roman" w:cs="Times New Roman"/>
              </w:rPr>
              <w:t>Variable</w:t>
            </w:r>
          </w:p>
        </w:tc>
        <w:tc>
          <w:tcPr>
            <w:tcW w:w="1728" w:type="dxa"/>
            <w:tcBorders>
              <w:top w:val="single" w:color="auto" w:sz="12" w:space="0"/>
              <w:left w:val="nil"/>
              <w:bottom w:val="nil"/>
              <w:right w:val="nil"/>
            </w:tcBorders>
            <w:noWrap w:val="0"/>
            <w:tcMar>
              <w:top w:w="-1" w:type="dxa"/>
              <w:left w:w="-1" w:type="dxa"/>
              <w:bottom w:w="-1" w:type="dxa"/>
              <w:right w:w="-1" w:type="dxa"/>
            </w:tcMar>
            <w:vAlign w:val="top"/>
          </w:tcPr>
          <w:p w14:paraId="7FF082D0">
            <w:pPr>
              <w:rPr>
                <w:rFonts w:hint="default" w:ascii="Times New Roman" w:hAnsi="Times New Roman" w:cs="Times New Roman"/>
              </w:rPr>
            </w:pPr>
            <w:r>
              <w:rPr>
                <w:rFonts w:hint="default" w:ascii="Times New Roman" w:hAnsi="Times New Roman" w:cs="Times New Roman"/>
              </w:rPr>
              <w:t>Cases: timing</w:t>
            </w:r>
          </w:p>
        </w:tc>
        <w:tc>
          <w:tcPr>
            <w:tcW w:w="1728" w:type="dxa"/>
            <w:tcBorders>
              <w:top w:val="single" w:color="auto" w:sz="12" w:space="0"/>
              <w:left w:val="nil"/>
              <w:bottom w:val="nil"/>
              <w:right w:val="nil"/>
            </w:tcBorders>
            <w:noWrap w:val="0"/>
            <w:tcMar>
              <w:top w:w="-1" w:type="dxa"/>
              <w:left w:w="-1" w:type="dxa"/>
              <w:bottom w:w="-1" w:type="dxa"/>
              <w:right w:w="-1" w:type="dxa"/>
            </w:tcMar>
            <w:vAlign w:val="top"/>
          </w:tcPr>
          <w:p w14:paraId="106A8C6B">
            <w:pPr>
              <w:rPr>
                <w:rFonts w:hint="default" w:ascii="Times New Roman" w:hAnsi="Times New Roman" w:cs="Times New Roman"/>
              </w:rPr>
            </w:pPr>
            <w:r>
              <w:rPr>
                <w:rFonts w:hint="default" w:ascii="Times New Roman" w:hAnsi="Times New Roman" w:cs="Times New Roman"/>
              </w:rPr>
              <w:t>Controls: timing</w:t>
            </w:r>
          </w:p>
        </w:tc>
        <w:tc>
          <w:tcPr>
            <w:tcW w:w="1728" w:type="dxa"/>
            <w:tcBorders>
              <w:top w:val="single" w:color="auto" w:sz="12" w:space="0"/>
              <w:left w:val="nil"/>
              <w:bottom w:val="nil"/>
              <w:right w:val="nil"/>
            </w:tcBorders>
            <w:noWrap w:val="0"/>
            <w:tcMar>
              <w:top w:w="-1" w:type="dxa"/>
              <w:left w:w="-1" w:type="dxa"/>
              <w:bottom w:w="-1" w:type="dxa"/>
              <w:right w:w="-1" w:type="dxa"/>
            </w:tcMar>
            <w:vAlign w:val="top"/>
          </w:tcPr>
          <w:p w14:paraId="5A2D9CC1">
            <w:pPr>
              <w:rPr>
                <w:rFonts w:hint="default" w:ascii="Times New Roman" w:hAnsi="Times New Roman" w:cs="Times New Roman"/>
              </w:rPr>
            </w:pPr>
            <w:r>
              <w:rPr>
                <w:rFonts w:hint="default" w:ascii="Times New Roman" w:hAnsi="Times New Roman" w:cs="Times New Roman"/>
              </w:rPr>
              <w:t>Documented timing summary</w:t>
            </w:r>
          </w:p>
        </w:tc>
        <w:tc>
          <w:tcPr>
            <w:tcW w:w="1728" w:type="dxa"/>
            <w:tcBorders>
              <w:top w:val="single" w:color="auto" w:sz="12" w:space="0"/>
              <w:left w:val="nil"/>
              <w:bottom w:val="nil"/>
              <w:right w:val="nil"/>
            </w:tcBorders>
            <w:noWrap w:val="0"/>
            <w:tcMar>
              <w:top w:w="-1" w:type="dxa"/>
              <w:left w:w="-1" w:type="dxa"/>
              <w:bottom w:w="-1" w:type="dxa"/>
              <w:right w:w="-1" w:type="dxa"/>
            </w:tcMar>
            <w:vAlign w:val="top"/>
          </w:tcPr>
          <w:p w14:paraId="414D43D7">
            <w:pPr>
              <w:rPr>
                <w:rFonts w:hint="default" w:ascii="Times New Roman" w:hAnsi="Times New Roman" w:cs="Times New Roman"/>
              </w:rPr>
            </w:pPr>
            <w:r>
              <w:rPr>
                <w:rFonts w:hint="default" w:ascii="Times New Roman" w:hAnsi="Times New Roman" w:cs="Times New Roman"/>
              </w:rPr>
              <w:t>Basis</w:t>
            </w:r>
          </w:p>
        </w:tc>
      </w:tr>
      <w:tr w14:paraId="65C5206A">
        <w:tblPrEx>
          <w:tblCellMar>
            <w:top w:w="0" w:type="dxa"/>
            <w:left w:w="108" w:type="dxa"/>
            <w:bottom w:w="0" w:type="dxa"/>
            <w:right w:w="108" w:type="dxa"/>
          </w:tblCellMar>
        </w:tblPrEx>
        <w:tc>
          <w:tcPr>
            <w:tcW w:w="1728" w:type="dxa"/>
            <w:tcBorders>
              <w:top w:val="single" w:color="auto" w:sz="4" w:space="0"/>
              <w:left w:val="nil"/>
              <w:bottom w:val="nil"/>
              <w:right w:val="nil"/>
            </w:tcBorders>
            <w:noWrap w:val="0"/>
            <w:tcMar>
              <w:top w:w="-1" w:type="dxa"/>
              <w:left w:w="-1" w:type="dxa"/>
              <w:bottom w:w="-1" w:type="dxa"/>
              <w:right w:w="-1" w:type="dxa"/>
            </w:tcMar>
            <w:vAlign w:val="top"/>
          </w:tcPr>
          <w:p w14:paraId="69D3DA08">
            <w:pPr>
              <w:rPr>
                <w:rFonts w:hint="default" w:ascii="Times New Roman" w:hAnsi="Times New Roman" w:cs="Times New Roman"/>
              </w:rPr>
            </w:pPr>
            <w:r>
              <w:rPr>
                <w:rFonts w:hint="default" w:ascii="Times New Roman" w:hAnsi="Times New Roman" w:cs="Times New Roman"/>
              </w:rPr>
              <w:t>Serum iron, TIBC, TSAT, ferritin</w:t>
            </w:r>
          </w:p>
        </w:tc>
        <w:tc>
          <w:tcPr>
            <w:tcW w:w="1728" w:type="dxa"/>
            <w:tcBorders>
              <w:top w:val="single" w:color="auto" w:sz="4" w:space="0"/>
              <w:left w:val="nil"/>
              <w:bottom w:val="nil"/>
              <w:right w:val="nil"/>
            </w:tcBorders>
            <w:noWrap w:val="0"/>
            <w:tcMar>
              <w:top w:w="-1" w:type="dxa"/>
              <w:left w:w="-1" w:type="dxa"/>
              <w:bottom w:w="-1" w:type="dxa"/>
              <w:right w:w="-1" w:type="dxa"/>
            </w:tcMar>
            <w:vAlign w:val="top"/>
          </w:tcPr>
          <w:p w14:paraId="6C7E9459">
            <w:pPr>
              <w:rPr>
                <w:rFonts w:hint="default" w:ascii="Times New Roman" w:hAnsi="Times New Roman" w:cs="Times New Roman"/>
              </w:rPr>
            </w:pPr>
            <w:r>
              <w:rPr>
                <w:rFonts w:hint="default" w:ascii="Times New Roman" w:hAnsi="Times New Roman" w:cs="Times New Roman"/>
              </w:rPr>
              <w:t>Within 24 h of the index date (presentation-day panel, single blood draw)</w:t>
            </w:r>
          </w:p>
        </w:tc>
        <w:tc>
          <w:tcPr>
            <w:tcW w:w="1728" w:type="dxa"/>
            <w:tcBorders>
              <w:top w:val="single" w:color="auto" w:sz="4" w:space="0"/>
              <w:left w:val="nil"/>
              <w:bottom w:val="nil"/>
              <w:right w:val="nil"/>
            </w:tcBorders>
            <w:noWrap w:val="0"/>
            <w:tcMar>
              <w:top w:w="-1" w:type="dxa"/>
              <w:left w:w="-1" w:type="dxa"/>
              <w:bottom w:w="-1" w:type="dxa"/>
              <w:right w:w="-1" w:type="dxa"/>
            </w:tcMar>
            <w:vAlign w:val="top"/>
          </w:tcPr>
          <w:p w14:paraId="3E938EC3">
            <w:pPr>
              <w:rPr>
                <w:rFonts w:hint="default" w:ascii="Times New Roman" w:hAnsi="Times New Roman" w:cs="Times New Roman"/>
              </w:rPr>
            </w:pPr>
            <w:r>
              <w:rPr>
                <w:rFonts w:hint="default" w:ascii="Times New Roman" w:hAnsi="Times New Roman" w:cs="Times New Roman"/>
              </w:rPr>
              <w:t>Routine outpatient assessment (no index date)</w:t>
            </w:r>
          </w:p>
        </w:tc>
        <w:tc>
          <w:tcPr>
            <w:tcW w:w="1728" w:type="dxa"/>
            <w:tcBorders>
              <w:top w:val="single" w:color="auto" w:sz="4" w:space="0"/>
              <w:left w:val="nil"/>
              <w:bottom w:val="nil"/>
              <w:right w:val="nil"/>
            </w:tcBorders>
            <w:noWrap w:val="0"/>
            <w:tcMar>
              <w:top w:w="-1" w:type="dxa"/>
              <w:left w:w="-1" w:type="dxa"/>
              <w:bottom w:w="-1" w:type="dxa"/>
              <w:right w:w="-1" w:type="dxa"/>
            </w:tcMar>
            <w:vAlign w:val="top"/>
          </w:tcPr>
          <w:p w14:paraId="63E18909">
            <w:pPr>
              <w:rPr>
                <w:rFonts w:hint="default" w:ascii="Times New Roman" w:hAnsi="Times New Roman" w:cs="Times New Roman"/>
              </w:rPr>
            </w:pPr>
            <w:r>
              <w:rPr>
                <w:rFonts w:hint="default" w:ascii="Times New Roman" w:hAnsi="Times New Roman" w:cs="Times New Roman"/>
              </w:rPr>
              <w:t>Presentation-day by protocol for all cases</w:t>
            </w:r>
          </w:p>
        </w:tc>
        <w:tc>
          <w:tcPr>
            <w:tcW w:w="1728" w:type="dxa"/>
            <w:tcBorders>
              <w:top w:val="single" w:color="auto" w:sz="4" w:space="0"/>
              <w:left w:val="nil"/>
              <w:bottom w:val="nil"/>
              <w:right w:val="nil"/>
            </w:tcBorders>
            <w:noWrap w:val="0"/>
            <w:tcMar>
              <w:top w:w="-1" w:type="dxa"/>
              <w:left w:w="-1" w:type="dxa"/>
              <w:bottom w:w="-1" w:type="dxa"/>
              <w:right w:w="-1" w:type="dxa"/>
            </w:tcMar>
            <w:vAlign w:val="top"/>
          </w:tcPr>
          <w:p w14:paraId="6499AFAC">
            <w:pPr>
              <w:rPr>
                <w:rFonts w:hint="default" w:ascii="Times New Roman" w:hAnsi="Times New Roman" w:cs="Times New Roman"/>
              </w:rPr>
            </w:pPr>
            <w:r>
              <w:rPr>
                <w:rFonts w:hint="default" w:ascii="Times New Roman" w:hAnsi="Times New Roman" w:cs="Times New Roman"/>
              </w:rPr>
              <w:t>Methods (Index date and measurement timing)</w:t>
            </w:r>
          </w:p>
        </w:tc>
      </w:tr>
      <w:tr w14:paraId="40E543D3">
        <w:tblPrEx>
          <w:tblCellMar>
            <w:top w:w="0" w:type="dxa"/>
            <w:left w:w="108" w:type="dxa"/>
            <w:bottom w:w="0" w:type="dxa"/>
            <w:right w:w="108" w:type="dxa"/>
          </w:tblCellMar>
        </w:tblPrEx>
        <w:tc>
          <w:tcPr>
            <w:tcW w:w="1728" w:type="dxa"/>
            <w:tcBorders>
              <w:top w:val="nil"/>
              <w:left w:val="nil"/>
              <w:bottom w:val="nil"/>
              <w:right w:val="nil"/>
            </w:tcBorders>
            <w:noWrap w:val="0"/>
            <w:tcMar>
              <w:top w:w="-1" w:type="dxa"/>
              <w:left w:w="-1" w:type="dxa"/>
              <w:bottom w:w="-1" w:type="dxa"/>
              <w:right w:w="-1" w:type="dxa"/>
            </w:tcMar>
            <w:vAlign w:val="top"/>
          </w:tcPr>
          <w:p w14:paraId="4958E909">
            <w:pPr>
              <w:rPr>
                <w:rFonts w:hint="default" w:ascii="Times New Roman" w:hAnsi="Times New Roman" w:cs="Times New Roman"/>
              </w:rPr>
            </w:pPr>
            <w:r>
              <w:rPr>
                <w:rFonts w:hint="default" w:ascii="Times New Roman" w:hAnsi="Times New Roman" w:cs="Times New Roman"/>
              </w:rPr>
              <w:t>CRP (with PCT, IL-6, WBC)</w:t>
            </w:r>
          </w:p>
        </w:tc>
        <w:tc>
          <w:tcPr>
            <w:tcW w:w="1728" w:type="dxa"/>
            <w:tcBorders>
              <w:top w:val="nil"/>
              <w:left w:val="nil"/>
              <w:bottom w:val="nil"/>
              <w:right w:val="nil"/>
            </w:tcBorders>
            <w:noWrap w:val="0"/>
            <w:tcMar>
              <w:top w:w="-1" w:type="dxa"/>
              <w:left w:w="-1" w:type="dxa"/>
              <w:bottom w:w="-1" w:type="dxa"/>
              <w:right w:w="-1" w:type="dxa"/>
            </w:tcMar>
            <w:vAlign w:val="top"/>
          </w:tcPr>
          <w:p w14:paraId="1C91D603">
            <w:pPr>
              <w:rPr>
                <w:rFonts w:hint="default" w:ascii="Times New Roman" w:hAnsi="Times New Roman" w:cs="Times New Roman"/>
              </w:rPr>
            </w:pPr>
            <w:r>
              <w:rPr>
                <w:rFonts w:hint="default" w:ascii="Times New Roman" w:hAnsi="Times New Roman" w:cs="Times New Roman"/>
              </w:rPr>
              <w:t>Within 24 h of the index date</w:t>
            </w:r>
          </w:p>
        </w:tc>
        <w:tc>
          <w:tcPr>
            <w:tcW w:w="1728" w:type="dxa"/>
            <w:tcBorders>
              <w:top w:val="nil"/>
              <w:left w:val="nil"/>
              <w:bottom w:val="nil"/>
              <w:right w:val="nil"/>
            </w:tcBorders>
            <w:noWrap w:val="0"/>
            <w:tcMar>
              <w:top w:w="-1" w:type="dxa"/>
              <w:left w:w="-1" w:type="dxa"/>
              <w:bottom w:w="-1" w:type="dxa"/>
              <w:right w:w="-1" w:type="dxa"/>
            </w:tcMar>
            <w:vAlign w:val="top"/>
          </w:tcPr>
          <w:p w14:paraId="0288E18B">
            <w:pPr>
              <w:rPr>
                <w:rFonts w:hint="default" w:ascii="Times New Roman" w:hAnsi="Times New Roman" w:cs="Times New Roman"/>
              </w:rPr>
            </w:pPr>
            <w:r>
              <w:rPr>
                <w:rFonts w:hint="default" w:ascii="Times New Roman" w:hAnsi="Times New Roman" w:cs="Times New Roman"/>
              </w:rPr>
              <w:t>Routine outpatient assessment</w:t>
            </w:r>
          </w:p>
        </w:tc>
        <w:tc>
          <w:tcPr>
            <w:tcW w:w="1728" w:type="dxa"/>
            <w:tcBorders>
              <w:top w:val="nil"/>
              <w:left w:val="nil"/>
              <w:bottom w:val="nil"/>
              <w:right w:val="nil"/>
            </w:tcBorders>
            <w:noWrap w:val="0"/>
            <w:tcMar>
              <w:top w:w="-1" w:type="dxa"/>
              <w:left w:w="-1" w:type="dxa"/>
              <w:bottom w:w="-1" w:type="dxa"/>
              <w:right w:w="-1" w:type="dxa"/>
            </w:tcMar>
            <w:vAlign w:val="top"/>
          </w:tcPr>
          <w:p w14:paraId="4880F5E8">
            <w:pPr>
              <w:rPr>
                <w:rFonts w:hint="default" w:ascii="Times New Roman" w:hAnsi="Times New Roman" w:cs="Times New Roman"/>
              </w:rPr>
            </w:pPr>
            <w:r>
              <w:rPr>
                <w:rFonts w:hint="default" w:ascii="Times New Roman" w:hAnsi="Times New Roman" w:cs="Times New Roman"/>
              </w:rPr>
              <w:t>Presentation-day for cases; the median of 45.91 mg/L in cases vs. 2.56 mg/L in controls is incompatible with pre-illness routine sampling</w:t>
            </w:r>
          </w:p>
        </w:tc>
        <w:tc>
          <w:tcPr>
            <w:tcW w:w="1728" w:type="dxa"/>
            <w:tcBorders>
              <w:top w:val="nil"/>
              <w:left w:val="nil"/>
              <w:bottom w:val="nil"/>
              <w:right w:val="nil"/>
            </w:tcBorders>
            <w:noWrap w:val="0"/>
            <w:tcMar>
              <w:top w:w="-1" w:type="dxa"/>
              <w:left w:w="-1" w:type="dxa"/>
              <w:bottom w:w="-1" w:type="dxa"/>
              <w:right w:w="-1" w:type="dxa"/>
            </w:tcMar>
            <w:vAlign w:val="top"/>
          </w:tcPr>
          <w:p w14:paraId="6E29707D">
            <w:pPr>
              <w:rPr>
                <w:rFonts w:hint="default" w:ascii="Times New Roman" w:hAnsi="Times New Roman" w:cs="Times New Roman"/>
              </w:rPr>
            </w:pPr>
            <w:r>
              <w:rPr>
                <w:rFonts w:hint="default" w:ascii="Times New Roman" w:hAnsi="Times New Roman" w:cs="Times New Roman"/>
              </w:rPr>
              <w:t>Methods; magnitude of presentation values</w:t>
            </w:r>
          </w:p>
        </w:tc>
      </w:tr>
      <w:tr w14:paraId="29A07146">
        <w:tblPrEx>
          <w:tblCellMar>
            <w:top w:w="0" w:type="dxa"/>
            <w:left w:w="108" w:type="dxa"/>
            <w:bottom w:w="0" w:type="dxa"/>
            <w:right w:w="108" w:type="dxa"/>
          </w:tblCellMar>
        </w:tblPrEx>
        <w:tc>
          <w:tcPr>
            <w:tcW w:w="1728" w:type="dxa"/>
            <w:tcBorders>
              <w:top w:val="nil"/>
              <w:left w:val="nil"/>
              <w:bottom w:val="nil"/>
              <w:right w:val="nil"/>
            </w:tcBorders>
            <w:noWrap w:val="0"/>
            <w:tcMar>
              <w:top w:w="-1" w:type="dxa"/>
              <w:left w:w="-1" w:type="dxa"/>
              <w:bottom w:w="-1" w:type="dxa"/>
              <w:right w:w="-1" w:type="dxa"/>
            </w:tcMar>
            <w:vAlign w:val="top"/>
          </w:tcPr>
          <w:p w14:paraId="40813F68">
            <w:pPr>
              <w:rPr>
                <w:rFonts w:hint="default" w:ascii="Times New Roman" w:hAnsi="Times New Roman" w:cs="Times New Roman"/>
              </w:rPr>
            </w:pPr>
            <w:r>
              <w:rPr>
                <w:rFonts w:hint="default" w:ascii="Times New Roman" w:hAnsi="Times New Roman" w:cs="Times New Roman"/>
              </w:rPr>
              <w:t>Total Kt/V, peritoneal Kt/V, residual Kt/V, Ccr, 24-h urine volume</w:t>
            </w:r>
          </w:p>
        </w:tc>
        <w:tc>
          <w:tcPr>
            <w:tcW w:w="1728" w:type="dxa"/>
            <w:tcBorders>
              <w:top w:val="nil"/>
              <w:left w:val="nil"/>
              <w:bottom w:val="nil"/>
              <w:right w:val="nil"/>
            </w:tcBorders>
            <w:noWrap w:val="0"/>
            <w:tcMar>
              <w:top w:w="-1" w:type="dxa"/>
              <w:left w:w="-1" w:type="dxa"/>
              <w:bottom w:w="-1" w:type="dxa"/>
              <w:right w:w="-1" w:type="dxa"/>
            </w:tcMar>
            <w:vAlign w:val="top"/>
          </w:tcPr>
          <w:p w14:paraId="268A0BDF">
            <w:pPr>
              <w:rPr>
                <w:rFonts w:hint="default" w:ascii="Times New Roman" w:hAnsi="Times New Roman" w:cs="Times New Roman"/>
              </w:rPr>
            </w:pPr>
            <w:r>
              <w:rPr>
                <w:rFonts w:hint="default" w:ascii="Times New Roman" w:hAnsi="Times New Roman" w:cs="Times New Roman"/>
              </w:rPr>
              <w:t>76.9% before admission (median 112 days, IQR 54–200); 23.1% after admission (3.1% within 30 days)</w:t>
            </w:r>
          </w:p>
        </w:tc>
        <w:tc>
          <w:tcPr>
            <w:tcW w:w="1728" w:type="dxa"/>
            <w:tcBorders>
              <w:top w:val="nil"/>
              <w:left w:val="nil"/>
              <w:bottom w:val="nil"/>
              <w:right w:val="nil"/>
            </w:tcBorders>
            <w:noWrap w:val="0"/>
            <w:tcMar>
              <w:top w:w="-1" w:type="dxa"/>
              <w:left w:w="-1" w:type="dxa"/>
              <w:bottom w:w="-1" w:type="dxa"/>
              <w:right w:w="-1" w:type="dxa"/>
            </w:tcMar>
            <w:vAlign w:val="top"/>
          </w:tcPr>
          <w:p w14:paraId="4AFC8E0E">
            <w:pPr>
              <w:rPr>
                <w:rFonts w:hint="default" w:ascii="Times New Roman" w:hAnsi="Times New Roman" w:cs="Times New Roman"/>
              </w:rPr>
            </w:pPr>
            <w:r>
              <w:rPr>
                <w:rFonts w:hint="default" w:ascii="Times New Roman" w:hAnsi="Times New Roman" w:cs="Times New Roman"/>
              </w:rPr>
              <w:t>Routine quarterly/monthly surveillance</w:t>
            </w:r>
          </w:p>
        </w:tc>
        <w:tc>
          <w:tcPr>
            <w:tcW w:w="1728" w:type="dxa"/>
            <w:tcBorders>
              <w:top w:val="nil"/>
              <w:left w:val="nil"/>
              <w:bottom w:val="nil"/>
              <w:right w:val="nil"/>
            </w:tcBorders>
            <w:noWrap w:val="0"/>
            <w:tcMar>
              <w:top w:w="-1" w:type="dxa"/>
              <w:left w:w="-1" w:type="dxa"/>
              <w:bottom w:w="-1" w:type="dxa"/>
              <w:right w:w="-1" w:type="dxa"/>
            </w:tcMar>
            <w:vAlign w:val="top"/>
          </w:tcPr>
          <w:p w14:paraId="63A8C9F2">
            <w:pPr>
              <w:rPr>
                <w:rFonts w:hint="default" w:ascii="Times New Roman" w:hAnsi="Times New Roman" w:cs="Times New Roman"/>
              </w:rPr>
            </w:pPr>
            <w:r>
              <w:rPr>
                <w:rFonts w:hint="default" w:ascii="Times New Roman" w:hAnsi="Times New Roman" w:cs="Times New Roman"/>
              </w:rPr>
              <w:t>Assessment dates documented for 65 cases: 50 before / 15 after admission</w:t>
            </w:r>
          </w:p>
        </w:tc>
        <w:tc>
          <w:tcPr>
            <w:tcW w:w="1728" w:type="dxa"/>
            <w:tcBorders>
              <w:top w:val="nil"/>
              <w:left w:val="nil"/>
              <w:bottom w:val="nil"/>
              <w:right w:val="nil"/>
            </w:tcBorders>
            <w:noWrap w:val="0"/>
            <w:tcMar>
              <w:top w:w="-1" w:type="dxa"/>
              <w:left w:w="-1" w:type="dxa"/>
              <w:bottom w:w="-1" w:type="dxa"/>
              <w:right w:w="-1" w:type="dxa"/>
            </w:tcMar>
            <w:vAlign w:val="top"/>
          </w:tcPr>
          <w:p w14:paraId="67A0D742">
            <w:pPr>
              <w:rPr>
                <w:rFonts w:hint="default" w:ascii="Times New Roman" w:hAnsi="Times New Roman" w:cs="Times New Roman"/>
              </w:rPr>
            </w:pPr>
            <w:r>
              <w:rPr>
                <w:rFonts w:hint="default" w:ascii="Times New Roman" w:hAnsi="Times New Roman" w:cs="Times New Roman"/>
              </w:rPr>
              <w:t>Recorded assessment dates</w:t>
            </w:r>
          </w:p>
        </w:tc>
      </w:tr>
      <w:tr w14:paraId="7F9F86C7">
        <w:tblPrEx>
          <w:tblCellMar>
            <w:top w:w="0" w:type="dxa"/>
            <w:left w:w="108" w:type="dxa"/>
            <w:bottom w:w="0" w:type="dxa"/>
            <w:right w:w="108" w:type="dxa"/>
          </w:tblCellMar>
        </w:tblPrEx>
        <w:tc>
          <w:tcPr>
            <w:tcW w:w="1728" w:type="dxa"/>
            <w:tcBorders>
              <w:top w:val="nil"/>
              <w:left w:val="nil"/>
              <w:bottom w:val="nil"/>
              <w:right w:val="nil"/>
            </w:tcBorders>
            <w:noWrap w:val="0"/>
            <w:tcMar>
              <w:top w:w="-1" w:type="dxa"/>
              <w:left w:w="-1" w:type="dxa"/>
              <w:bottom w:w="-1" w:type="dxa"/>
              <w:right w:w="-1" w:type="dxa"/>
            </w:tcMar>
            <w:vAlign w:val="top"/>
          </w:tcPr>
          <w:p w14:paraId="3BAF69BF">
            <w:pPr>
              <w:rPr>
                <w:rFonts w:hint="default" w:ascii="Times New Roman" w:hAnsi="Times New Roman" w:cs="Times New Roman"/>
              </w:rPr>
            </w:pPr>
            <w:r>
              <w:rPr>
                <w:rFonts w:hint="default" w:ascii="Times New Roman" w:hAnsi="Times New Roman" w:cs="Times New Roman"/>
              </w:rPr>
              <w:t>Haemoglobin</w:t>
            </w:r>
          </w:p>
        </w:tc>
        <w:tc>
          <w:tcPr>
            <w:tcW w:w="1728" w:type="dxa"/>
            <w:tcBorders>
              <w:top w:val="nil"/>
              <w:left w:val="nil"/>
              <w:bottom w:val="nil"/>
              <w:right w:val="nil"/>
            </w:tcBorders>
            <w:noWrap w:val="0"/>
            <w:tcMar>
              <w:top w:w="-1" w:type="dxa"/>
              <w:left w:w="-1" w:type="dxa"/>
              <w:bottom w:w="-1" w:type="dxa"/>
              <w:right w:w="-1" w:type="dxa"/>
            </w:tcMar>
            <w:vAlign w:val="top"/>
          </w:tcPr>
          <w:p w14:paraId="35346055">
            <w:pPr>
              <w:rPr>
                <w:rFonts w:hint="default" w:ascii="Times New Roman" w:hAnsi="Times New Roman" w:cs="Times New Roman"/>
              </w:rPr>
            </w:pPr>
            <w:r>
              <w:rPr>
                <w:rFonts w:hint="default" w:ascii="Times New Roman" w:hAnsi="Times New Roman" w:cs="Times New Roman"/>
              </w:rPr>
              <w:t>Not systematically documented (values abstracted at or around admission)</w:t>
            </w:r>
          </w:p>
        </w:tc>
        <w:tc>
          <w:tcPr>
            <w:tcW w:w="1728" w:type="dxa"/>
            <w:tcBorders>
              <w:top w:val="nil"/>
              <w:left w:val="nil"/>
              <w:bottom w:val="nil"/>
              <w:right w:val="nil"/>
            </w:tcBorders>
            <w:noWrap w:val="0"/>
            <w:tcMar>
              <w:top w:w="-1" w:type="dxa"/>
              <w:left w:w="-1" w:type="dxa"/>
              <w:bottom w:w="-1" w:type="dxa"/>
              <w:right w:w="-1" w:type="dxa"/>
            </w:tcMar>
            <w:vAlign w:val="top"/>
          </w:tcPr>
          <w:p w14:paraId="2EFDB1C6">
            <w:pPr>
              <w:rPr>
                <w:rFonts w:hint="default" w:ascii="Times New Roman" w:hAnsi="Times New Roman" w:cs="Times New Roman"/>
              </w:rPr>
            </w:pPr>
            <w:r>
              <w:rPr>
                <w:rFonts w:hint="default" w:ascii="Times New Roman" w:hAnsi="Times New Roman" w:cs="Times New Roman"/>
              </w:rPr>
              <w:t>Routine assessment</w:t>
            </w:r>
          </w:p>
        </w:tc>
        <w:tc>
          <w:tcPr>
            <w:tcW w:w="1728" w:type="dxa"/>
            <w:tcBorders>
              <w:top w:val="nil"/>
              <w:left w:val="nil"/>
              <w:bottom w:val="nil"/>
              <w:right w:val="nil"/>
            </w:tcBorders>
            <w:noWrap w:val="0"/>
            <w:tcMar>
              <w:top w:w="-1" w:type="dxa"/>
              <w:left w:w="-1" w:type="dxa"/>
              <w:bottom w:w="-1" w:type="dxa"/>
              <w:right w:w="-1" w:type="dxa"/>
            </w:tcMar>
            <w:vAlign w:val="top"/>
          </w:tcPr>
          <w:p w14:paraId="4D18881E">
            <w:pPr>
              <w:rPr>
                <w:rFonts w:hint="default" w:ascii="Times New Roman" w:hAnsi="Times New Roman" w:cs="Times New Roman"/>
              </w:rPr>
            </w:pPr>
            <w:r>
              <w:rPr>
                <w:rFonts w:hint="default" w:ascii="Times New Roman" w:hAnsi="Times New Roman" w:cs="Times New Roman"/>
              </w:rPr>
              <w:t>Collection dates not recorded; timing treated as approximate</w:t>
            </w:r>
          </w:p>
        </w:tc>
        <w:tc>
          <w:tcPr>
            <w:tcW w:w="1728" w:type="dxa"/>
            <w:tcBorders>
              <w:top w:val="nil"/>
              <w:left w:val="nil"/>
              <w:bottom w:val="nil"/>
              <w:right w:val="nil"/>
            </w:tcBorders>
            <w:noWrap w:val="0"/>
            <w:tcMar>
              <w:top w:w="-1" w:type="dxa"/>
              <w:left w:w="-1" w:type="dxa"/>
              <w:bottom w:w="-1" w:type="dxa"/>
              <w:right w:w="-1" w:type="dxa"/>
            </w:tcMar>
            <w:vAlign w:val="top"/>
          </w:tcPr>
          <w:p w14:paraId="38495CD0">
            <w:pPr>
              <w:rPr>
                <w:rFonts w:hint="default" w:ascii="Times New Roman" w:hAnsi="Times New Roman" w:cs="Times New Roman"/>
              </w:rPr>
            </w:pPr>
            <w:r>
              <w:rPr>
                <w:rFonts w:hint="default" w:ascii="Times New Roman" w:hAnsi="Times New Roman" w:cs="Times New Roman"/>
              </w:rPr>
              <w:t>Data dictionary (File S7)</w:t>
            </w:r>
          </w:p>
        </w:tc>
      </w:tr>
      <w:tr w14:paraId="4B75C339">
        <w:tblPrEx>
          <w:tblCellMar>
            <w:top w:w="0" w:type="dxa"/>
            <w:left w:w="108" w:type="dxa"/>
            <w:bottom w:w="0" w:type="dxa"/>
            <w:right w:w="108" w:type="dxa"/>
          </w:tblCellMar>
        </w:tblPrEx>
        <w:tc>
          <w:tcPr>
            <w:tcW w:w="1728" w:type="dxa"/>
            <w:tcBorders>
              <w:top w:val="nil"/>
              <w:left w:val="nil"/>
              <w:bottom w:val="nil"/>
              <w:right w:val="nil"/>
            </w:tcBorders>
            <w:noWrap w:val="0"/>
            <w:tcMar>
              <w:top w:w="-1" w:type="dxa"/>
              <w:left w:w="-1" w:type="dxa"/>
              <w:bottom w:w="-1" w:type="dxa"/>
              <w:right w:w="-1" w:type="dxa"/>
            </w:tcMar>
            <w:vAlign w:val="top"/>
          </w:tcPr>
          <w:p w14:paraId="21252F55">
            <w:pPr>
              <w:rPr>
                <w:rFonts w:hint="default" w:ascii="Times New Roman" w:hAnsi="Times New Roman" w:cs="Times New Roman"/>
              </w:rPr>
            </w:pPr>
            <w:r>
              <w:rPr>
                <w:rFonts w:hint="default" w:ascii="Times New Roman" w:hAnsi="Times New Roman" w:cs="Times New Roman"/>
              </w:rPr>
              <w:t>Albumin</w:t>
            </w:r>
          </w:p>
        </w:tc>
        <w:tc>
          <w:tcPr>
            <w:tcW w:w="1728" w:type="dxa"/>
            <w:tcBorders>
              <w:top w:val="nil"/>
              <w:left w:val="nil"/>
              <w:bottom w:val="nil"/>
              <w:right w:val="nil"/>
            </w:tcBorders>
            <w:noWrap w:val="0"/>
            <w:tcMar>
              <w:top w:w="-1" w:type="dxa"/>
              <w:left w:w="-1" w:type="dxa"/>
              <w:bottom w:w="-1" w:type="dxa"/>
              <w:right w:w="-1" w:type="dxa"/>
            </w:tcMar>
            <w:vAlign w:val="top"/>
          </w:tcPr>
          <w:p w14:paraId="5883514A">
            <w:pPr>
              <w:rPr>
                <w:rFonts w:hint="default" w:ascii="Times New Roman" w:hAnsi="Times New Roman" w:cs="Times New Roman"/>
              </w:rPr>
            </w:pPr>
            <w:r>
              <w:rPr>
                <w:rFonts w:hint="default" w:ascii="Times New Roman" w:hAnsi="Times New Roman" w:cs="Times New Roman"/>
              </w:rPr>
              <w:t>Not systematically documented (values abstracted at or around admission)</w:t>
            </w:r>
          </w:p>
        </w:tc>
        <w:tc>
          <w:tcPr>
            <w:tcW w:w="1728" w:type="dxa"/>
            <w:tcBorders>
              <w:top w:val="nil"/>
              <w:left w:val="nil"/>
              <w:bottom w:val="nil"/>
              <w:right w:val="nil"/>
            </w:tcBorders>
            <w:noWrap w:val="0"/>
            <w:tcMar>
              <w:top w:w="-1" w:type="dxa"/>
              <w:left w:w="-1" w:type="dxa"/>
              <w:bottom w:w="-1" w:type="dxa"/>
              <w:right w:w="-1" w:type="dxa"/>
            </w:tcMar>
            <w:vAlign w:val="top"/>
          </w:tcPr>
          <w:p w14:paraId="274B7164">
            <w:pPr>
              <w:rPr>
                <w:rFonts w:hint="default" w:ascii="Times New Roman" w:hAnsi="Times New Roman" w:cs="Times New Roman"/>
              </w:rPr>
            </w:pPr>
            <w:r>
              <w:rPr>
                <w:rFonts w:hint="default" w:ascii="Times New Roman" w:hAnsi="Times New Roman" w:cs="Times New Roman"/>
              </w:rPr>
              <w:t>Routine assessment</w:t>
            </w:r>
          </w:p>
        </w:tc>
        <w:tc>
          <w:tcPr>
            <w:tcW w:w="1728" w:type="dxa"/>
            <w:tcBorders>
              <w:top w:val="nil"/>
              <w:left w:val="nil"/>
              <w:bottom w:val="nil"/>
              <w:right w:val="nil"/>
            </w:tcBorders>
            <w:noWrap w:val="0"/>
            <w:tcMar>
              <w:top w:w="-1" w:type="dxa"/>
              <w:left w:w="-1" w:type="dxa"/>
              <w:bottom w:w="-1" w:type="dxa"/>
              <w:right w:w="-1" w:type="dxa"/>
            </w:tcMar>
            <w:vAlign w:val="top"/>
          </w:tcPr>
          <w:p w14:paraId="1AFB2D06">
            <w:pPr>
              <w:rPr>
                <w:rFonts w:hint="default" w:ascii="Times New Roman" w:hAnsi="Times New Roman" w:cs="Times New Roman"/>
              </w:rPr>
            </w:pPr>
            <w:r>
              <w:rPr>
                <w:rFonts w:hint="default" w:ascii="Times New Roman" w:hAnsi="Times New Roman" w:cs="Times New Roman"/>
              </w:rPr>
              <w:t>Collection dates not recorded; timing treated as approximate</w:t>
            </w:r>
          </w:p>
        </w:tc>
        <w:tc>
          <w:tcPr>
            <w:tcW w:w="1728" w:type="dxa"/>
            <w:tcBorders>
              <w:top w:val="nil"/>
              <w:left w:val="nil"/>
              <w:bottom w:val="nil"/>
              <w:right w:val="nil"/>
            </w:tcBorders>
            <w:noWrap w:val="0"/>
            <w:tcMar>
              <w:top w:w="-1" w:type="dxa"/>
              <w:left w:w="-1" w:type="dxa"/>
              <w:bottom w:w="-1" w:type="dxa"/>
              <w:right w:w="-1" w:type="dxa"/>
            </w:tcMar>
            <w:vAlign w:val="top"/>
          </w:tcPr>
          <w:p w14:paraId="58921482">
            <w:pPr>
              <w:rPr>
                <w:rFonts w:hint="default" w:ascii="Times New Roman" w:hAnsi="Times New Roman" w:cs="Times New Roman"/>
              </w:rPr>
            </w:pPr>
            <w:r>
              <w:rPr>
                <w:rFonts w:hint="default" w:ascii="Times New Roman" w:hAnsi="Times New Roman" w:cs="Times New Roman"/>
              </w:rPr>
              <w:t>Data dictionary (File S7)</w:t>
            </w:r>
          </w:p>
        </w:tc>
      </w:tr>
      <w:tr w14:paraId="688AC97C">
        <w:tblPrEx>
          <w:tblCellMar>
            <w:top w:w="0" w:type="dxa"/>
            <w:left w:w="108" w:type="dxa"/>
            <w:bottom w:w="0" w:type="dxa"/>
            <w:right w:w="108" w:type="dxa"/>
          </w:tblCellMar>
        </w:tblPrEx>
        <w:tc>
          <w:tcPr>
            <w:tcW w:w="1728" w:type="dxa"/>
            <w:tcBorders>
              <w:top w:val="nil"/>
              <w:left w:val="nil"/>
              <w:bottom w:val="single" w:color="auto" w:sz="12" w:space="0"/>
              <w:right w:val="nil"/>
            </w:tcBorders>
            <w:noWrap w:val="0"/>
            <w:tcMar>
              <w:top w:w="-1" w:type="dxa"/>
              <w:left w:w="-1" w:type="dxa"/>
              <w:bottom w:w="-1" w:type="dxa"/>
              <w:right w:w="-1" w:type="dxa"/>
            </w:tcMar>
            <w:vAlign w:val="top"/>
          </w:tcPr>
          <w:p w14:paraId="611B0024">
            <w:pPr>
              <w:rPr>
                <w:rFonts w:hint="default" w:ascii="Times New Roman" w:hAnsi="Times New Roman" w:cs="Times New Roman"/>
              </w:rPr>
            </w:pPr>
            <w:r>
              <w:rPr>
                <w:rFonts w:hint="default" w:ascii="Times New Roman" w:hAnsi="Times New Roman" w:cs="Times New Roman"/>
              </w:rPr>
              <w:t>Age, sex, episode characteristics (organism, therapy, length of stay)</w:t>
            </w:r>
          </w:p>
        </w:tc>
        <w:tc>
          <w:tcPr>
            <w:tcW w:w="1728" w:type="dxa"/>
            <w:tcBorders>
              <w:top w:val="nil"/>
              <w:left w:val="nil"/>
              <w:bottom w:val="single" w:color="auto" w:sz="12" w:space="0"/>
              <w:right w:val="nil"/>
            </w:tcBorders>
            <w:noWrap w:val="0"/>
            <w:tcMar>
              <w:top w:w="-1" w:type="dxa"/>
              <w:left w:w="-1" w:type="dxa"/>
              <w:bottom w:w="-1" w:type="dxa"/>
              <w:right w:w="-1" w:type="dxa"/>
            </w:tcMar>
            <w:vAlign w:val="top"/>
          </w:tcPr>
          <w:p w14:paraId="79D476A4">
            <w:pPr>
              <w:rPr>
                <w:rFonts w:hint="default" w:ascii="Times New Roman" w:hAnsi="Times New Roman" w:cs="Times New Roman"/>
              </w:rPr>
            </w:pPr>
            <w:r>
              <w:rPr>
                <w:rFonts w:hint="default" w:ascii="Times New Roman" w:hAnsi="Times New Roman" w:cs="Times New Roman"/>
              </w:rPr>
              <w:t>At study extraction (time-invariant or episode-anchored)</w:t>
            </w:r>
          </w:p>
        </w:tc>
        <w:tc>
          <w:tcPr>
            <w:tcW w:w="1728" w:type="dxa"/>
            <w:tcBorders>
              <w:top w:val="nil"/>
              <w:left w:val="nil"/>
              <w:bottom w:val="single" w:color="auto" w:sz="12" w:space="0"/>
              <w:right w:val="nil"/>
            </w:tcBorders>
            <w:noWrap w:val="0"/>
            <w:tcMar>
              <w:top w:w="-1" w:type="dxa"/>
              <w:left w:w="-1" w:type="dxa"/>
              <w:bottom w:w="-1" w:type="dxa"/>
              <w:right w:w="-1" w:type="dxa"/>
            </w:tcMar>
            <w:vAlign w:val="top"/>
          </w:tcPr>
          <w:p w14:paraId="7EE6A667">
            <w:pPr>
              <w:rPr>
                <w:rFonts w:hint="default" w:ascii="Times New Roman" w:hAnsi="Times New Roman" w:cs="Times New Roman"/>
              </w:rPr>
            </w:pPr>
            <w:r>
              <w:rPr>
                <w:rFonts w:hint="default" w:ascii="Times New Roman" w:hAnsi="Times New Roman" w:cs="Times New Roman"/>
              </w:rPr>
              <w:t>At study extraction</w:t>
            </w:r>
          </w:p>
        </w:tc>
        <w:tc>
          <w:tcPr>
            <w:tcW w:w="1728" w:type="dxa"/>
            <w:tcBorders>
              <w:top w:val="nil"/>
              <w:left w:val="nil"/>
              <w:bottom w:val="single" w:color="auto" w:sz="12" w:space="0"/>
              <w:right w:val="nil"/>
            </w:tcBorders>
            <w:noWrap w:val="0"/>
            <w:tcMar>
              <w:top w:w="-1" w:type="dxa"/>
              <w:left w:w="-1" w:type="dxa"/>
              <w:bottom w:w="-1" w:type="dxa"/>
              <w:right w:w="-1" w:type="dxa"/>
            </w:tcMar>
            <w:vAlign w:val="top"/>
          </w:tcPr>
          <w:p w14:paraId="7C5C15DA">
            <w:pPr>
              <w:rPr>
                <w:rFonts w:hint="default" w:ascii="Times New Roman" w:hAnsi="Times New Roman" w:cs="Times New Roman"/>
              </w:rPr>
            </w:pPr>
            <w:r>
              <w:rPr>
                <w:rFonts w:hint="default" w:ascii="Times New Roman" w:hAnsi="Times New Roman" w:cs="Times New Roman"/>
              </w:rPr>
              <w:t>Time-invariant or anchored to the episode</w:t>
            </w:r>
          </w:p>
        </w:tc>
        <w:tc>
          <w:tcPr>
            <w:tcW w:w="1728" w:type="dxa"/>
            <w:tcBorders>
              <w:top w:val="nil"/>
              <w:left w:val="nil"/>
              <w:bottom w:val="single" w:color="auto" w:sz="12" w:space="0"/>
              <w:right w:val="nil"/>
            </w:tcBorders>
            <w:noWrap w:val="0"/>
            <w:tcMar>
              <w:top w:w="-1" w:type="dxa"/>
              <w:left w:w="-1" w:type="dxa"/>
              <w:bottom w:w="-1" w:type="dxa"/>
              <w:right w:w="-1" w:type="dxa"/>
            </w:tcMar>
            <w:vAlign w:val="top"/>
          </w:tcPr>
          <w:p w14:paraId="317206F6">
            <w:pPr>
              <w:rPr>
                <w:rFonts w:hint="default" w:ascii="Times New Roman" w:hAnsi="Times New Roman" w:cs="Times New Roman"/>
              </w:rPr>
            </w:pPr>
            <w:r>
              <w:rPr>
                <w:rFonts w:hint="default" w:ascii="Times New Roman" w:hAnsi="Times New Roman" w:cs="Times New Roman"/>
              </w:rPr>
              <w:t>Records</w:t>
            </w:r>
          </w:p>
        </w:tc>
      </w:tr>
    </w:tbl>
    <w:p w14:paraId="1DAD06C0">
      <w:pPr>
        <w:rPr>
          <w:rFonts w:hint="default" w:ascii="Times New Roman" w:hAnsi="Times New Roman" w:cs="Times New Roman"/>
          <w:sz w:val="24"/>
          <w:szCs w:val="24"/>
        </w:rPr>
      </w:pPr>
      <w:r>
        <w:rPr>
          <w:rFonts w:hint="default" w:ascii="Times New Roman" w:hAnsi="Times New Roman" w:cs="Times New Roman"/>
          <w:sz w:val="24"/>
          <w:szCs w:val="24"/>
        </w:rPr>
        <w:t>Timing categories follow Methods (Index date and measurement timing). Only total Kt/V (and its derivative adequacy indices) has systematically documented assessment dates; haemoglobin and albumin lack recorded collection dates and are adjusted for as baseline covariates with this caveat. CRP is treated as a presentation-day measurement on the basis of the magnitude of case values and the incompatibility of pre-illness routine sampling with the observed case median.</w:t>
      </w:r>
    </w:p>
    <w:p w14:paraId="156EEBB0">
      <w:pPr>
        <w:spacing w:after="120"/>
        <w:rPr>
          <w:rFonts w:hint="default" w:ascii="Times New Roman" w:hAnsi="Times New Roman" w:cs="Times New Roman"/>
          <w:sz w:val="24"/>
          <w:szCs w:val="24"/>
        </w:rPr>
      </w:pPr>
      <w:r>
        <w:rPr>
          <w:rFonts w:hint="default" w:ascii="Times New Roman" w:hAnsi="Times New Roman" w:eastAsia="宋体" w:cs="Times New Roman"/>
          <w:b/>
          <w:sz w:val="24"/>
          <w:szCs w:val="24"/>
        </w:rPr>
        <w:t>Supplementary Note: Analytical approach</w:t>
      </w:r>
    </w:p>
    <w:p w14:paraId="39BCC757">
      <w:pPr>
        <w:spacing w:after="120"/>
        <w:jc w:val="both"/>
        <w:rPr>
          <w:rFonts w:hint="default" w:ascii="Times New Roman" w:hAnsi="Times New Roman" w:cs="Times New Roman"/>
          <w:sz w:val="24"/>
          <w:szCs w:val="24"/>
        </w:rPr>
      </w:pPr>
      <w:r>
        <w:rPr>
          <w:rFonts w:hint="default" w:ascii="Times New Roman" w:hAnsi="Times New Roman" w:cs="Times New Roman"/>
          <w:sz w:val="24"/>
          <w:szCs w:val="24"/>
        </w:rPr>
        <w:t>The primary analysis used cluster-robust (sandwich) standard errors clustered by unique patient, because 17 case patients contributed multiple episodes and one control patient contributed two observations (111/108/102 patient clusters in the 120/116/109 complete-case sets). Conventional model-based complete-case analyses are reported as sensitivity analyses and gave virtually identical point estimates (Table 2, model-based columns). As a further sensitivity analysis, the analysis was restricted to the first available observation per patient within the complete-case set requiring both exposures: the source registry is ordered by admission date, so the earliest episode per patient was retained, yielding 111 independent observations (40 case patients, 71 control patients). On this set (model-based standard errors, as each patient contributed a single observation), the unadjusted odds ratio per SD was 0.228 (95% CI: 0.116–0.447, P &lt; 0.001) for serum iron and 0.373 (95% CI: 0.202–0.692, P = 0.002) for total Kt/V; after sequential adjustment the estimates were 0.221 (0.107–0.457, P &lt; 0.001) for iron and 0.363 (0.172–0.763, P = 0.008) for total Kt/V. In the fully adjusted specification on this reduced independent-observation set (n = 103), the estimates remained directionally consistent — serum iron OR = 0.453 (95% CI: 0.182–1.131, P = 0.090) and total Kt/V OR = 0.404 (95% CI: 0.155–1.055, P = 0.064) — although the confidence intervals widened to include the null, reflecting the loss of precision with the smaller sample rather than a change in direction. Multiple imputation (multivariate imputation by chained equations with a linear main-effects Bayesian ridge regression specification, m = 20, estimates pooled by Rubin’s rules) was used as an additional sensitivity analysis; the imputation model included no interaction or non-linear terms, and convergence was verified by between-imputation variance stability. As an additional small-event sensitivity analysis, Firth-type penalised logistic regression (Jeffreys-prior penalised likelihood) was fitted for the unadjusted and fully adjusted specifications: unadjusted iron OR = 0.236 (95% CI 0.126–0.443) and total Kt/V OR = 0.392 (0.221–0.695); fully adjusted iron OR = 0.482 (0.212–1.099) and total Kt/V OR = 0.434 (0.189–0.995). These penalised estimates are directionally consistent with the unpenalised results and confirm that the wide fully adjusted intervals reflect small-event sparsity rather than separation. The complete de-identified participant-level dataset (Supplementary Data File S5) and the full Python analysis code (Supplementary File S6), including all derivations, quantile conventions, regressions, cluster-robust standard errors, and imputation routines, are provided to permit independent replication of every value in Tables 1–3 and Supplementary Tables S1, S3, and S4 (the episode distribution of Table S4 is derived directly from the patient codes in S5). The pathogen spectrum (Supplementary Table S2 and Fig. 4) is summarised from clinical microbiology records, which are not included in the de-identified dataset S5 and therefore cannot be reproduced from S5–S6. Data correction note: one total Kt/V value (observation 2, patient P002) was recorded as −1.24 in the source record; this was identified as a sign-entry error because the corresponding peritoneal Kt/V (1.22) and residual Kt/V (0.02) sum to +1.24, confirming the value should be positive; the corrected value (+1.24) was used in all analyses. In addition, following the data-quality corrections applied before the present revision (three ejection fraction values re-expressed as percentages and five implausible values—for TIBC, phosphorus, small dense LDL cholesterol, total Kt/V, and BMI—set to missing), all analyses were re-run end-to-end; the corrections and their handling are documented in the Supplementary Codebook (File S7).</w:t>
      </w:r>
    </w:p>
    <w:p w14:paraId="732C9B1B">
      <w:pPr>
        <w:rPr>
          <w:rFonts w:hint="default" w:ascii="Times New Roman" w:hAnsi="Times New Roman" w:cs="Times New Roman"/>
          <w:sz w:val="24"/>
          <w:szCs w:val="24"/>
        </w:rPr>
      </w:pPr>
      <w:r>
        <w:rPr>
          <w:rFonts w:hint="default" w:ascii="Times New Roman" w:hAnsi="Times New Roman" w:cs="Times New Roman"/>
          <w:b/>
          <w:bCs/>
          <w:sz w:val="24"/>
          <w:szCs w:val="24"/>
        </w:rPr>
        <w:t>Data File S5.</w:t>
      </w:r>
      <w:r>
        <w:rPr>
          <w:rFonts w:hint="default" w:ascii="Times New Roman" w:hAnsi="Times New Roman" w:cs="Times New Roman"/>
          <w:sz w:val="24"/>
          <w:szCs w:val="24"/>
        </w:rPr>
        <w:t xml:space="preserve"> De-identified participant-level dataset (CSV, 170 observations) containing all variables used in Table 1 and Supplementary Tables S1, S3, and S4 (the pathogen spectrum in Table S2/Fig. 4 derives from clinical microbiology records and is not included), with patient identifiers replaced by anonymous codes and admission/discharge dates removed. The dataset is deposited in the Zenodo repository (DOI: 10.5281/zenodo.22816756) with restricted access; access requests are reviewed by the corresponding author (see the Data availability statement). Beyond the 57 candidate screening variables of Supplementary Table S1, the file also contains identifier columns and derived variables (group indicators and log-transformed or standardised C-reactive protein), accounting for the difference between the 66 file columns and the 57 screening variables.</w:t>
      </w:r>
    </w:p>
    <w:p w14:paraId="53EC7607">
      <w:pPr>
        <w:rPr>
          <w:rFonts w:hint="default" w:ascii="Times New Roman" w:hAnsi="Times New Roman" w:cs="Times New Roman"/>
          <w:sz w:val="24"/>
          <w:szCs w:val="24"/>
        </w:rPr>
      </w:pPr>
      <w:r>
        <w:rPr>
          <w:rFonts w:hint="default" w:ascii="Times New Roman" w:hAnsi="Times New Roman" w:cs="Times New Roman"/>
          <w:b/>
          <w:bCs/>
          <w:sz w:val="24"/>
          <w:szCs w:val="24"/>
        </w:rPr>
        <w:t xml:space="preserve">Supplementary File S6. </w:t>
      </w:r>
      <w:r>
        <w:rPr>
          <w:rFonts w:hint="default" w:ascii="Times New Roman" w:hAnsi="Times New Roman" w:cs="Times New Roman"/>
          <w:sz w:val="24"/>
          <w:szCs w:val="24"/>
        </w:rPr>
        <w:t>Analysis code (Python script) that reproduces the screening, sequential-adjustment logistic regression, cluster-robust standard errors, multiple imputation, OR-based E-values, robust Poisson regression (modified Poisson with HC0 robust SEs for direct RR estimation), cluster bootstrap by patient (500 iterations, small-sample-corrected CIs), variance inflation factors (VIF), iron–CRP correlation analysis (Pearson and Spearman), Firth penalised logistic regression, the comparison of case characteristics by total Kt/V measurement availability (Supplementary Table S3b), and all summary statistics reported in the manuscript, from Supplementary Data File S5. Section 3g additionally pre-specifies a data-gated sensitivity analysis restricted to pre-admission total Kt/V measurements, which runs automatically once a measurement-timing flag column is appended to Data File S5.</w:t>
      </w:r>
    </w:p>
    <w:p w14:paraId="5EBE8873">
      <w:pPr>
        <w:rPr>
          <w:rFonts w:hint="default" w:ascii="Times New Roman" w:hAnsi="Times New Roman" w:cs="Times New Roman"/>
          <w:b/>
          <w:bCs/>
        </w:rPr>
      </w:pPr>
      <w:r>
        <w:rPr>
          <w:rFonts w:hint="default" w:ascii="Times New Roman" w:hAnsi="Times New Roman" w:cs="Times New Roman"/>
          <w:b/>
          <w:bCs/>
          <w:sz w:val="24"/>
          <w:szCs w:val="24"/>
        </w:rPr>
        <w:t>Supplementary File S7.</w:t>
      </w:r>
      <w:r>
        <w:rPr>
          <w:rFonts w:hint="default" w:ascii="Times New Roman" w:hAnsi="Times New Roman" w:cs="Times New Roman"/>
          <w:sz w:val="24"/>
          <w:szCs w:val="24"/>
        </w:rPr>
        <w:t xml:space="preserve"> Supplementary Codebook (data dictionary) for Data File S5, describing all 66 variables with units, ranges, missing-data counts by group, derived-variable definitions, and a log of the data-quality corrections applied, including the ejection-fraction re-expressions and the five values set to missing.</w:t>
      </w:r>
    </w:p>
    <w:p w14:paraId="6F3D2533">
      <w:pPr>
        <w:rPr>
          <w:rFonts w:hint="default" w:ascii="Times New Roman" w:hAnsi="Times New Roman" w:cs="Times New Roman"/>
          <w:b/>
          <w:bCs/>
          <w:sz w:val="24"/>
          <w:szCs w:val="24"/>
        </w:rPr>
      </w:pPr>
      <w:r>
        <w:rPr>
          <w:rFonts w:hint="default" w:ascii="Times New Roman" w:hAnsi="Times New Roman" w:cs="Times New Roman"/>
          <w:b/>
          <w:bCs/>
          <w:sz w:val="24"/>
          <w:szCs w:val="24"/>
        </w:rPr>
        <w:t>Supplementary Figure S1. Exposure–outcome timing schematic for cases and controls</w:t>
      </w:r>
    </w:p>
    <w:p w14:paraId="59FFFABE">
      <w:pPr>
        <w:rPr>
          <w:rFonts w:hint="default" w:ascii="Times New Roman" w:hAnsi="Times New Roman" w:cs="Times New Roman"/>
        </w:rPr>
      </w:pPr>
      <w:r>
        <w:rPr>
          <w:rFonts w:hint="default" w:ascii="Times New Roman" w:hAnsi="Times New Roman" w:cs="Times New Roman"/>
        </w:rPr>
        <w:drawing>
          <wp:inline distT="0" distB="0" distL="114300" distR="114300">
            <wp:extent cx="5760720" cy="2303780"/>
            <wp:effectExtent l="0" t="0" r="508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760720" cy="2304288"/>
                    </a:xfrm>
                    <a:prstGeom prst="rect">
                      <a:avLst/>
                    </a:prstGeom>
                  </pic:spPr>
                </pic:pic>
              </a:graphicData>
            </a:graphic>
          </wp:inline>
        </w:drawing>
      </w:r>
    </w:p>
    <w:p w14:paraId="681DD566">
      <w:pPr>
        <w:rPr>
          <w:rFonts w:hint="default" w:ascii="Times New Roman" w:hAnsi="Times New Roman" w:cs="Times New Roman"/>
          <w:sz w:val="24"/>
          <w:szCs w:val="24"/>
        </w:rPr>
      </w:pPr>
      <w:bookmarkStart w:id="0" w:name="_GoBack"/>
      <w:r>
        <w:rPr>
          <w:rFonts w:hint="default" w:ascii="Times New Roman" w:hAnsi="Times New Roman" w:cs="Times New Roman"/>
          <w:sz w:val="24"/>
          <w:szCs w:val="24"/>
        </w:rPr>
        <w:t>For PDAP cases (A), the index date is the day of PDAP diagnosis; the serum iron panel was drawn within 24 hours of diagnosis, whereas total Kt/V predominantly reflects the most recent routine assessment before admission (median 112 days earlier, IQR 54–200; 76.9% of case measurements with documented timing). Only 2 of 65 (3.1%) case episodes had a Kt/V measurement within 30 days after admission. Controls have no index date (B); laboratory values derive from routine quarterly or monthly assessments spread across the study period. The schematic illustrates the timing asymmetries discussed in the Methods and Limitations.</w:t>
      </w:r>
    </w:p>
    <w:bookmarkEnd w:id="0"/>
    <w:sectPr>
      <w:headerReference r:id="rId5" w:type="default"/>
      <w:footerReference r:id="rId6" w:type="default"/>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embedRegular r:id="rId1" w:fontKey="{441A1C58-445C-4F0D-8D01-667934F88AB3}"/>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embedRegular r:id="rId2" w:fontKey="{8908980A-2053-41D0-B2C7-0AE8DCEEE2CA}"/>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7DC37">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ED962">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0931EC5"/>
    <w:rsid w:val="5A0F2E6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873</Words>
  <Characters>4722</Characters>
  <Lines>0</Lines>
  <Paragraphs>0</Paragraphs>
  <TotalTime>9</TotalTime>
  <ScaleCrop>false</ScaleCrop>
  <LinksUpToDate>false</LinksUpToDate>
  <CharactersWithSpaces>5121</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terms:modified xsi:type="dcterms:W3CDTF">2026-09-18T11:48:49Z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eyJoZGlkIjoiY2NmOTVjYzI5N2Q5YzQ4ZmZlOWM5MmZlMDk2OTY5OTgiLCJ1c2VySWQiOiIzMzM2MTA2MTAifQ==</vt:lpwstr>
  </property>
  <property fmtid="{D5CDD505-2E9C-101B-9397-08002B2CF9AE}" pid="3" name="KSOProductBuildVer">
    <vt:lpwstr>2052-12.1.0.28792</vt:lpwstr>
  </property>
  <property fmtid="{D5CDD505-2E9C-101B-9397-08002B2CF9AE}" pid="4" name="ICV">
    <vt:lpwstr>70DF72DD58A2488F979806FCE6307035_12</vt:lpwstr>
  </property>
</Properties>
</file>