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719" w:rsidRPr="00694719" w:rsidRDefault="00694719" w:rsidP="00694719">
      <w:pPr>
        <w:widowControl w:val="0"/>
        <w:jc w:val="center"/>
        <w:rPr>
          <w:rFonts w:ascii="Times New Roman" w:eastAsia="等线" w:hAnsi="Times New Roman" w:cs="Times New Roman"/>
          <w:b/>
          <w:kern w:val="2"/>
        </w:rPr>
      </w:pPr>
      <w:bookmarkStart w:id="0" w:name="OLE_LINK17"/>
      <w:bookmarkStart w:id="1" w:name="OLE_LINK18"/>
      <w:bookmarkStart w:id="2" w:name="_GoBack"/>
      <w:bookmarkEnd w:id="2"/>
      <w:r w:rsidRPr="00694719">
        <w:rPr>
          <w:rFonts w:ascii="Times New Roman" w:eastAsia="等线" w:hAnsi="Times New Roman" w:cs="Times New Roman"/>
          <w:b/>
          <w:bCs/>
          <w:kern w:val="2"/>
        </w:rPr>
        <w:t>Supplementary Information</w:t>
      </w:r>
    </w:p>
    <w:p w:rsidR="00694719" w:rsidRPr="00694719" w:rsidRDefault="00694719" w:rsidP="00694719">
      <w:pPr>
        <w:jc w:val="center"/>
        <w:rPr>
          <w:rFonts w:ascii="Times New Roman" w:hAnsi="Times New Roman" w:cs="Times New Roman"/>
          <w:b/>
          <w:bCs/>
        </w:rPr>
      </w:pPr>
      <w:r w:rsidRPr="00694719">
        <w:rPr>
          <w:rFonts w:ascii="Times New Roman" w:hAnsi="Times New Roman" w:cs="Times New Roman"/>
          <w:b/>
          <w:bCs/>
        </w:rPr>
        <w:t>The role of institutional elements in enterprise innovation resilience: Explainable machine learning evidence from China</w:t>
      </w:r>
    </w:p>
    <w:p w:rsidR="00694719" w:rsidRPr="00694719" w:rsidRDefault="00694719" w:rsidP="00694719">
      <w:pPr>
        <w:spacing w:line="360" w:lineRule="auto"/>
        <w:jc w:val="both"/>
        <w:outlineLvl w:val="0"/>
        <w:rPr>
          <w:rFonts w:ascii="Times New Roman" w:hAnsi="Times New Roman" w:cs="Times New Roman (正文 CS 字体)"/>
          <w:b/>
          <w:bCs/>
          <w:snapToGrid w:val="0"/>
          <w:color w:val="000000"/>
          <w:kern w:val="44"/>
          <w:sz w:val="21"/>
          <w:szCs w:val="21"/>
          <w:vertAlign w:val="subscript"/>
        </w:rPr>
      </w:pPr>
      <w:r w:rsidRPr="00694719">
        <w:rPr>
          <w:rFonts w:ascii="Times New Roman" w:hAnsi="Times New Roman" w:cs="Times New Roman (正文 CS 字体)"/>
          <w:b/>
          <w:bCs/>
          <w:snapToGrid w:val="0"/>
          <w:color w:val="000000"/>
          <w:kern w:val="44"/>
          <w:sz w:val="21"/>
          <w:szCs w:val="21"/>
        </w:rPr>
        <w:t>Supplementary Note</w:t>
      </w:r>
    </w:p>
    <w:p w:rsidR="00694719" w:rsidRPr="00694719" w:rsidRDefault="00694719" w:rsidP="00694719">
      <w:pPr>
        <w:jc w:val="both"/>
        <w:outlineLvl w:val="1"/>
        <w:rPr>
          <w:rFonts w:ascii="Times New Roman" w:hAnsi="Times New Roman" w:cs="Times New Roman"/>
          <w:b/>
          <w:bCs/>
          <w:snapToGrid w:val="0"/>
          <w:kern w:val="44"/>
          <w:sz w:val="21"/>
          <w:szCs w:val="44"/>
          <w:vertAlign w:val="subscript"/>
        </w:rPr>
      </w:pPr>
      <w:r w:rsidRPr="00694719">
        <w:rPr>
          <w:rFonts w:ascii="Times New Roman" w:hAnsi="Times New Roman" w:cs="Times New Roman"/>
          <w:b/>
          <w:bCs/>
          <w:snapToGrid w:val="0"/>
          <w:kern w:val="44"/>
          <w:sz w:val="21"/>
          <w:szCs w:val="44"/>
        </w:rPr>
        <w:t xml:space="preserve">Application of machine learning to </w:t>
      </w:r>
      <w:r w:rsidRPr="00694719">
        <w:rPr>
          <w:rFonts w:ascii="Times New Roman" w:hAnsi="Times New Roman" w:cs="Times New Roman"/>
          <w:b/>
          <w:bCs/>
          <w:i/>
          <w:snapToGrid w:val="0"/>
          <w:kern w:val="44"/>
          <w:sz w:val="21"/>
          <w:szCs w:val="44"/>
        </w:rPr>
        <w:t>EIR</w:t>
      </w:r>
      <w:r w:rsidRPr="00694719">
        <w:rPr>
          <w:rFonts w:ascii="Times New Roman" w:hAnsi="Times New Roman" w:cs="Times New Roman"/>
          <w:b/>
          <w:bCs/>
          <w:snapToGrid w:val="0"/>
          <w:kern w:val="44"/>
          <w:sz w:val="21"/>
          <w:szCs w:val="44"/>
          <w:vertAlign w:val="subscript"/>
        </w:rPr>
        <w:t>t+1</w:t>
      </w:r>
    </w:p>
    <w:p w:rsidR="00694719" w:rsidRPr="00694719" w:rsidRDefault="00694719" w:rsidP="00694719">
      <w:pPr>
        <w:ind w:firstLineChars="200" w:firstLine="420"/>
        <w:jc w:val="both"/>
        <w:rPr>
          <w:rFonts w:ascii="Times New Roman" w:hAnsi="Times New Roman" w:cs="Times New Roman"/>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Traditional statistical models have long been widely used in research on enterprise innovation. Their advantages include readily interpretable parameters, a mature framework for statistical inference, and the ability to conduct theory testing and causal analysis when identification conditions are satisfied. However, explanation and prediction are not identical research tasks. Shmueli (2010) points out that explanatory and predictive modeling pursue different objectives: stronger explanatory power does not necessarily imply better predictive performance. Model selection, evaluation criteria, and interpretation of results should therefore be aligned with the specific research task. Traditional parametric models typically rely on prespecified functional forms, variable relationships, and corresponding statistical assumptions, which may limit their performance when dealing with high-dimensional data, nonlinear relationships, and complex variable interactions. Breiman (2001) distinguishes between two approaches to statistical analysis: traditional data models and algorithmic models. He notes that algorithmic models can identify complex structures in the data that are difficult to prespecify in traditional parametric models. Varian (2014) further notes that the big data environment has created conditions for introducing decision trees, classification algorithms, and nonparametric prediction methods into economic and management research. Whereas traditional statistical modeling places greater emphasis on population inference and parameter interpretation, machine learning focuses more on learning generalizable predictive patterns from data (Bzdok et al., 2018). It therefore places greater emphasis on out-of-sample predictive performance and the identification of complex patterns, and can evaluate model generalization through training sets, validation sets, test sets, and cross-validation (Mullainathan and Spiess, 2017). Among specific algorithms, decision trees, random forests, support vector machines, gradient boosting, and neural networks can flexibly handle nonlinear relationships and variable interactions. Relevant review studies indicate that ensemble learning methods based on boosted trees combine strong predictive performance with computational efficiency when processing complex data (González et al., 2020). Further comparative research finds that XGBoost enhances model generalization through mechanisms such as regularization, whereas CatBoost alleviates target leakage and prediction shift through categorical feature processing and ordered boosting (Bentéjac et al., 2021). At the same time, despite improving predictive performance, machine learning also raises questions about model interpretability. Research on interpretable machine learning emphasizes that model interpretation should consider not only predictive performance but also the relevance of the interpretation to the specific research question and its faithful representation of model behavior (Murdoch et al., 2019). More broadly, research on explainable artificial intelligence points out that transparency and interpretability are important conditions for applying complex models in practical analytical and decision-making contexts (Barredo Arrieta et al., 2020). Against this background, explainable artificial intelligence methods such as SHAP can identify the relative predictive importance of variables and nonlinear dependence patterns by decomposing feature contributions, thereby improving the transparency of complex models. It should be emphasized that standard supervised machine learning primarily addresses prediction problems. SHAP reflects the contribution of variables to model predictions and cannot be directly interpreted as a causal effect in the strict sense; clear boundaries should be maintained among prediction, parameter estimation, and causal identification (Athey and Imbens, 2019). Overall, machine learning and traditional statistical modeling have distinct characteristics in terms of research paradigms, data processing, algorithm selection, model evaluation, and result interpretation. </w:t>
      </w:r>
      <w:r w:rsidRPr="00694719">
        <w:rPr>
          <w:rFonts w:ascii="Times New Roman" w:hAnsi="Times New Roman" w:cs="Times New Roman"/>
          <w:bCs/>
          <w:snapToGrid w:val="0"/>
          <w:color w:val="000000"/>
          <w:kern w:val="44"/>
          <w:sz w:val="21"/>
          <w:szCs w:val="44"/>
        </w:rPr>
        <w:t>A detailed comparison of the two is presented in Supplementary Table S1.</w:t>
      </w:r>
    </w:p>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Supplementary Table S1. Comparative summary of machine learning and statistical modeling</w:t>
      </w:r>
    </w:p>
    <w:tbl>
      <w:tblPr>
        <w:tblW w:w="0" w:type="auto"/>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136"/>
        <w:gridCol w:w="3947"/>
        <w:gridCol w:w="3851"/>
        <w:gridCol w:w="1272"/>
      </w:tblGrid>
      <w:tr w:rsidR="00694719" w:rsidRPr="00694719" w:rsidTr="00C67B5F">
        <w:trPr>
          <w:tblHeader/>
          <w:tblCellSpacing w:w="15" w:type="dxa"/>
        </w:trPr>
        <w:tc>
          <w:tcPr>
            <w:tcW w:w="0" w:type="auto"/>
            <w:vAlign w:val="center"/>
          </w:tcPr>
          <w:p w:rsidR="00694719" w:rsidRPr="00694719" w:rsidRDefault="00694719" w:rsidP="00694719">
            <w:pPr>
              <w:widowControl w:val="0"/>
              <w:jc w:val="center"/>
              <w:rPr>
                <w:rFonts w:ascii="Times New Roman" w:hAnsi="Times New Roman"/>
                <w:bCs/>
                <w:sz w:val="18"/>
                <w:szCs w:val="18"/>
              </w:rPr>
            </w:pPr>
            <w:r w:rsidRPr="00694719">
              <w:rPr>
                <w:rFonts w:ascii="Times New Roman" w:hAnsi="Times New Roman"/>
                <w:bCs/>
                <w:sz w:val="18"/>
                <w:szCs w:val="18"/>
              </w:rPr>
              <w:lastRenderedPageBreak/>
              <w:t>Dimension</w:t>
            </w:r>
          </w:p>
        </w:tc>
        <w:tc>
          <w:tcPr>
            <w:tcW w:w="0" w:type="auto"/>
            <w:vAlign w:val="center"/>
          </w:tcPr>
          <w:p w:rsidR="00694719" w:rsidRPr="00694719" w:rsidRDefault="00694719" w:rsidP="00694719">
            <w:pPr>
              <w:widowControl w:val="0"/>
              <w:jc w:val="center"/>
              <w:rPr>
                <w:rFonts w:ascii="Times New Roman" w:hAnsi="Times New Roman"/>
                <w:bCs/>
                <w:sz w:val="18"/>
                <w:szCs w:val="18"/>
              </w:rPr>
            </w:pPr>
            <w:r w:rsidRPr="00694719">
              <w:rPr>
                <w:rFonts w:ascii="Times New Roman" w:hAnsi="Times New Roman"/>
                <w:bCs/>
                <w:sz w:val="18"/>
                <w:szCs w:val="18"/>
              </w:rPr>
              <w:t>Machine learning</w:t>
            </w:r>
          </w:p>
        </w:tc>
        <w:tc>
          <w:tcPr>
            <w:tcW w:w="0" w:type="auto"/>
            <w:vAlign w:val="center"/>
          </w:tcPr>
          <w:p w:rsidR="00694719" w:rsidRPr="00694719" w:rsidRDefault="00694719" w:rsidP="00694719">
            <w:pPr>
              <w:widowControl w:val="0"/>
              <w:jc w:val="center"/>
              <w:rPr>
                <w:rFonts w:ascii="Times New Roman" w:hAnsi="Times New Roman"/>
                <w:bCs/>
                <w:sz w:val="18"/>
                <w:szCs w:val="18"/>
              </w:rPr>
            </w:pPr>
            <w:r w:rsidRPr="00694719">
              <w:rPr>
                <w:rFonts w:ascii="Times New Roman" w:hAnsi="Times New Roman"/>
                <w:bCs/>
                <w:sz w:val="18"/>
                <w:szCs w:val="18"/>
              </w:rPr>
              <w:t>Statistical modeling</w:t>
            </w:r>
          </w:p>
        </w:tc>
        <w:tc>
          <w:tcPr>
            <w:tcW w:w="0" w:type="auto"/>
            <w:vAlign w:val="center"/>
          </w:tcPr>
          <w:p w:rsidR="00694719" w:rsidRPr="00694719" w:rsidRDefault="00694719" w:rsidP="00694719">
            <w:pPr>
              <w:widowControl w:val="0"/>
              <w:jc w:val="center"/>
              <w:rPr>
                <w:rFonts w:ascii="Times New Roman" w:hAnsi="Times New Roman"/>
                <w:bCs/>
                <w:sz w:val="18"/>
                <w:szCs w:val="18"/>
              </w:rPr>
            </w:pPr>
            <w:r w:rsidRPr="00694719">
              <w:rPr>
                <w:rFonts w:ascii="Times New Roman" w:hAnsi="Times New Roman"/>
                <w:bCs/>
                <w:sz w:val="18"/>
                <w:szCs w:val="18"/>
              </w:rPr>
              <w:t>References</w:t>
            </w:r>
          </w:p>
        </w:tc>
      </w:tr>
      <w:tr w:rsidR="00694719" w:rsidRPr="00694719" w:rsidTr="00C67B5F">
        <w:trPr>
          <w:tblCellSpacing w:w="15" w:type="dxa"/>
        </w:trPr>
        <w:tc>
          <w:tcPr>
            <w:tcW w:w="0" w:type="auto"/>
            <w:tcBorders>
              <w:top w:val="single" w:sz="6" w:space="0" w:color="auto"/>
              <w:bottom w:val="nil"/>
            </w:tcBorders>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bCs/>
                <w:sz w:val="18"/>
                <w:szCs w:val="18"/>
              </w:rPr>
              <w:t>Overall paradigm</w:t>
            </w:r>
          </w:p>
        </w:tc>
        <w:tc>
          <w:tcPr>
            <w:tcW w:w="0" w:type="auto"/>
            <w:tcBorders>
              <w:top w:val="single" w:sz="6" w:space="0" w:color="auto"/>
              <w:bottom w:val="nil"/>
            </w:tcBorders>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Primarily data-driven, emphasizing pattern recognition, predictive analysis, and the identification of complex relationships, with relatively limited reliance on prespecified functional forms.</w:t>
            </w:r>
          </w:p>
        </w:tc>
        <w:tc>
          <w:tcPr>
            <w:tcW w:w="0" w:type="auto"/>
            <w:tcBorders>
              <w:top w:val="single" w:sz="6" w:space="0" w:color="auto"/>
              <w:bottom w:val="nil"/>
            </w:tcBorders>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Primarily theory-driven, emphasizing parameter estimation, hypothesis testing, and causal interpretation, with variable relationships and model structures typically specified a priori on the basis of theory.</w:t>
            </w:r>
          </w:p>
        </w:tc>
        <w:tc>
          <w:tcPr>
            <w:tcW w:w="0" w:type="auto"/>
            <w:tcBorders>
              <w:top w:val="single" w:sz="6" w:space="0" w:color="auto"/>
              <w:bottom w:val="nil"/>
            </w:tcBorders>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Breiman (2001)</w:t>
            </w:r>
          </w:p>
        </w:tc>
      </w:tr>
      <w:tr w:rsidR="00694719" w:rsidRPr="00694719" w:rsidTr="00C67B5F">
        <w:trPr>
          <w:tblCellSpacing w:w="15" w:type="dxa"/>
        </w:trPr>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bCs/>
                <w:sz w:val="18"/>
                <w:szCs w:val="18"/>
              </w:rPr>
              <w:t>Data</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Well suited to large-scale, high-dimensional, and complex data, with strong adaptability to settings involving numerous variables and complex data structures.</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Primarily designed for structured data, with relatively explicit requirements regarding variable specification, sample structure, distributional characteristics, and model assumptions.</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Varian (2014)</w:t>
            </w:r>
          </w:p>
        </w:tc>
      </w:tr>
      <w:tr w:rsidR="00694719" w:rsidRPr="00694719" w:rsidTr="00C67B5F">
        <w:trPr>
          <w:tblCellSpacing w:w="15" w:type="dxa"/>
        </w:trPr>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bCs/>
                <w:sz w:val="18"/>
                <w:szCs w:val="18"/>
              </w:rPr>
              <w:t>Algorithms</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Employs algorithms such as decision trees, random forests (RF), support vector machines (SVM), gradient boosting, and neural networks, enabling the identification of nonlinear relationships and interaction effects among variables.</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Employs parametric models such as linear regression, Logit/Probit models, and panel regression, with an emphasis on identifying linear or prespecified functional relationships among variables.</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Athey and Imbens (2019)</w:t>
            </w:r>
          </w:p>
        </w:tc>
      </w:tr>
      <w:tr w:rsidR="00694719" w:rsidRPr="00694719" w:rsidTr="00C67B5F">
        <w:trPr>
          <w:tblCellSpacing w:w="15" w:type="dxa"/>
        </w:trPr>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bCs/>
                <w:sz w:val="18"/>
                <w:szCs w:val="18"/>
              </w:rPr>
              <w:t>Model evaluation</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 xml:space="preserve">Evaluates predictive performance and model generalizability using training, validation, and test sets, together with cross-validation, and commonly employs metrics such as RMSE, </w:t>
            </w:r>
            <w:r w:rsidRPr="00694719">
              <w:rPr>
                <w:rFonts w:ascii="Times New Roman" w:hAnsi="Times New Roman"/>
                <w:i/>
                <w:sz w:val="18"/>
                <w:szCs w:val="18"/>
              </w:rPr>
              <w:t>MA</w:t>
            </w:r>
            <w:r w:rsidRPr="00694719">
              <w:rPr>
                <w:rFonts w:ascii="Times New Roman" w:hAnsi="Times New Roman"/>
                <w:sz w:val="18"/>
                <w:szCs w:val="18"/>
              </w:rPr>
              <w:t>E, accuracy, and AUC.</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Evaluates model validity on the basis of parameter estimates, statistical significance, goodness of fit, robustness tests, and model diagnostics.</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Mullainathan and Spiess (2017)</w:t>
            </w:r>
          </w:p>
        </w:tc>
      </w:tr>
      <w:tr w:rsidR="00694719" w:rsidRPr="00694719" w:rsidTr="00C67B5F">
        <w:trPr>
          <w:tblCellSpacing w:w="15" w:type="dxa"/>
        </w:trPr>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bCs/>
                <w:sz w:val="18"/>
                <w:szCs w:val="18"/>
              </w:rPr>
              <w:t>Model interpretation</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Uses feature importance, SHAP, and related methods to identify key variables and reveal their contributions and potential nonlinear effects within complex models.</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Interprets relationships among variables based on the direction and magnitude of regression coefficients, confidence intervals, and statistical significance, providing relatively strong advantages in parameter-based interpretation.</w:t>
            </w:r>
          </w:p>
        </w:tc>
        <w:tc>
          <w:tcPr>
            <w:tcW w:w="0" w:type="auto"/>
            <w:vAlign w:val="center"/>
          </w:tcPr>
          <w:p w:rsidR="00694719" w:rsidRPr="00694719" w:rsidRDefault="00694719" w:rsidP="00694719">
            <w:pPr>
              <w:widowControl w:val="0"/>
              <w:jc w:val="center"/>
              <w:rPr>
                <w:rFonts w:ascii="Times New Roman" w:hAnsi="Times New Roman"/>
                <w:sz w:val="18"/>
                <w:szCs w:val="18"/>
              </w:rPr>
            </w:pPr>
            <w:r w:rsidRPr="00694719">
              <w:rPr>
                <w:rFonts w:ascii="Times New Roman" w:hAnsi="Times New Roman"/>
                <w:sz w:val="18"/>
                <w:szCs w:val="18"/>
              </w:rPr>
              <w:t>Chen et al. (2023)</w:t>
            </w:r>
          </w:p>
        </w:tc>
      </w:tr>
    </w:tbl>
    <w:p w:rsidR="00694719" w:rsidRPr="00694719" w:rsidRDefault="00694719" w:rsidP="00694719">
      <w:pPr>
        <w:ind w:firstLineChars="200" w:firstLine="420"/>
        <w:jc w:val="both"/>
        <w:rPr>
          <w:rFonts w:ascii="Times New Roman" w:hAnsi="Times New Roman" w:cs="Times New Roman"/>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Against this background, machine learning is increasingly becoming an important analytical tool for identifying and predicting enterprises’ innovation activities and resilience characteristics. Existing research in this area can be broadly organized into three interrelated directions. First, research has focused on the identification and measurement of enterprise innovation. Using data on Chinese listed enterprises, Li et al. (2020) compared several machine learning models, including logistic regression, decision trees, random forests, XGBoost, and GBDT, and found that XGBoost performed relatively well overall in predicting enterprises’ technological innovation performance. As unstructured data have become increasingly incorporated into research on enterprise innovation, text analysis and natural language processing have also been used to identify enterprises’ innovation activities. Bellstam et al. (2021) constructed enterprise-level innovation indicators from analyst report texts, thereby supplementing traditional patent and R&amp;D measures. Chen et al. (2026) further constructed a textual measure of enterprises’ attention to digital transformation based on their strategic disclosures and found a significant association between attention to digital transformation and breakthrough innovation. Second, research has examined innovation persistence, its drivers, and enterprise resilience. Machine learning can identify factors with relatively high predictive contributions from a large set of internal and external candidate variables. Liu et al. (2024) used machine learning methods to identify the key drivers of enterprises’ green innovation and found that XGBoost exhibited relatively strong predictive performance. Peiró-Signes et al. (2022) used methods including XGBoost to examine enterprises’ eco-innovation orientation and found substantial differences in the predictive importance of internal and external factors for enterprise innovation. Li et al. (2023), in turn, used machine learning-based topic analysis to identify the key capabilities underlying supply chain resilience under external shocks, indicating that data-driven methods can identify important factors in resilience formation from complex information. Third, research has addressed institutions, policies, and enterprise innovation. Machine learning is increasingly being used to identify the complex relationships between institutional and policy factors and enterprise innovation. Liang et al. (2024) employed double machine learning to examine environmental judicial institutions and enterprises’ green innovation, finding that environmental courts significantly promoted enterprises’ green innovation and that the effects varied across different types of innovation. Guo et al. (2026) employed double machine learning to examine the relationships among market orientation, government green subsidies, and enterprises’ green innovation, finding differentiated effects across different market orientations and enterprise types. Luo et al. (2024) used a quasi-natural experiment and the DID method to examine the relationship between supply chain digitalization and enterprises’ green innovation, finding that supply chain digitalization promoted enterprises’ </w:t>
      </w:r>
      <w:r w:rsidRPr="00694719">
        <w:rPr>
          <w:rFonts w:ascii="Times New Roman" w:hAnsi="Times New Roman" w:cs="Times New Roman (正文 CS 字体)"/>
          <w:bCs/>
          <w:snapToGrid w:val="0"/>
          <w:color w:val="000000"/>
          <w:kern w:val="44"/>
          <w:sz w:val="21"/>
          <w:szCs w:val="44"/>
        </w:rPr>
        <w:lastRenderedPageBreak/>
        <w:t xml:space="preserve">green innovation and that the relationship exhibited pronounced mechanistic and heterogeneous patterns. In addition, among complex enterprise-level prediction methods, Yang et al. (2025) compared several models, including SSA-CatBoost, CatBoost, random forests, LightGBM, XGBoost, SVM, and LSTM, and used SHAP to interpret their predictions. The findings indicate that CatBoost-based ensemble learning and explainable artificial intelligence methods can balance predictive performance and result interpretability in complex enterprise-level prediction tasks. Overall, the application of machine learning has expanded from predicting enterprise innovation outcomes to innovation identification, driver selection, resilience analysis, and research on institutions and policies. At the same time, the development of methods such as CatBoost and SHAP provides new analytical tools for complex enterprise-level prediction problems and offers a direct methodological foundation for this study’s comparison of the relative predictive contributions, nonlinear patterns, and interaction characteristics of the regulative, normative, and cognitive dimensions of </w:t>
      </w:r>
      <w:r w:rsidRPr="00694719">
        <w:rPr>
          <w:rFonts w:ascii="Times New Roman" w:hAnsi="Times New Roman" w:cs="Times New Roman (正文 CS 字体)"/>
          <w:bCs/>
          <w:i/>
          <w:snapToGrid w:val="0"/>
          <w:color w:val="000000"/>
          <w:kern w:val="44"/>
          <w:sz w:val="21"/>
          <w:szCs w:val="44"/>
        </w:rPr>
        <w:t>IE</w:t>
      </w:r>
      <w:r w:rsidRPr="00694719">
        <w:rPr>
          <w:rFonts w:ascii="Times New Roman" w:hAnsi="Times New Roman" w:cs="Times New Roman (正文 CS 字体)"/>
          <w:bCs/>
          <w:snapToGrid w:val="0"/>
          <w:color w:val="000000"/>
          <w:kern w:val="44"/>
          <w:sz w:val="21"/>
          <w:szCs w:val="44"/>
        </w:rPr>
        <w:t xml:space="preserve"> to the </w:t>
      </w:r>
      <w:r w:rsidRPr="00694719">
        <w:rPr>
          <w:rFonts w:ascii="Times New Roman" w:hAnsi="Times New Roman" w:cs="Times New Roman (正文 CS 字体)"/>
          <w:bCs/>
          <w:i/>
          <w:snapToGrid w:val="0"/>
          <w:color w:val="000000"/>
          <w:kern w:val="44"/>
          <w:sz w:val="21"/>
          <w:szCs w:val="44"/>
        </w:rPr>
        <w:t>EIR</w:t>
      </w:r>
      <w:r w:rsidRPr="00694719">
        <w:rPr>
          <w:rFonts w:ascii="Times New Roman" w:hAnsi="Times New Roman" w:cs="Times New Roman (正文 CS 字体)"/>
          <w:bCs/>
          <w:snapToGrid w:val="0"/>
          <w:color w:val="000000"/>
          <w:kern w:val="44"/>
          <w:sz w:val="21"/>
          <w:szCs w:val="44"/>
        </w:rPr>
        <w:t xml:space="preserve"> of agriculture- and forestry-related enterprises. </w:t>
      </w:r>
      <w:r w:rsidRPr="00694719">
        <w:rPr>
          <w:rFonts w:ascii="Times New Roman" w:hAnsi="Times New Roman" w:cs="Times New Roman"/>
          <w:bCs/>
          <w:snapToGrid w:val="0"/>
          <w:color w:val="000000"/>
          <w:kern w:val="44"/>
          <w:sz w:val="21"/>
          <w:szCs w:val="44"/>
        </w:rPr>
        <w:t>The relevant research topics, main models, and findings are presented in Supplementary Table S2.</w:t>
      </w:r>
    </w:p>
    <w:p w:rsidR="00694719" w:rsidRPr="00694719" w:rsidRDefault="00694719" w:rsidP="00694719">
      <w:pPr>
        <w:ind w:firstLineChars="200" w:firstLine="360"/>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 xml:space="preserve">Supplementary Table S2. Research themes, models, and findings related to </w:t>
      </w:r>
      <w:r w:rsidRPr="00694719">
        <w:rPr>
          <w:rFonts w:ascii="Times New Roman" w:hAnsi="Times New Roman" w:cs="Times New Roman (正文 CS 字体)"/>
          <w:bCs/>
          <w:i/>
          <w:iCs/>
          <w:snapToGrid w:val="0"/>
          <w:color w:val="000000"/>
          <w:kern w:val="44"/>
          <w:sz w:val="18"/>
          <w:szCs w:val="18"/>
        </w:rPr>
        <w:t>EIR</w:t>
      </w:r>
    </w:p>
    <w:tbl>
      <w:tblPr>
        <w:tblW w:w="0" w:type="auto"/>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570"/>
        <w:gridCol w:w="1834"/>
        <w:gridCol w:w="1674"/>
        <w:gridCol w:w="4109"/>
        <w:gridCol w:w="1019"/>
      </w:tblGrid>
      <w:tr w:rsidR="00694719" w:rsidRPr="00694719" w:rsidTr="00C67B5F">
        <w:trPr>
          <w:tblHeade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Research theme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Research focus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Main models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Key findings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References</w:t>
            </w:r>
          </w:p>
        </w:tc>
      </w:tr>
      <w:tr w:rsidR="00694719" w:rsidRPr="00694719" w:rsidTr="00C67B5F">
        <w:trPr>
          <w:tblCellSpacing w:w="15" w:type="dxa"/>
          <w:jc w:val="center"/>
        </w:trPr>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Identification and measurement of enterprise innovation</w:t>
            </w:r>
          </w:p>
        </w:tc>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Prediction of enterprise innovation outcomes</w:t>
            </w:r>
          </w:p>
        </w:tc>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Logistic regression, DT, RF, XGBoost, GBDT</w:t>
            </w:r>
          </w:p>
        </w:tc>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technological innovation performance is predicted using information on R&amp;D, patents, finance, human capital, and other enterprise characteristics. Ensemble-learning models such as XGBoost demonstrate strong predictive performance.</w:t>
            </w:r>
          </w:p>
        </w:tc>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Li et al. (2020)</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Identification and measurement of enterprise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Text-based identification of enterprise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LDA, NLP</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An enterprise innovation indicator is constructed from analyst-report text. The text-based measure is significantly associated with high-value patents and captures innovation activities that are not fully reflected in conventional patent- and R&amp;D-based indicators.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Bellstam et al. (2021)</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Identification and measurement of enterprise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Measurement of attention to enterprise digital transformation and innovation analysis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Text-based measurement, panel-data analysis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An attention-based measure of digital transformation is constructed from enterprise strategic disclosures. Attention to digital transformation is significantly associated with breakthrough innovation, and this relationship is influenced by the external regulatory environment.</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Chen et al. (2026)</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Innovation persistence, drivers, and resilience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Identification of drivers of enterprise green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Multiple machine-learning models, XGBoost</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Machine learning is used to identify key drivers of enterprise green innovation. XGBoost exhibits strong predictive performance, while different enterprise characteristics make heterogeneous contributions to prediction.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Liu et al. (2024)</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Innovation persistence, drivers, and resilience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Internal and external drivers of enterprise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XGBoost, BorutaSHAP</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Among a large set of internal and external enterprise variables, only a subset plays a key role in shaping eco-innovation orientation. Machine learning further identifies combinational relationships among different drivers.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Peiró-Signes et al. (2022)</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Innovation persistence, drivers, and resilience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resilience capabilities under external shocks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Supervised machine learning, topic analysis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Machine learning identifies key capabilities underlying enterprise and supply-chain resilience under external shocks, including connectivity, transformability, and sharing capability, providing a basis for understanding the formation and enhancement of enterprise resilience under disruptive conditions.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Li et al. (2023)</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Institutional policies and enterprise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Environmental judicial institutions and green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Double machine learning (DML)</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Environmental courts significantly promote enterprise green innovation, primarily through deterrence and warning mechanisms, with heterogeneous effects across different types of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Liang et al. (2024)</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Institutional policies and enterprise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Market orientation, government subsidies, and green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Double machine learning (DML)</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Both customer orientation and competitor orientation significantly promote enterprise green innovation. Government green subsidies exert a positive moderating effect, and the effects differ across enterprise types.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Guo et al. (2026)</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Institutional policies and enterprise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Supply-chain digitalization and green innovation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Quasi-natural experiment, DID</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 xml:space="preserve">Supply-chain digitalization significantly promotes enterprise green innovation through channels including optimization of innovation resources, stronger internal </w:t>
            </w:r>
            <w:r w:rsidRPr="00694719">
              <w:rPr>
                <w:rFonts w:ascii="Times New Roman" w:hAnsi="Times New Roman" w:cs="Times New Roman (正文 CS 字体)"/>
                <w:bCs/>
                <w:snapToGrid w:val="0"/>
                <w:color w:val="000000"/>
                <w:kern w:val="44"/>
                <w:sz w:val="18"/>
                <w:szCs w:val="18"/>
              </w:rPr>
              <w:lastRenderedPageBreak/>
              <w:t>controls, and expansion of external demand, with pronounced heterogeneity across enterprises.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lastRenderedPageBreak/>
              <w:t>Luo et al. (2024)</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prediction models and interpretability analysis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credit-rating prediction and model interpretation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SSA-CatBoost, CatBoost, RF, LightGBM, XGBoost, SVM, LSTM, SHAP</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SSA-CatBoost outperforms multiple benchmark models across several predictive evaluation metrics. SHAP is further used to identify the contributions of enterprise characteristics to credit-rating predictions, thereby improving the interpretability of complex models.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Yang et al. (2025)</w:t>
            </w:r>
          </w:p>
        </w:tc>
      </w:tr>
    </w:tbl>
    <w:p w:rsidR="00694719" w:rsidRPr="00694719" w:rsidRDefault="00694719" w:rsidP="00694719">
      <w:pPr>
        <w:widowControl w:val="0"/>
        <w:jc w:val="both"/>
        <w:rPr>
          <w:rFonts w:ascii="Times New Roman" w:eastAsia="等线" w:hAnsi="Times New Roman" w:cs="Times New Roman"/>
          <w:kern w:val="2"/>
          <w:sz w:val="21"/>
          <w:szCs w:val="22"/>
        </w:rPr>
      </w:pPr>
    </w:p>
    <w:p w:rsidR="00694719" w:rsidRPr="00694719" w:rsidRDefault="00694719" w:rsidP="00694719">
      <w:pPr>
        <w:jc w:val="center"/>
        <w:rPr>
          <w:rFonts w:ascii="Times New Roman" w:hAnsi="Times New Roman" w:cs="Times New Roman (正文 CS 字体)"/>
          <w:bCs/>
          <w:i/>
          <w:snapToGrid w:val="0"/>
          <w:kern w:val="44"/>
          <w:sz w:val="18"/>
          <w:szCs w:val="18"/>
        </w:rPr>
      </w:pPr>
      <w:r w:rsidRPr="00694719">
        <w:rPr>
          <w:rFonts w:ascii="Times New Roman" w:hAnsi="Times New Roman" w:cs="Times New Roman (正文 CS 字体)"/>
          <w:bCs/>
          <w:snapToGrid w:val="0"/>
          <w:kern w:val="44"/>
          <w:sz w:val="18"/>
          <w:szCs w:val="18"/>
        </w:rPr>
        <w:t xml:space="preserve">Supplementary Table S3. Definitions and measurements of </w:t>
      </w:r>
      <w:r w:rsidRPr="00694719">
        <w:rPr>
          <w:rFonts w:ascii="Times New Roman" w:hAnsi="Times New Roman" w:cs="Times New Roman (正文 CS 字体)"/>
          <w:bCs/>
          <w:i/>
          <w:iCs/>
          <w:snapToGrid w:val="0"/>
          <w:kern w:val="44"/>
          <w:sz w:val="18"/>
          <w:szCs w:val="18"/>
        </w:rPr>
        <w:t>EIR</w:t>
      </w:r>
      <w:r w:rsidRPr="00694719">
        <w:rPr>
          <w:rFonts w:ascii="Times New Roman" w:hAnsi="Times New Roman" w:cs="Times New Roman (正文 CS 字体)"/>
          <w:bCs/>
          <w:snapToGrid w:val="0"/>
          <w:kern w:val="44"/>
          <w:sz w:val="18"/>
          <w:szCs w:val="18"/>
          <w:vertAlign w:val="subscript"/>
        </w:rPr>
        <w:t>t+1</w:t>
      </w:r>
      <w:r w:rsidRPr="00694719">
        <w:rPr>
          <w:rFonts w:ascii="Times New Roman" w:hAnsi="Times New Roman" w:cs="Times New Roman (正文 CS 字体)"/>
          <w:bCs/>
          <w:snapToGrid w:val="0"/>
          <w:kern w:val="44"/>
          <w:sz w:val="18"/>
          <w:szCs w:val="18"/>
        </w:rPr>
        <w:t xml:space="preserve"> and multidimensional </w:t>
      </w:r>
      <w:r w:rsidRPr="00694719">
        <w:rPr>
          <w:rFonts w:ascii="Times New Roman" w:hAnsi="Times New Roman" w:cs="Times New Roman (正文 CS 字体)"/>
          <w:bCs/>
          <w:i/>
          <w:iCs/>
          <w:snapToGrid w:val="0"/>
          <w:kern w:val="44"/>
          <w:sz w:val="18"/>
          <w:szCs w:val="18"/>
        </w:rPr>
        <w:t>IE</w:t>
      </w:r>
    </w:p>
    <w:tbl>
      <w:tblPr>
        <w:tblW w:w="0" w:type="auto"/>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175"/>
        <w:gridCol w:w="1779"/>
        <w:gridCol w:w="810"/>
        <w:gridCol w:w="6442"/>
      </w:tblGrid>
      <w:tr w:rsidR="00694719" w:rsidRPr="00694719" w:rsidTr="00C67B5F">
        <w:trPr>
          <w:tblHeade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Category</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Variable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Symbol</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Measurement</w:t>
            </w:r>
          </w:p>
        </w:tc>
      </w:tr>
      <w:tr w:rsidR="00694719" w:rsidRPr="00694719" w:rsidTr="00C67B5F">
        <w:trPr>
          <w:tblCellSpacing w:w="15" w:type="dxa"/>
          <w:jc w:val="center"/>
        </w:trPr>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Target variable</w:t>
            </w:r>
          </w:p>
        </w:tc>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innovation resilience</w:t>
            </w:r>
          </w:p>
        </w:tc>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EIR</w:t>
            </w:r>
            <w:r w:rsidRPr="00694719">
              <w:rPr>
                <w:rFonts w:ascii="Times New Roman" w:hAnsi="Times New Roman" w:cs="Times New Roman (正文 CS 字体)"/>
                <w:bCs/>
                <w:snapToGrid w:val="0"/>
                <w:color w:val="000000"/>
                <w:kern w:val="44"/>
                <w:sz w:val="18"/>
                <w:szCs w:val="18"/>
                <w:vertAlign w:val="subscript"/>
              </w:rPr>
              <w:t>t+1</w:t>
            </w:r>
          </w:p>
        </w:tc>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One-period-ahead deviation of the change in an enterprise’s patent applications from the overall change in patent applications in the city where the enterprise is located</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Regulative elements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Central inspection</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CI</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Dummy variable equal to 1 if the enterprise belongs to a heavily polluting industry, and 0 otherwise</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Environmental governance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RG</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Frequency of green- and environmental-protection-related terms in government work reports × 1,000/total number of words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Ownership type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SOE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Dummy variable equal to 1 for state-owned enterprises and 0 for non-state-owned enterprises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Green subsidies</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GS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ln (1 + amount of low-carbon and environmental-protection-related government subsidies received by the enterprise in the current year)</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Normative</w:t>
            </w:r>
            <w:r w:rsidRPr="00694719">
              <w:rPr>
                <w:rFonts w:ascii="Times New Roman" w:hAnsi="Times New Roman" w:cs="Times New Roman (正文 CS 字体)" w:hint="eastAsia"/>
                <w:bCs/>
                <w:snapToGrid w:val="0"/>
                <w:color w:val="000000"/>
                <w:kern w:val="44"/>
                <w:sz w:val="18"/>
                <w:szCs w:val="18"/>
              </w:rPr>
              <w:t xml:space="preserve"> </w:t>
            </w:r>
            <w:r w:rsidRPr="00694719">
              <w:rPr>
                <w:rFonts w:ascii="Times New Roman" w:hAnsi="Times New Roman" w:cs="Times New Roman (正文 CS 字体)"/>
                <w:bCs/>
                <w:snapToGrid w:val="0"/>
                <w:color w:val="000000"/>
                <w:kern w:val="44"/>
                <w:sz w:val="18"/>
                <w:szCs w:val="18"/>
              </w:rPr>
              <w:t>elements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Media attention</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MA</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ln (1 + total number of media reports)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Public scrutiny</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PS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Measured using the J–F coefficient of public scrutiny; a higher value indicates stronger external public and media scrutiny of the enterprise</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institutional investor shareholding</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INST</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Total shares held by institutional investors/total shares outstanding</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Internal control quality</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IC</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Measured using the DIB Internal Control Index; a higher value indicates better internal control quality</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Cognitive elements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Openness</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OPEN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Total regional imports and exports/regional GDP</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Integrity orientation</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HON</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business credit environment index</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Innovation culture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EIC</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ln (1 + frequency of innovation-culture-related terms in the enterprise’s annual report)</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Green cognition</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EGC</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ln (1 + frequency of green-cognition-related terms in the enterprise’s annual report)</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Control variables</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size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SIZE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ln (total assets)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age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FAGE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Number of years since the enterprise was established</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Leverage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LEV</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Total liabilities/total assets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Tobin’s Q</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TOBINQ</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Enterprise market value/replacement cost of assets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Operating revenue growth rate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GROWTH</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(Operating revenue in the current year − operating revenue in the previous year)/operating revenue in the previous year</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Operating cash flow ratio</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CFO</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Net cash flow from operating activities/total assets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Largest shareholder ownership</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TOP1</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Shares held by the largest shareholder/total shares outstanding</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Board size</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BOARD</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Number of directors on the enterprise’s board</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Employee compensation level</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WAGE</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Cash paid to and on behalf of employees/total number of employees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Capital intensity</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CAPINT</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Net fixed assets/total number of employees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Management fee ratio</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MFR</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Administrative expenses/operating revenue</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Return on assets</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ROA</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Net profit/average total assets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Current ratio</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CR</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Current assets/current liabilities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Cash flow volatility</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CFV</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Rolling standard deviation of cash flow from operating activities</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Inventory turnover ratio</w:t>
            </w:r>
          </w:p>
        </w:tc>
        <w:tc>
          <w:tcPr>
            <w:tcW w:w="0" w:type="auto"/>
            <w:vAlign w:val="center"/>
          </w:tcPr>
          <w:p w:rsidR="00694719" w:rsidRPr="00694719" w:rsidRDefault="00694719" w:rsidP="00694719">
            <w:pPr>
              <w:jc w:val="center"/>
              <w:rPr>
                <w:rFonts w:ascii="Times New Roman" w:hAnsi="Times New Roman" w:cs="Times New Roman (正文 CS 字体)"/>
                <w:bCs/>
                <w:i/>
                <w:snapToGrid w:val="0"/>
                <w:color w:val="000000"/>
                <w:kern w:val="44"/>
                <w:sz w:val="18"/>
                <w:szCs w:val="18"/>
              </w:rPr>
            </w:pPr>
            <w:r w:rsidRPr="00694719">
              <w:rPr>
                <w:rFonts w:ascii="Times New Roman" w:hAnsi="Times New Roman" w:cs="Times New Roman (正文 CS 字体)"/>
                <w:bCs/>
                <w:i/>
                <w:snapToGrid w:val="0"/>
                <w:color w:val="000000"/>
                <w:kern w:val="44"/>
                <w:sz w:val="18"/>
                <w:szCs w:val="18"/>
              </w:rPr>
              <w:t>ITR</w:t>
            </w:r>
          </w:p>
        </w:tc>
        <w:tc>
          <w:tcPr>
            <w:tcW w:w="0" w:type="auto"/>
            <w:vAlign w:val="center"/>
          </w:tcPr>
          <w:p w:rsidR="00694719" w:rsidRPr="00694719" w:rsidRDefault="00694719" w:rsidP="00694719">
            <w:pPr>
              <w:jc w:val="center"/>
              <w:rPr>
                <w:rFonts w:ascii="Times New Roman" w:hAnsi="Times New Roman" w:cs="Times New Roman (正文 CS 字体)"/>
                <w:bCs/>
                <w:snapToGrid w:val="0"/>
                <w:color w:val="000000"/>
                <w:kern w:val="44"/>
                <w:sz w:val="18"/>
                <w:szCs w:val="18"/>
              </w:rPr>
            </w:pPr>
            <w:r w:rsidRPr="00694719">
              <w:rPr>
                <w:rFonts w:ascii="Times New Roman" w:hAnsi="Times New Roman" w:cs="Times New Roman (正文 CS 字体)"/>
                <w:bCs/>
                <w:snapToGrid w:val="0"/>
                <w:color w:val="000000"/>
                <w:kern w:val="44"/>
                <w:sz w:val="18"/>
                <w:szCs w:val="18"/>
              </w:rPr>
              <w:t>Operating costs/average inventory</w:t>
            </w:r>
          </w:p>
        </w:tc>
      </w:tr>
    </w:tbl>
    <w:p w:rsidR="00694719" w:rsidRPr="00694719" w:rsidRDefault="00694719" w:rsidP="00694719">
      <w:pPr>
        <w:widowControl w:val="0"/>
        <w:jc w:val="both"/>
        <w:rPr>
          <w:rFonts w:ascii="Times New Roman" w:eastAsia="等线" w:hAnsi="Times New Roman" w:cs="Times New Roman"/>
          <w:kern w:val="2"/>
          <w:sz w:val="21"/>
          <w:szCs w:val="22"/>
        </w:rPr>
      </w:pPr>
    </w:p>
    <w:p w:rsidR="00694719" w:rsidRPr="00694719" w:rsidRDefault="00694719" w:rsidP="00694719">
      <w:pPr>
        <w:widowControl w:val="0"/>
        <w:ind w:firstLineChars="200" w:firstLine="360"/>
        <w:jc w:val="center"/>
        <w:rPr>
          <w:rFonts w:ascii="Times New Roman" w:hAnsi="Times New Roman" w:cs="Times New Roman"/>
          <w:snapToGrid w:val="0"/>
          <w:color w:val="FF0000"/>
          <w:kern w:val="44"/>
          <w:sz w:val="18"/>
          <w:szCs w:val="18"/>
        </w:rPr>
      </w:pPr>
      <w:r w:rsidRPr="00694719">
        <w:rPr>
          <w:rFonts w:ascii="Times New Roman" w:hAnsi="Times New Roman" w:cs="Times New Roman"/>
          <w:bCs/>
          <w:snapToGrid w:val="0"/>
          <w:color w:val="000000"/>
          <w:kern w:val="44"/>
          <w:sz w:val="18"/>
          <w:szCs w:val="18"/>
        </w:rPr>
        <w:t>Supplementary Table S4. Descriptive statistics</w:t>
      </w:r>
    </w:p>
    <w:tbl>
      <w:tblPr>
        <w:tblW w:w="10065" w:type="dxa"/>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620"/>
        <w:gridCol w:w="1240"/>
        <w:gridCol w:w="1241"/>
        <w:gridCol w:w="1241"/>
        <w:gridCol w:w="1241"/>
        <w:gridCol w:w="1241"/>
        <w:gridCol w:w="1241"/>
      </w:tblGrid>
      <w:tr w:rsidR="00694719" w:rsidRPr="00694719" w:rsidTr="00C67B5F">
        <w:trPr>
          <w:tblHeade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lastRenderedPageBreak/>
              <w:t>Category</w:t>
            </w: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Symbol</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Count</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Mean</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Std</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Min</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Max</w:t>
            </w:r>
          </w:p>
        </w:tc>
      </w:tr>
      <w:tr w:rsidR="00694719" w:rsidRPr="00694719" w:rsidTr="00C67B5F">
        <w:trPr>
          <w:tblCellSpacing w:w="15" w:type="dxa"/>
          <w:jc w:val="center"/>
        </w:trPr>
        <w:tc>
          <w:tcPr>
            <w:tcW w:w="0" w:type="auto"/>
            <w:tcBorders>
              <w:top w:val="single" w:sz="6" w:space="0" w:color="auto"/>
              <w:bottom w:val="nil"/>
            </w:tcBorders>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Target variable</w:t>
            </w:r>
          </w:p>
        </w:tc>
        <w:tc>
          <w:tcPr>
            <w:tcW w:w="1210" w:type="dxa"/>
            <w:tcBorders>
              <w:top w:val="single" w:sz="6" w:space="0" w:color="auto"/>
              <w:bottom w:val="nil"/>
            </w:tcBorders>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snapToGrid w:val="0"/>
                <w:color w:val="000000"/>
                <w:kern w:val="44"/>
                <w:sz w:val="18"/>
                <w:szCs w:val="18"/>
              </w:rPr>
              <w:t>EIR</w:t>
            </w:r>
            <w:r w:rsidRPr="00694719">
              <w:rPr>
                <w:rFonts w:ascii="Times New Roman" w:hAnsi="Times New Roman" w:cs="Times New Roman" w:hint="eastAsia"/>
                <w:bCs/>
                <w:iCs/>
                <w:snapToGrid w:val="0"/>
                <w:color w:val="000000"/>
                <w:kern w:val="44"/>
                <w:sz w:val="18"/>
                <w:szCs w:val="18"/>
                <w:vertAlign w:val="subscript"/>
              </w:rPr>
              <w:t>t</w:t>
            </w:r>
            <w:r w:rsidRPr="00694719">
              <w:rPr>
                <w:rFonts w:ascii="Times New Roman" w:hAnsi="Times New Roman" w:cs="Times New Roman"/>
                <w:bCs/>
                <w:iCs/>
                <w:snapToGrid w:val="0"/>
                <w:color w:val="000000"/>
                <w:kern w:val="44"/>
                <w:sz w:val="18"/>
                <w:szCs w:val="18"/>
                <w:vertAlign w:val="subscript"/>
              </w:rPr>
              <w:t>+1</w:t>
            </w:r>
          </w:p>
        </w:tc>
        <w:tc>
          <w:tcPr>
            <w:tcW w:w="1211" w:type="dxa"/>
            <w:tcBorders>
              <w:top w:val="single" w:sz="6" w:space="0" w:color="auto"/>
              <w:bottom w:val="nil"/>
            </w:tcBorders>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tcBorders>
              <w:top w:val="single" w:sz="6" w:space="0" w:color="auto"/>
              <w:bottom w:val="nil"/>
            </w:tcBorders>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3.5681 </w:t>
            </w:r>
          </w:p>
        </w:tc>
        <w:tc>
          <w:tcPr>
            <w:tcW w:w="1211" w:type="dxa"/>
            <w:tcBorders>
              <w:top w:val="single" w:sz="6" w:space="0" w:color="auto"/>
              <w:bottom w:val="nil"/>
            </w:tcBorders>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25.2072 </w:t>
            </w:r>
          </w:p>
        </w:tc>
        <w:tc>
          <w:tcPr>
            <w:tcW w:w="1211" w:type="dxa"/>
            <w:tcBorders>
              <w:top w:val="single" w:sz="6" w:space="0" w:color="auto"/>
              <w:bottom w:val="nil"/>
            </w:tcBorders>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-55.2583 </w:t>
            </w:r>
          </w:p>
        </w:tc>
        <w:tc>
          <w:tcPr>
            <w:tcW w:w="1196" w:type="dxa"/>
            <w:tcBorders>
              <w:top w:val="single" w:sz="6" w:space="0" w:color="auto"/>
              <w:bottom w:val="nil"/>
            </w:tcBorders>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201.2526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Regulative elements</w:t>
            </w: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CI</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0.3703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0.4829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1.0000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RG</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179.3670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51.7122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32.0000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320.0000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SOE</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0.3956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0.4890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1.0000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GS</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4.6616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6.4634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17.0489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Normative elements</w:t>
            </w: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MA</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5.0369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1.2824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8.0813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PS</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0.1672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0.2259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-0.4896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0.7243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INST</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45.2244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23.5239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0.4309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90.3792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IC</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6.4767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0.1474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5.6715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6.7602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Cognitive elements</w:t>
            </w: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OPEN</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0.4432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0.4435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0.0083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2.1850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HON</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0.0133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0.1061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-0.2962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0.3162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EIC</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4.2747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0.9509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1.6094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6.1262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EGC</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1.0048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0.8930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3.1355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snapToGrid w:val="0"/>
                <w:color w:val="000000"/>
                <w:kern w:val="44"/>
                <w:sz w:val="18"/>
                <w:szCs w:val="18"/>
              </w:rPr>
              <w:t>Control variables</w:t>
            </w: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SIZE</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22.1641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1.2776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19.3126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25.8730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FAGE</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11.6816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7.8764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30.0000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LEV</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0.4490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0.2039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0.0611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0.9439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TOBINQ</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1.9399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1.2397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0.8285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8.5235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GROWTH</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0.1448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0.4239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-0.6295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2.7818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CFO</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0.0510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0.0752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-0.1842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0.2614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TOP1</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0.3432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0.1431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0.0910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0.7264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BOARD</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8.6243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1.5890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5.0000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14.0000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WAGE</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15.2155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0.8157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13.0584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17.2529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CAPINT</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2.4819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2.6190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0.3300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19.2180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MFR</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0.0816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0.0724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0.0066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0.5154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ROA</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0.0404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0.0651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-0.2370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0.2289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CR</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2.1459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2.0781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0.2977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13.6250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CFV</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0.0474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0.0402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0.0030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0.2307 </w:t>
            </w:r>
          </w:p>
        </w:tc>
      </w:tr>
      <w:tr w:rsidR="00694719" w:rsidRPr="00694719" w:rsidTr="00C67B5F">
        <w:trPr>
          <w:tblCellSpacing w:w="15" w:type="dxa"/>
          <w:jc w:val="center"/>
        </w:trPr>
        <w:tc>
          <w:tcPr>
            <w:tcW w:w="0" w:type="auto"/>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p>
        </w:tc>
        <w:tc>
          <w:tcPr>
            <w:tcW w:w="1210"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bCs/>
                <w:i/>
                <w:iCs/>
                <w:snapToGrid w:val="0"/>
                <w:color w:val="000000"/>
                <w:kern w:val="44"/>
                <w:sz w:val="18"/>
                <w:szCs w:val="18"/>
              </w:rPr>
              <w:t>ITR</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14854</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14.1131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51.4608 </w:t>
            </w:r>
          </w:p>
        </w:tc>
        <w:tc>
          <w:tcPr>
            <w:tcW w:w="1211"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0.1148 </w:t>
            </w:r>
          </w:p>
        </w:tc>
        <w:tc>
          <w:tcPr>
            <w:tcW w:w="1196" w:type="dxa"/>
            <w:vAlign w:val="center"/>
          </w:tcPr>
          <w:p w:rsidR="00694719" w:rsidRPr="00694719" w:rsidRDefault="00694719" w:rsidP="00694719">
            <w:pPr>
              <w:jc w:val="center"/>
              <w:rPr>
                <w:rFonts w:ascii="Times New Roman" w:hAnsi="Times New Roman" w:cs="Times New Roman"/>
                <w:bCs/>
                <w:snapToGrid w:val="0"/>
                <w:color w:val="000000"/>
                <w:kern w:val="44"/>
                <w:sz w:val="18"/>
                <w:szCs w:val="18"/>
              </w:rPr>
            </w:pPr>
            <w:r w:rsidRPr="00694719">
              <w:rPr>
                <w:rFonts w:ascii="Times New Roman" w:hAnsi="Times New Roman" w:cs="Times New Roman" w:hint="eastAsia"/>
                <w:bCs/>
                <w:snapToGrid w:val="0"/>
                <w:color w:val="000000"/>
                <w:kern w:val="44"/>
                <w:sz w:val="18"/>
                <w:szCs w:val="18"/>
              </w:rPr>
              <w:t xml:space="preserve">461.0472 </w:t>
            </w:r>
          </w:p>
        </w:tc>
      </w:tr>
    </w:tbl>
    <w:p w:rsidR="00694719" w:rsidRPr="00694719" w:rsidRDefault="00694719" w:rsidP="00694719">
      <w:pPr>
        <w:jc w:val="both"/>
        <w:outlineLvl w:val="1"/>
        <w:rPr>
          <w:rFonts w:ascii="Times New Roman" w:hAnsi="Times New Roman" w:cs="Times New Roman (正文 CS 字体)"/>
          <w:b/>
          <w:bCs/>
          <w:snapToGrid w:val="0"/>
          <w:color w:val="000000"/>
          <w:kern w:val="44"/>
          <w:sz w:val="21"/>
          <w:szCs w:val="44"/>
          <w:vertAlign w:val="subscript"/>
        </w:rPr>
      </w:pPr>
      <w:r w:rsidRPr="00694719">
        <w:rPr>
          <w:rFonts w:ascii="Times New Roman" w:hAnsi="Times New Roman" w:cs="Times New Roman (正文 CS 字体)"/>
          <w:b/>
          <w:bCs/>
          <w:snapToGrid w:val="0"/>
          <w:color w:val="000000"/>
          <w:kern w:val="44"/>
          <w:sz w:val="21"/>
          <w:szCs w:val="44"/>
        </w:rPr>
        <w:t xml:space="preserve">CatBoost-based model for predicting </w:t>
      </w:r>
      <w:r w:rsidRPr="00694719">
        <w:rPr>
          <w:rFonts w:ascii="Times New Roman" w:hAnsi="Times New Roman" w:cs="Times New Roman (正文 CS 字体)"/>
          <w:b/>
          <w:bCs/>
          <w:i/>
          <w:snapToGrid w:val="0"/>
          <w:color w:val="000000"/>
          <w:kern w:val="44"/>
          <w:sz w:val="21"/>
          <w:szCs w:val="44"/>
        </w:rPr>
        <w:t>EIR</w:t>
      </w:r>
      <w:r w:rsidRPr="00694719">
        <w:rPr>
          <w:rFonts w:ascii="Times New Roman" w:hAnsi="Times New Roman" w:cs="Times New Roman (正文 CS 字体)" w:hint="eastAsia"/>
          <w:b/>
          <w:bCs/>
          <w:snapToGrid w:val="0"/>
          <w:color w:val="000000"/>
          <w:kern w:val="44"/>
          <w:sz w:val="21"/>
          <w:szCs w:val="44"/>
          <w:vertAlign w:val="subscript"/>
        </w:rPr>
        <w:t>t</w:t>
      </w:r>
      <w:r w:rsidRPr="00694719">
        <w:rPr>
          <w:rFonts w:ascii="Times New Roman" w:hAnsi="Times New Roman" w:cs="Times New Roman (正文 CS 字体)"/>
          <w:b/>
          <w:bCs/>
          <w:snapToGrid w:val="0"/>
          <w:color w:val="000000"/>
          <w:kern w:val="44"/>
          <w:sz w:val="21"/>
          <w:szCs w:val="44"/>
          <w:vertAlign w:val="subscript"/>
        </w:rPr>
        <w:t>+1</w:t>
      </w:r>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CatBoost is a machine-learning algorithm based on gradient boosting decision trees (GBDT) and is well suited to handling categorical features, capturing nonlinear relationships, and mitigating model overfitting. Compared with conventional GBDT, CatBoost improves the model-training process through Ordered Boosting and a dedicated categorical-feature processing mechanism, thereby reducing the risks of target leakage and prediction shift and enhancing out-of-sample generalizability (Bentéjac et al., 2021). Given that </w:t>
      </w:r>
      <w:r w:rsidRPr="00694719">
        <w:rPr>
          <w:rFonts w:ascii="Times New Roman" w:hAnsi="Times New Roman" w:cs="Times New Roman (正文 CS 字体)"/>
          <w:bCs/>
          <w:i/>
          <w:iCs/>
          <w:snapToGrid w:val="0"/>
          <w:color w:val="000000"/>
          <w:kern w:val="44"/>
          <w:sz w:val="21"/>
          <w:szCs w:val="44"/>
        </w:rPr>
        <w:t>EIR</w:t>
      </w:r>
      <w:r w:rsidRPr="00694719">
        <w:rPr>
          <w:rFonts w:ascii="Times New Roman" w:hAnsi="Times New Roman" w:cs="Times New Roman (正文 CS 字体)" w:hint="eastAsia"/>
          <w:bCs/>
          <w:snapToGrid w:val="0"/>
          <w:color w:val="000000"/>
          <w:kern w:val="44"/>
          <w:sz w:val="21"/>
          <w:szCs w:val="44"/>
          <w:vertAlign w:val="subscript"/>
        </w:rPr>
        <w:t>t</w:t>
      </w:r>
      <w:r w:rsidRPr="00694719">
        <w:rPr>
          <w:rFonts w:ascii="Times New Roman" w:hAnsi="Times New Roman" w:cs="Times New Roman (正文 CS 字体)"/>
          <w:bCs/>
          <w:snapToGrid w:val="0"/>
          <w:color w:val="000000"/>
          <w:kern w:val="44"/>
          <w:sz w:val="21"/>
          <w:szCs w:val="44"/>
          <w:vertAlign w:val="subscript"/>
        </w:rPr>
        <w:t>+1</w:t>
      </w:r>
      <w:r w:rsidRPr="00694719">
        <w:rPr>
          <w:rFonts w:ascii="Times New Roman" w:hAnsi="Times New Roman" w:cs="Times New Roman (正文 CS 字体)"/>
          <w:bCs/>
          <w:snapToGrid w:val="0"/>
          <w:color w:val="000000"/>
          <w:kern w:val="44"/>
          <w:sz w:val="21"/>
          <w:szCs w:val="44"/>
        </w:rPr>
        <w:t xml:space="preserve"> may be influenced by nonlinearities and interactions among multidimensional </w:t>
      </w:r>
      <w:r w:rsidRPr="00694719">
        <w:rPr>
          <w:rFonts w:ascii="Times New Roman" w:hAnsi="Times New Roman" w:cs="Times New Roman (正文 CS 字体)"/>
          <w:bCs/>
          <w:i/>
          <w:iCs/>
          <w:snapToGrid w:val="0"/>
          <w:color w:val="000000"/>
          <w:kern w:val="44"/>
          <w:sz w:val="21"/>
          <w:szCs w:val="44"/>
        </w:rPr>
        <w:t>IE</w:t>
      </w:r>
      <w:r w:rsidRPr="00694719">
        <w:rPr>
          <w:rFonts w:ascii="Times New Roman" w:hAnsi="Times New Roman" w:cs="Times New Roman (正文 CS 字体)"/>
          <w:bCs/>
          <w:snapToGrid w:val="0"/>
          <w:color w:val="000000"/>
          <w:kern w:val="44"/>
          <w:sz w:val="21"/>
          <w:szCs w:val="44"/>
        </w:rPr>
        <w:t xml:space="preserve"> and enterprise characteristics, this study employs CatBoost to construct a prediction model for </w:t>
      </w:r>
      <w:r w:rsidRPr="00694719">
        <w:rPr>
          <w:rFonts w:ascii="Times New Roman" w:hAnsi="Times New Roman" w:cs="Times New Roman (正文 CS 字体)"/>
          <w:bCs/>
          <w:i/>
          <w:iCs/>
          <w:snapToGrid w:val="0"/>
          <w:color w:val="000000"/>
          <w:kern w:val="44"/>
          <w:sz w:val="21"/>
          <w:szCs w:val="44"/>
        </w:rPr>
        <w:t>EIR</w:t>
      </w:r>
      <w:r w:rsidRPr="00694719">
        <w:rPr>
          <w:rFonts w:ascii="Times New Roman" w:hAnsi="Times New Roman" w:cs="Times New Roman (正文 CS 字体)" w:hint="eastAsia"/>
          <w:bCs/>
          <w:snapToGrid w:val="0"/>
          <w:color w:val="000000"/>
          <w:kern w:val="44"/>
          <w:sz w:val="21"/>
          <w:szCs w:val="44"/>
          <w:vertAlign w:val="subscript"/>
        </w:rPr>
        <w:t>t</w:t>
      </w:r>
      <w:r w:rsidRPr="00694719">
        <w:rPr>
          <w:rFonts w:ascii="Times New Roman" w:hAnsi="Times New Roman" w:cs="Times New Roman (正文 CS 字体)"/>
          <w:bCs/>
          <w:snapToGrid w:val="0"/>
          <w:color w:val="000000"/>
          <w:kern w:val="44"/>
          <w:sz w:val="21"/>
          <w:szCs w:val="44"/>
          <w:vertAlign w:val="subscript"/>
        </w:rPr>
        <w:t>+1</w:t>
      </w:r>
      <w:r w:rsidRPr="00694719">
        <w:rPr>
          <w:rFonts w:ascii="Times New Roman" w:hAnsi="Times New Roman" w:cs="Times New Roman (正文 CS 字体)"/>
          <w:bCs/>
          <w:snapToGrid w:val="0"/>
          <w:color w:val="000000"/>
          <w:kern w:val="44"/>
          <w:sz w:val="21"/>
          <w:szCs w:val="44"/>
        </w:rPr>
        <w:t xml:space="preserve">. Let the observed sample set be </w:t>
      </w:r>
      <m:oMath>
        <m:r>
          <w:rPr>
            <w:rFonts w:ascii="Cambria Math" w:hAnsi="Cambria Math" w:cs="Times New Roman (正文 CS 字体)" w:hint="eastAsia"/>
            <w:snapToGrid w:val="0"/>
            <w:color w:val="000000"/>
            <w:kern w:val="44"/>
            <w:sz w:val="21"/>
            <w:szCs w:val="44"/>
          </w:rPr>
          <m:t>S</m:t>
        </m:r>
        <m:r>
          <w:rPr>
            <w:rFonts w:ascii="Cambria Math" w:hAnsi="Cambria Math" w:cs="Times New Roman (正文 CS 字体)"/>
            <w:snapToGrid w:val="0"/>
            <w:color w:val="000000"/>
            <w:kern w:val="44"/>
            <w:sz w:val="21"/>
            <w:szCs w:val="44"/>
          </w:rPr>
          <m:t>=</m:t>
        </m:r>
        <m:d>
          <m:dPr>
            <m:begChr m:val="{"/>
            <m:endChr m:val="}"/>
            <m:ctrlPr>
              <w:rPr>
                <w:rFonts w:ascii="Cambria Math" w:hAnsi="Cambria Math" w:cs="Times New Roman (正文 CS 字体)"/>
                <w:bCs/>
                <w:i/>
                <w:snapToGrid w:val="0"/>
                <w:color w:val="000000"/>
                <w:kern w:val="44"/>
                <w:sz w:val="21"/>
                <w:szCs w:val="44"/>
              </w:rPr>
            </m:ctrlPr>
          </m:dPr>
          <m:e>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snapToGrid w:val="0"/>
                        <w:color w:val="000000"/>
                        <w:kern w:val="44"/>
                        <w:sz w:val="21"/>
                        <w:szCs w:val="44"/>
                      </w:rPr>
                      <m:t>1</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Y</m:t>
                    </m:r>
                  </m:e>
                  <m:sub>
                    <m:r>
                      <w:rPr>
                        <w:rFonts w:ascii="Cambria Math" w:hAnsi="Cambria Math" w:cs="Times New Roman (正文 CS 字体)"/>
                        <w:snapToGrid w:val="0"/>
                        <w:color w:val="000000"/>
                        <w:kern w:val="44"/>
                        <w:sz w:val="21"/>
                        <w:szCs w:val="44"/>
                      </w:rPr>
                      <m:t>1</m:t>
                    </m:r>
                  </m:sub>
                </m:sSub>
              </m:e>
            </m:d>
            <m:r>
              <w:rPr>
                <w:rFonts w:ascii="Cambria Math" w:hAnsi="Cambria Math" w:cs="Times New Roman (正文 CS 字体)"/>
                <w:snapToGrid w:val="0"/>
                <w:color w:val="000000"/>
                <w:kern w:val="44"/>
                <w:sz w:val="21"/>
                <w:szCs w:val="44"/>
              </w:rPr>
              <m:t>,</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snapToGrid w:val="0"/>
                        <w:color w:val="000000"/>
                        <w:kern w:val="44"/>
                        <w:sz w:val="21"/>
                        <w:szCs w:val="44"/>
                      </w:rPr>
                      <m:t>2</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Y</m:t>
                    </m:r>
                  </m:e>
                  <m:sub>
                    <m:r>
                      <w:rPr>
                        <w:rFonts w:ascii="Cambria Math" w:hAnsi="Cambria Math" w:cs="Times New Roman (正文 CS 字体)"/>
                        <w:snapToGrid w:val="0"/>
                        <w:color w:val="000000"/>
                        <w:kern w:val="44"/>
                        <w:sz w:val="21"/>
                        <w:szCs w:val="44"/>
                      </w:rPr>
                      <m:t>2</m:t>
                    </m:r>
                  </m:sub>
                </m:sSub>
              </m:e>
            </m:d>
            <m:r>
              <w:rPr>
                <w:rFonts w:ascii="Cambria Math" w:hAnsi="Cambria Math" w:cs="Times New Roman (正文 CS 字体)"/>
                <w:snapToGrid w:val="0"/>
                <w:color w:val="000000"/>
                <w:kern w:val="44"/>
                <w:sz w:val="21"/>
                <w:szCs w:val="44"/>
              </w:rPr>
              <m:t>,…,</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Y</m:t>
                    </m:r>
                  </m:e>
                  <m:sub>
                    <m:r>
                      <w:rPr>
                        <w:rFonts w:ascii="Cambria Math" w:hAnsi="Cambria Math" w:cs="Times New Roman (正文 CS 字体)"/>
                        <w:snapToGrid w:val="0"/>
                        <w:color w:val="000000"/>
                        <w:kern w:val="44"/>
                        <w:sz w:val="21"/>
                        <w:szCs w:val="44"/>
                      </w:rPr>
                      <m:t>n</m:t>
                    </m:r>
                  </m:sub>
                </m:sSub>
              </m:e>
            </m:d>
          </m:e>
        </m:d>
      </m:oMath>
      <w:r w:rsidRPr="00694719">
        <w:rPr>
          <w:rFonts w:ascii="Times New Roman" w:hAnsi="Times New Roman" w:cs="Times New Roman (正文 CS 字体)"/>
          <w:bCs/>
          <w:snapToGrid w:val="0"/>
          <w:color w:val="000000"/>
          <w:kern w:val="44"/>
          <w:sz w:val="21"/>
          <w:szCs w:val="44"/>
        </w:rPr>
        <w:t xml:space="preserve">, where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i</m:t>
            </m:r>
          </m:sub>
        </m:sSub>
        <m:r>
          <m:rPr>
            <m:sty m:val="p"/>
          </m:rPr>
          <w:rPr>
            <w:rFonts w:ascii="Cambria Math" w:hAnsi="Cambria Math" w:cs="Times New Roman (正文 CS 字体)"/>
            <w:snapToGrid w:val="0"/>
            <w:color w:val="000000"/>
            <w:kern w:val="44"/>
            <w:sz w:val="21"/>
            <w:szCs w:val="44"/>
          </w:rPr>
          <m:t>=</m:t>
        </m:r>
        <m:d>
          <m:dPr>
            <m:ctrlPr>
              <w:rPr>
                <w:rFonts w:ascii="Cambria Math" w:hAnsi="Cambria Math" w:cs="Times New Roman (正文 CS 字体)"/>
                <w:bCs/>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i</m:t>
                </m:r>
                <m:r>
                  <w:rPr>
                    <w:rFonts w:ascii="Cambria Math" w:hAnsi="Cambria Math" w:cs="Times New Roman (正文 CS 字体)"/>
                    <w:snapToGrid w:val="0"/>
                    <w:color w:val="000000"/>
                    <w:kern w:val="44"/>
                    <w:sz w:val="21"/>
                    <w:szCs w:val="44"/>
                  </w:rPr>
                  <m:t>1</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i</m:t>
                </m:r>
                <m:r>
                  <w:rPr>
                    <w:rFonts w:ascii="Cambria Math" w:hAnsi="Cambria Math" w:cs="Times New Roman (正文 CS 字体)"/>
                    <w:snapToGrid w:val="0"/>
                    <w:color w:val="000000"/>
                    <w:kern w:val="44"/>
                    <w:sz w:val="21"/>
                    <w:szCs w:val="44"/>
                  </w:rPr>
                  <m:t>2</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im</m:t>
                </m:r>
              </m:sub>
            </m:sSub>
          </m:e>
        </m:d>
      </m:oMath>
      <w:r w:rsidRPr="00694719">
        <w:rPr>
          <w:rFonts w:ascii="Times New Roman" w:hAnsi="Times New Roman" w:cs="Times New Roman (正文 CS 字体)"/>
          <w:bCs/>
          <w:snapToGrid w:val="0"/>
          <w:color w:val="000000"/>
          <w:kern w:val="44"/>
          <w:sz w:val="21"/>
          <w:szCs w:val="44"/>
        </w:rPr>
        <w:t xml:space="preserve"> denotes the </w:t>
      </w:r>
      <w:r w:rsidRPr="00694719">
        <w:rPr>
          <w:rFonts w:ascii="Times New Roman" w:hAnsi="Times New Roman" w:cs="Times New Roman (正文 CS 字体)"/>
          <w:bCs/>
          <w:i/>
          <w:iCs/>
          <w:snapToGrid w:val="0"/>
          <w:color w:val="000000"/>
          <w:kern w:val="44"/>
          <w:sz w:val="21"/>
          <w:szCs w:val="44"/>
        </w:rPr>
        <w:t>m</w:t>
      </w:r>
      <w:r w:rsidRPr="00694719">
        <w:rPr>
          <w:rFonts w:ascii="Times New Roman" w:hAnsi="Times New Roman" w:cs="Times New Roman (正文 CS 字体)"/>
          <w:bCs/>
          <w:snapToGrid w:val="0"/>
          <w:color w:val="000000"/>
          <w:kern w:val="44"/>
          <w:sz w:val="21"/>
          <w:szCs w:val="44"/>
        </w:rPr>
        <w:t xml:space="preserve">-dimensional feature vector for enterprise </w:t>
      </w:r>
      <w:r w:rsidRPr="00694719">
        <w:rPr>
          <w:rFonts w:ascii="Times New Roman" w:hAnsi="Times New Roman" w:cs="Times New Roman (正文 CS 字体)"/>
          <w:bCs/>
          <w:i/>
          <w:iCs/>
          <w:snapToGrid w:val="0"/>
          <w:color w:val="000000"/>
          <w:kern w:val="44"/>
          <w:sz w:val="21"/>
          <w:szCs w:val="44"/>
        </w:rPr>
        <w:t>i</w:t>
      </w:r>
      <w:r w:rsidRPr="00694719">
        <w:rPr>
          <w:rFonts w:ascii="Times New Roman" w:hAnsi="Times New Roman" w:cs="Times New Roman (正文 CS 字体)"/>
          <w:bCs/>
          <w:snapToGrid w:val="0"/>
          <w:color w:val="000000"/>
          <w:kern w:val="44"/>
          <w:sz w:val="21"/>
          <w:szCs w:val="44"/>
        </w:rPr>
        <w:t xml:space="preserve">, consisting primarily of regulative, normative, and cognitive institutional elements and control variables, and </w:t>
      </w:r>
      <m:oMath>
        <m:sSub>
          <m:sSubPr>
            <m:ctrlPr>
              <w:rPr>
                <w:rFonts w:ascii="Cambria Math" w:hAnsi="Cambria Math" w:cs="Times New Roman (正文 CS 字体)"/>
                <w:bCs/>
                <w:snapToGrid w:val="0"/>
                <w:kern w:val="44"/>
                <w:sz w:val="21"/>
                <w:szCs w:val="44"/>
              </w:rPr>
            </m:ctrlPr>
          </m:sSubPr>
          <m:e>
            <m:r>
              <w:rPr>
                <w:rFonts w:ascii="Cambria Math" w:hAnsi="Cambria Math" w:cs="Times New Roman (正文 CS 字体)" w:hint="eastAsia"/>
                <w:snapToGrid w:val="0"/>
                <w:kern w:val="44"/>
                <w:sz w:val="21"/>
                <w:szCs w:val="44"/>
              </w:rPr>
              <m:t>Y</m:t>
            </m:r>
          </m:e>
          <m:sub>
            <m:r>
              <w:rPr>
                <w:rFonts w:ascii="Cambria Math" w:hAnsi="Cambria Math" w:cs="Times New Roman (正文 CS 字体)" w:hint="eastAsia"/>
                <w:snapToGrid w:val="0"/>
                <w:kern w:val="44"/>
                <w:sz w:val="21"/>
                <w:szCs w:val="44"/>
              </w:rPr>
              <m:t>i</m:t>
            </m:r>
          </m:sub>
        </m:sSub>
      </m:oMath>
      <w:r w:rsidRPr="00694719">
        <w:rPr>
          <w:rFonts w:ascii="Times New Roman" w:hAnsi="Times New Roman" w:cs="Times New Roman (正文 CS 字体)"/>
          <w:bCs/>
          <w:snapToGrid w:val="0"/>
          <w:color w:val="000000"/>
          <w:kern w:val="44"/>
          <w:sz w:val="21"/>
          <w:szCs w:val="44"/>
        </w:rPr>
        <w:t xml:space="preserve"> denotes the target value of </w:t>
      </w:r>
      <w:r w:rsidRPr="00694719">
        <w:rPr>
          <w:rFonts w:ascii="Times New Roman" w:hAnsi="Times New Roman" w:cs="Times New Roman (正文 CS 字体)"/>
          <w:bCs/>
          <w:i/>
          <w:iCs/>
          <w:snapToGrid w:val="0"/>
          <w:color w:val="000000"/>
          <w:kern w:val="44"/>
          <w:sz w:val="21"/>
          <w:szCs w:val="44"/>
        </w:rPr>
        <w:t>EIR</w:t>
      </w:r>
      <w:r w:rsidRPr="00694719">
        <w:rPr>
          <w:rFonts w:ascii="Times New Roman" w:hAnsi="Times New Roman" w:cs="Times New Roman (正文 CS 字体)"/>
          <w:bCs/>
          <w:snapToGrid w:val="0"/>
          <w:color w:val="000000"/>
          <w:kern w:val="44"/>
          <w:sz w:val="21"/>
          <w:szCs w:val="44"/>
          <w:vertAlign w:val="subscript"/>
        </w:rPr>
        <w:t>t+1</w:t>
      </w:r>
      <w:r w:rsidRPr="00694719">
        <w:rPr>
          <w:rFonts w:ascii="Times New Roman" w:hAnsi="Times New Roman" w:cs="Times New Roman (正文 CS 字体)"/>
          <w:bCs/>
          <w:snapToGrid w:val="0"/>
          <w:color w:val="000000"/>
          <w:kern w:val="44"/>
          <w:sz w:val="21"/>
          <w:szCs w:val="44"/>
        </w:rPr>
        <w:t xml:space="preserve"> for the </w:t>
      </w:r>
      <w:r w:rsidRPr="00694719">
        <w:rPr>
          <w:rFonts w:ascii="Times New Roman" w:hAnsi="Times New Roman" w:cs="Times New Roman (正文 CS 字体)"/>
          <w:bCs/>
          <w:i/>
          <w:iCs/>
          <w:snapToGrid w:val="0"/>
          <w:color w:val="000000"/>
          <w:kern w:val="44"/>
          <w:sz w:val="21"/>
          <w:szCs w:val="44"/>
        </w:rPr>
        <w:t>i</w:t>
      </w:r>
      <w:r w:rsidRPr="00694719">
        <w:rPr>
          <w:rFonts w:ascii="Times New Roman" w:hAnsi="Times New Roman" w:cs="Times New Roman (正文 CS 字体)"/>
          <w:bCs/>
          <w:snapToGrid w:val="0"/>
          <w:color w:val="000000"/>
          <w:kern w:val="44"/>
          <w:sz w:val="21"/>
          <w:szCs w:val="44"/>
        </w:rPr>
        <w:t xml:space="preserve">th sample. For a categorical feature </w:t>
      </w:r>
      <m:oMath>
        <m:sSub>
          <m:sSubPr>
            <m:ctrlPr>
              <w:rPr>
                <w:rFonts w:ascii="Cambria Math" w:hAnsi="Cambria Math" w:cs="Times New Roman (正文 CS 字体)"/>
                <w:bCs/>
                <w:snapToGrid w:val="0"/>
                <w:kern w:val="44"/>
                <w:sz w:val="21"/>
                <w:szCs w:val="44"/>
              </w:rPr>
            </m:ctrlPr>
          </m:sSubPr>
          <m:e>
            <m:r>
              <w:rPr>
                <w:rFonts w:ascii="Cambria Math" w:hAnsi="Cambria Math" w:cs="Times New Roman (正文 CS 字体)" w:hint="eastAsia"/>
                <w:snapToGrid w:val="0"/>
                <w:kern w:val="44"/>
                <w:sz w:val="21"/>
                <w:szCs w:val="44"/>
              </w:rPr>
              <m:t>X</m:t>
            </m:r>
          </m:e>
          <m:sub>
            <m:r>
              <w:rPr>
                <w:rFonts w:ascii="Cambria Math" w:hAnsi="Cambria Math" w:cs="Times New Roman (正文 CS 字体)" w:hint="eastAsia"/>
                <w:snapToGrid w:val="0"/>
                <w:kern w:val="44"/>
                <w:sz w:val="21"/>
                <w:szCs w:val="44"/>
              </w:rPr>
              <m:t>k</m:t>
            </m:r>
          </m:sub>
        </m:sSub>
      </m:oMath>
      <w:r w:rsidRPr="00694719">
        <w:rPr>
          <w:rFonts w:ascii="Times New Roman" w:hAnsi="Times New Roman" w:cs="Times New Roman (正文 CS 字体)"/>
          <w:bCs/>
          <w:snapToGrid w:val="0"/>
          <w:color w:val="000000"/>
          <w:kern w:val="44"/>
          <w:sz w:val="21"/>
          <w:szCs w:val="44"/>
        </w:rPr>
        <w:t>, CatBoost employs target-statistics-based encoding to transform categorical information into numerical features. To illustrate the basic logic of this encoding procedure, a simplified form of the target statistic is presented in Eq. (4).</w:t>
      </w:r>
    </w:p>
    <w:p w:rsidR="00694719" w:rsidRPr="00694719" w:rsidRDefault="00190974" w:rsidP="00694719">
      <w:pPr>
        <w:ind w:firstLineChars="200" w:firstLine="420"/>
        <w:jc w:val="both"/>
        <w:rPr>
          <w:rFonts w:ascii="Times New Roman" w:hAnsi="Times New Roman"/>
          <w:bCs/>
          <w:snapToGrid w:val="0"/>
          <w:color w:val="000000"/>
          <w:kern w:val="44"/>
          <w:sz w:val="21"/>
          <w:szCs w:val="44"/>
        </w:rPr>
      </w:pPr>
      <m:oMathPara>
        <m:oMathParaPr>
          <m:jc m:val="center"/>
        </m:oMathParaPr>
        <m:oMath>
          <m:sSub>
            <m:sSubPr>
              <m:ctrlPr>
                <w:rPr>
                  <w:rFonts w:ascii="Cambria Math" w:hAnsi="Cambria Math"/>
                  <w:bCs/>
                  <w:snapToGrid w:val="0"/>
                  <w:color w:val="000000"/>
                  <w:kern w:val="44"/>
                  <w:sz w:val="21"/>
                  <w:szCs w:val="44"/>
                </w:rPr>
              </m:ctrlPr>
            </m:sSubPr>
            <m:e>
              <m:r>
                <w:rPr>
                  <w:rFonts w:ascii="Cambria Math" w:hAnsi="Cambria Math" w:hint="eastAsia"/>
                  <w:snapToGrid w:val="0"/>
                  <w:color w:val="000000"/>
                  <w:kern w:val="44"/>
                  <w:sz w:val="21"/>
                  <w:szCs w:val="44"/>
                </w:rPr>
                <m:t>x</m:t>
              </m:r>
            </m:e>
            <m:sub>
              <m:r>
                <w:rPr>
                  <w:rFonts w:ascii="Cambria Math" w:hAnsi="Cambria Math" w:hint="eastAsia"/>
                  <w:snapToGrid w:val="0"/>
                  <w:color w:val="000000"/>
                  <w:kern w:val="44"/>
                  <w:sz w:val="21"/>
                  <w:szCs w:val="44"/>
                </w:rPr>
                <m:t>ik</m:t>
              </m:r>
            </m:sub>
          </m:sSub>
          <m:r>
            <w:rPr>
              <w:rFonts w:ascii="Cambria Math" w:hAnsi="Cambria Math"/>
              <w:snapToGrid w:val="0"/>
              <w:color w:val="000000"/>
              <w:kern w:val="44"/>
              <w:sz w:val="21"/>
              <w:szCs w:val="44"/>
            </w:rPr>
            <m:t>=</m:t>
          </m:r>
          <m:f>
            <m:fPr>
              <m:ctrlPr>
                <w:rPr>
                  <w:rFonts w:ascii="Cambria Math" w:hAnsi="Cambria Math"/>
                  <w:bCs/>
                  <w:i/>
                  <w:snapToGrid w:val="0"/>
                  <w:color w:val="000000"/>
                  <w:kern w:val="44"/>
                  <w:sz w:val="21"/>
                  <w:szCs w:val="44"/>
                </w:rPr>
              </m:ctrlPr>
            </m:fPr>
            <m:num>
              <m:nary>
                <m:naryPr>
                  <m:chr m:val="∑"/>
                  <m:ctrlPr>
                    <w:rPr>
                      <w:rFonts w:ascii="Cambria Math" w:hAnsi="Cambria Math"/>
                      <w:bCs/>
                      <w:i/>
                      <w:snapToGrid w:val="0"/>
                      <w:color w:val="000000"/>
                      <w:kern w:val="44"/>
                      <w:sz w:val="21"/>
                      <w:szCs w:val="44"/>
                    </w:rPr>
                  </m:ctrlPr>
                </m:naryPr>
                <m:sub>
                  <m:r>
                    <w:rPr>
                      <w:rFonts w:ascii="Cambria Math" w:hAnsi="Cambria Math" w:hint="eastAsia"/>
                      <w:snapToGrid w:val="0"/>
                      <w:color w:val="000000"/>
                      <w:kern w:val="44"/>
                      <w:sz w:val="21"/>
                      <w:szCs w:val="44"/>
                    </w:rPr>
                    <m:t>j</m:t>
                  </m:r>
                  <m:r>
                    <w:rPr>
                      <w:rFonts w:ascii="Cambria Math" w:hAnsi="Cambria Math"/>
                      <w:snapToGrid w:val="0"/>
                      <w:color w:val="000000"/>
                      <w:kern w:val="44"/>
                      <w:sz w:val="21"/>
                      <w:szCs w:val="44"/>
                    </w:rPr>
                    <m:t>=1</m:t>
                  </m:r>
                </m:sub>
                <m:sup>
                  <m:r>
                    <w:rPr>
                      <w:rFonts w:ascii="Cambria Math" w:hAnsi="Cambria Math"/>
                      <w:snapToGrid w:val="0"/>
                      <w:color w:val="000000"/>
                      <w:kern w:val="44"/>
                      <w:sz w:val="21"/>
                      <w:szCs w:val="44"/>
                    </w:rPr>
                    <m:t>n</m:t>
                  </m:r>
                </m:sup>
                <m:e>
                  <m:r>
                    <w:rPr>
                      <w:rFonts w:ascii="Cambria Math" w:hAnsi="Cambria Math" w:hint="eastAsia"/>
                      <w:snapToGrid w:val="0"/>
                      <w:color w:val="000000"/>
                      <w:kern w:val="44"/>
                      <w:sz w:val="21"/>
                      <w:szCs w:val="44"/>
                    </w:rPr>
                    <m:t>I</m:t>
                  </m:r>
                  <m:d>
                    <m:dPr>
                      <m:ctrlPr>
                        <w:rPr>
                          <w:rFonts w:ascii="Cambria Math" w:hAnsi="Cambria Math"/>
                          <w:bCs/>
                          <w:i/>
                          <w:snapToGrid w:val="0"/>
                          <w:color w:val="000000"/>
                          <w:kern w:val="44"/>
                          <w:sz w:val="21"/>
                          <w:szCs w:val="44"/>
                        </w:rPr>
                      </m:ctrlPr>
                    </m:dPr>
                    <m:e>
                      <m:sSub>
                        <m:sSubPr>
                          <m:ctrlPr>
                            <w:rPr>
                              <w:rFonts w:ascii="Cambria Math" w:hAnsi="Cambria Math"/>
                              <w:bCs/>
                              <w:i/>
                              <w:snapToGrid w:val="0"/>
                              <w:color w:val="000000"/>
                              <w:kern w:val="44"/>
                              <w:sz w:val="21"/>
                              <w:szCs w:val="44"/>
                            </w:rPr>
                          </m:ctrlPr>
                        </m:sSubPr>
                        <m:e>
                          <m:r>
                            <w:rPr>
                              <w:rFonts w:ascii="Cambria Math" w:hAnsi="Cambria Math" w:hint="eastAsia"/>
                              <w:snapToGrid w:val="0"/>
                              <w:color w:val="000000"/>
                              <w:kern w:val="44"/>
                              <w:sz w:val="21"/>
                              <w:szCs w:val="44"/>
                            </w:rPr>
                            <m:t>x</m:t>
                          </m:r>
                        </m:e>
                        <m:sub>
                          <m:r>
                            <w:rPr>
                              <w:rFonts w:ascii="Cambria Math" w:hAnsi="Cambria Math" w:hint="eastAsia"/>
                              <w:snapToGrid w:val="0"/>
                              <w:color w:val="000000"/>
                              <w:kern w:val="44"/>
                              <w:sz w:val="21"/>
                              <w:szCs w:val="44"/>
                            </w:rPr>
                            <m:t>jk</m:t>
                          </m:r>
                        </m:sub>
                      </m:sSub>
                      <m:r>
                        <w:rPr>
                          <w:rFonts w:ascii="Cambria Math" w:hAnsi="Cambria Math"/>
                          <w:snapToGrid w:val="0"/>
                          <w:color w:val="000000"/>
                          <w:kern w:val="44"/>
                          <w:sz w:val="21"/>
                          <w:szCs w:val="44"/>
                        </w:rPr>
                        <m:t>=</m:t>
                      </m:r>
                      <m:sSub>
                        <m:sSubPr>
                          <m:ctrlPr>
                            <w:rPr>
                              <w:rFonts w:ascii="Cambria Math" w:hAnsi="Cambria Math"/>
                              <w:bCs/>
                              <w:i/>
                              <w:snapToGrid w:val="0"/>
                              <w:color w:val="000000"/>
                              <w:kern w:val="44"/>
                              <w:sz w:val="21"/>
                              <w:szCs w:val="44"/>
                            </w:rPr>
                          </m:ctrlPr>
                        </m:sSubPr>
                        <m:e>
                          <m:r>
                            <w:rPr>
                              <w:rFonts w:ascii="Cambria Math" w:hAnsi="Cambria Math" w:hint="eastAsia"/>
                              <w:snapToGrid w:val="0"/>
                              <w:color w:val="000000"/>
                              <w:kern w:val="44"/>
                              <w:sz w:val="21"/>
                              <w:szCs w:val="44"/>
                            </w:rPr>
                            <m:t>x</m:t>
                          </m:r>
                        </m:e>
                        <m:sub>
                          <m:r>
                            <w:rPr>
                              <w:rFonts w:ascii="Cambria Math" w:hAnsi="Cambria Math" w:hint="eastAsia"/>
                              <w:snapToGrid w:val="0"/>
                              <w:color w:val="000000"/>
                              <w:kern w:val="44"/>
                              <w:sz w:val="21"/>
                              <w:szCs w:val="44"/>
                            </w:rPr>
                            <m:t>ik</m:t>
                          </m:r>
                        </m:sub>
                      </m:sSub>
                    </m:e>
                  </m:d>
                  <m:sSub>
                    <m:sSubPr>
                      <m:ctrlPr>
                        <w:rPr>
                          <w:rFonts w:ascii="Cambria Math" w:hAnsi="Cambria Math"/>
                          <w:bCs/>
                          <w:i/>
                          <w:snapToGrid w:val="0"/>
                          <w:color w:val="000000"/>
                          <w:kern w:val="44"/>
                          <w:sz w:val="21"/>
                          <w:szCs w:val="44"/>
                        </w:rPr>
                      </m:ctrlPr>
                    </m:sSubPr>
                    <m:e>
                      <m:r>
                        <w:rPr>
                          <w:rFonts w:ascii="Cambria Math" w:hAnsi="Cambria Math" w:hint="eastAsia"/>
                          <w:snapToGrid w:val="0"/>
                          <w:color w:val="000000"/>
                          <w:kern w:val="44"/>
                          <w:sz w:val="21"/>
                          <w:szCs w:val="44"/>
                        </w:rPr>
                        <m:t>Y</m:t>
                      </m:r>
                    </m:e>
                    <m:sub>
                      <m:r>
                        <w:rPr>
                          <w:rFonts w:ascii="Cambria Math" w:hAnsi="Cambria Math" w:hint="eastAsia"/>
                          <w:snapToGrid w:val="0"/>
                          <w:color w:val="000000"/>
                          <w:kern w:val="44"/>
                          <w:sz w:val="21"/>
                          <w:szCs w:val="44"/>
                        </w:rPr>
                        <m:t>j</m:t>
                      </m:r>
                    </m:sub>
                  </m:sSub>
                </m:e>
              </m:nary>
            </m:num>
            <m:den>
              <m:nary>
                <m:naryPr>
                  <m:chr m:val="∑"/>
                  <m:ctrlPr>
                    <w:rPr>
                      <w:rFonts w:ascii="Cambria Math" w:hAnsi="Cambria Math"/>
                      <w:bCs/>
                      <w:i/>
                      <w:snapToGrid w:val="0"/>
                      <w:color w:val="000000"/>
                      <w:kern w:val="44"/>
                      <w:sz w:val="21"/>
                      <w:szCs w:val="44"/>
                    </w:rPr>
                  </m:ctrlPr>
                </m:naryPr>
                <m:sub>
                  <m:r>
                    <w:rPr>
                      <w:rFonts w:ascii="Cambria Math" w:hAnsi="Cambria Math" w:hint="eastAsia"/>
                      <w:snapToGrid w:val="0"/>
                      <w:color w:val="000000"/>
                      <w:kern w:val="44"/>
                      <w:sz w:val="21"/>
                      <w:szCs w:val="44"/>
                    </w:rPr>
                    <m:t>j</m:t>
                  </m:r>
                  <m:r>
                    <w:rPr>
                      <w:rFonts w:ascii="Cambria Math" w:hAnsi="Cambria Math"/>
                      <w:snapToGrid w:val="0"/>
                      <w:color w:val="000000"/>
                      <w:kern w:val="44"/>
                      <w:sz w:val="21"/>
                      <w:szCs w:val="44"/>
                    </w:rPr>
                    <m:t>=1</m:t>
                  </m:r>
                </m:sub>
                <m:sup>
                  <m:r>
                    <w:rPr>
                      <w:rFonts w:ascii="Cambria Math" w:hAnsi="Cambria Math"/>
                      <w:snapToGrid w:val="0"/>
                      <w:color w:val="000000"/>
                      <w:kern w:val="44"/>
                      <w:sz w:val="21"/>
                      <w:szCs w:val="44"/>
                    </w:rPr>
                    <m:t>n</m:t>
                  </m:r>
                </m:sup>
                <m:e>
                  <m:r>
                    <w:rPr>
                      <w:rFonts w:ascii="Cambria Math" w:hAnsi="Cambria Math" w:hint="eastAsia"/>
                      <w:snapToGrid w:val="0"/>
                      <w:color w:val="000000"/>
                      <w:kern w:val="44"/>
                      <w:sz w:val="21"/>
                      <w:szCs w:val="44"/>
                    </w:rPr>
                    <m:t>I</m:t>
                  </m:r>
                  <m:d>
                    <m:dPr>
                      <m:ctrlPr>
                        <w:rPr>
                          <w:rFonts w:ascii="Cambria Math" w:hAnsi="Cambria Math"/>
                          <w:bCs/>
                          <w:i/>
                          <w:snapToGrid w:val="0"/>
                          <w:color w:val="000000"/>
                          <w:kern w:val="44"/>
                          <w:sz w:val="21"/>
                          <w:szCs w:val="44"/>
                        </w:rPr>
                      </m:ctrlPr>
                    </m:dPr>
                    <m:e>
                      <m:sSub>
                        <m:sSubPr>
                          <m:ctrlPr>
                            <w:rPr>
                              <w:rFonts w:ascii="Cambria Math" w:hAnsi="Cambria Math"/>
                              <w:bCs/>
                              <w:i/>
                              <w:snapToGrid w:val="0"/>
                              <w:color w:val="000000"/>
                              <w:kern w:val="44"/>
                              <w:sz w:val="21"/>
                              <w:szCs w:val="44"/>
                            </w:rPr>
                          </m:ctrlPr>
                        </m:sSubPr>
                        <m:e>
                          <m:r>
                            <w:rPr>
                              <w:rFonts w:ascii="Cambria Math" w:hAnsi="Cambria Math"/>
                              <w:snapToGrid w:val="0"/>
                              <w:color w:val="000000"/>
                              <w:kern w:val="44"/>
                              <w:sz w:val="21"/>
                              <w:szCs w:val="44"/>
                            </w:rPr>
                            <m:t>x</m:t>
                          </m:r>
                        </m:e>
                        <m:sub>
                          <m:r>
                            <w:rPr>
                              <w:rFonts w:ascii="Cambria Math" w:hAnsi="Cambria Math" w:hint="eastAsia"/>
                              <w:snapToGrid w:val="0"/>
                              <w:color w:val="000000"/>
                              <w:kern w:val="44"/>
                              <w:sz w:val="21"/>
                              <w:szCs w:val="44"/>
                            </w:rPr>
                            <m:t>jk</m:t>
                          </m:r>
                        </m:sub>
                      </m:sSub>
                      <m:r>
                        <w:rPr>
                          <w:rFonts w:ascii="Cambria Math" w:hAnsi="Cambria Math"/>
                          <w:snapToGrid w:val="0"/>
                          <w:color w:val="000000"/>
                          <w:kern w:val="44"/>
                          <w:sz w:val="21"/>
                          <w:szCs w:val="44"/>
                        </w:rPr>
                        <m:t>=</m:t>
                      </m:r>
                      <m:sSub>
                        <m:sSubPr>
                          <m:ctrlPr>
                            <w:rPr>
                              <w:rFonts w:ascii="Cambria Math" w:hAnsi="Cambria Math"/>
                              <w:bCs/>
                              <w:i/>
                              <w:snapToGrid w:val="0"/>
                              <w:color w:val="000000"/>
                              <w:kern w:val="44"/>
                              <w:sz w:val="21"/>
                              <w:szCs w:val="44"/>
                            </w:rPr>
                          </m:ctrlPr>
                        </m:sSubPr>
                        <m:e>
                          <m:r>
                            <w:rPr>
                              <w:rFonts w:ascii="Cambria Math" w:hAnsi="Cambria Math" w:hint="eastAsia"/>
                              <w:snapToGrid w:val="0"/>
                              <w:color w:val="000000"/>
                              <w:kern w:val="44"/>
                              <w:sz w:val="21"/>
                              <w:szCs w:val="44"/>
                            </w:rPr>
                            <m:t>x</m:t>
                          </m:r>
                        </m:e>
                        <m:sub>
                          <m:r>
                            <w:rPr>
                              <w:rFonts w:ascii="Cambria Math" w:hAnsi="Cambria Math" w:hint="eastAsia"/>
                              <w:snapToGrid w:val="0"/>
                              <w:color w:val="000000"/>
                              <w:kern w:val="44"/>
                              <w:sz w:val="21"/>
                              <w:szCs w:val="44"/>
                            </w:rPr>
                            <m:t>ik</m:t>
                          </m:r>
                        </m:sub>
                      </m:sSub>
                    </m:e>
                  </m:d>
                </m:e>
              </m:nary>
            </m:den>
          </m:f>
          <m:r>
            <m:rPr>
              <m:sty m:val="p"/>
            </m:rPr>
            <w:rPr>
              <w:rFonts w:ascii="Cambria Math" w:hAnsi="Cambria Math"/>
              <w:snapToGrid w:val="0"/>
              <w:color w:val="000000"/>
              <w:kern w:val="44"/>
              <w:sz w:val="21"/>
              <w:szCs w:val="44"/>
            </w:rPr>
            <m:t xml:space="preserve">                            </m:t>
          </m:r>
          <m:r>
            <m:rPr>
              <m:sty m:val="p"/>
            </m:rPr>
            <w:rPr>
              <w:rFonts w:ascii="Cambria Math" w:hAnsi="Cambria Math" w:hint="eastAsia"/>
              <w:snapToGrid w:val="0"/>
              <w:color w:val="000000"/>
              <w:kern w:val="44"/>
              <w:sz w:val="21"/>
              <w:szCs w:val="44"/>
            </w:rPr>
            <m:t>(</m:t>
          </m:r>
          <m:r>
            <m:rPr>
              <m:sty m:val="p"/>
            </m:rPr>
            <w:rPr>
              <w:rFonts w:ascii="Cambria Math" w:hAnsi="Cambria Math"/>
              <w:snapToGrid w:val="0"/>
              <w:color w:val="000000"/>
              <w:kern w:val="44"/>
              <w:sz w:val="21"/>
              <w:szCs w:val="44"/>
            </w:rPr>
            <m:t>4</m:t>
          </m:r>
          <m:r>
            <m:rPr>
              <m:sty m:val="p"/>
            </m:rPr>
            <w:rPr>
              <w:rFonts w:ascii="Cambria Math" w:hAnsi="Cambria Math" w:hint="eastAsia"/>
              <w:snapToGrid w:val="0"/>
              <w:color w:val="000000"/>
              <w:kern w:val="44"/>
              <w:sz w:val="21"/>
              <w:szCs w:val="44"/>
            </w:rPr>
            <m:t>)</m:t>
          </m:r>
        </m:oMath>
      </m:oMathPara>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where </w:t>
      </w:r>
      <m:oMath>
        <m:r>
          <w:rPr>
            <w:rFonts w:ascii="Cambria Math" w:hAnsi="Cambria Math" w:cs="Times New Roman (正文 CS 字体)" w:hint="eastAsia"/>
            <w:snapToGrid w:val="0"/>
            <w:color w:val="000000"/>
            <w:kern w:val="44"/>
            <w:sz w:val="21"/>
            <w:szCs w:val="44"/>
          </w:rPr>
          <m:t>I</m:t>
        </m:r>
        <m:d>
          <m:dPr>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m:t>
            </m:r>
          </m:e>
        </m:d>
      </m:oMath>
      <w:r w:rsidRPr="00694719">
        <w:rPr>
          <w:rFonts w:ascii="Times New Roman" w:hAnsi="Times New Roman" w:cs="Times New Roman (正文 CS 字体)"/>
          <w:bCs/>
          <w:snapToGrid w:val="0"/>
          <w:color w:val="000000"/>
          <w:kern w:val="44"/>
          <w:sz w:val="21"/>
          <w:szCs w:val="44"/>
        </w:rPr>
        <w:t xml:space="preserve"> denotes the indicator function, taking the value 1 if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jk</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ik</m:t>
            </m:r>
          </m:sub>
        </m:sSub>
      </m:oMath>
      <w:r w:rsidRPr="00694719">
        <w:rPr>
          <w:rFonts w:ascii="Times New Roman" w:hAnsi="Times New Roman" w:cs="Times New Roman (正文 CS 字体)"/>
          <w:bCs/>
          <w:snapToGrid w:val="0"/>
          <w:color w:val="000000"/>
          <w:kern w:val="44"/>
          <w:sz w:val="21"/>
          <w:szCs w:val="44"/>
        </w:rPr>
        <w:t xml:space="preserve"> and 0 otherwise. This method encodes categorical features using the target-value statistics of samples belonging to the same category, thereby incorporating categorical information into subsequent model training. To mitigate potential encoding bias arising from low-frequency categories and sampling variability, a prior smoothing mechanism is further introduced. Let </w:t>
      </w:r>
      <w:r w:rsidRPr="00694719">
        <w:rPr>
          <w:rFonts w:ascii="Times New Roman" w:hAnsi="Times New Roman" w:cs="Times New Roman (正文 CS 字体)"/>
          <w:bCs/>
          <w:i/>
          <w:iCs/>
          <w:snapToGrid w:val="0"/>
          <w:color w:val="000000"/>
          <w:kern w:val="44"/>
          <w:sz w:val="21"/>
          <w:szCs w:val="44"/>
        </w:rPr>
        <w:t>P</w:t>
      </w:r>
      <w:r w:rsidRPr="00694719">
        <w:rPr>
          <w:rFonts w:ascii="Times New Roman" w:hAnsi="Times New Roman" w:cs="Times New Roman (正文 CS 字体)"/>
          <w:bCs/>
          <w:snapToGrid w:val="0"/>
          <w:color w:val="000000"/>
          <w:kern w:val="44"/>
          <w:sz w:val="21"/>
          <w:szCs w:val="44"/>
        </w:rPr>
        <w:t xml:space="preserve"> denote the prior value and </w:t>
      </w:r>
      <w:r w:rsidRPr="00694719">
        <w:rPr>
          <w:rFonts w:ascii="Times New Roman" w:hAnsi="Times New Roman" w:cs="Times New Roman (正文 CS 字体)"/>
          <w:bCs/>
          <w:i/>
          <w:snapToGrid w:val="0"/>
          <w:color w:val="000000"/>
          <w:kern w:val="44"/>
          <w:sz w:val="21"/>
          <w:szCs w:val="44"/>
        </w:rPr>
        <w:t>α</w:t>
      </w:r>
      <w:r w:rsidRPr="00694719">
        <w:rPr>
          <w:rFonts w:ascii="Times New Roman" w:hAnsi="Times New Roman" w:cs="Times New Roman (正文 CS 字体)"/>
          <w:bCs/>
          <w:snapToGrid w:val="0"/>
          <w:color w:val="000000"/>
          <w:kern w:val="44"/>
          <w:sz w:val="21"/>
          <w:szCs w:val="44"/>
        </w:rPr>
        <w:t xml:space="preserve"> denote the smoothing parameter (</w:t>
      </w:r>
      <w:r w:rsidRPr="00694719">
        <w:rPr>
          <w:rFonts w:ascii="Times New Roman" w:hAnsi="Times New Roman" w:cs="Times New Roman (正文 CS 字体)"/>
          <w:bCs/>
          <w:i/>
          <w:snapToGrid w:val="0"/>
          <w:color w:val="000000"/>
          <w:kern w:val="44"/>
          <w:sz w:val="21"/>
          <w:szCs w:val="44"/>
        </w:rPr>
        <w:t>α</w:t>
      </w:r>
      <w:r w:rsidRPr="00694719">
        <w:rPr>
          <w:rFonts w:ascii="Times New Roman" w:hAnsi="Times New Roman" w:cs="Times New Roman (正文 CS 字体)"/>
          <w:bCs/>
          <w:snapToGrid w:val="0"/>
          <w:color w:val="000000"/>
          <w:kern w:val="44"/>
          <w:sz w:val="21"/>
          <w:szCs w:val="44"/>
        </w:rPr>
        <w:t xml:space="preserve"> &gt; 0). The smoothed encoding is then given by Eq. (5):</w:t>
      </w:r>
    </w:p>
    <w:p w:rsidR="00694719" w:rsidRPr="00694719" w:rsidRDefault="00190974" w:rsidP="00694719">
      <w:pPr>
        <w:ind w:firstLineChars="200" w:firstLine="420"/>
        <w:jc w:val="both"/>
        <w:rPr>
          <w:rFonts w:ascii="Times New Roman" w:hAnsi="Times New Roman" w:cs="Times New Roman (正文 CS 字体)"/>
          <w:bCs/>
          <w:snapToGrid w:val="0"/>
          <w:color w:val="000000"/>
          <w:kern w:val="44"/>
          <w:sz w:val="21"/>
          <w:szCs w:val="44"/>
        </w:rPr>
      </w:pPr>
      <m:oMathPara>
        <m:oMathParaPr>
          <m:jc m:val="center"/>
        </m:oMathParaPr>
        <m:oMath>
          <m:sSubSup>
            <m:sSubSupPr>
              <m:ctrlPr>
                <w:rPr>
                  <w:rFonts w:ascii="Cambria Math" w:hAnsi="Cambria Math" w:cs="Times New Roman (正文 CS 字体)"/>
                  <w:bCs/>
                  <w:snapToGrid w:val="0"/>
                  <w:color w:val="000000"/>
                  <w:kern w:val="44"/>
                  <w:sz w:val="21"/>
                  <w:szCs w:val="44"/>
                </w:rPr>
              </m:ctrlPr>
            </m:sSubSup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ik</m:t>
              </m:r>
            </m:sub>
            <m:sup>
              <m:r>
                <w:rPr>
                  <w:rFonts w:ascii="Cambria Math" w:hAnsi="Cambria Math" w:cs="Times New Roman (正文 CS 字体)"/>
                  <w:snapToGrid w:val="0"/>
                  <w:color w:val="000000"/>
                  <w:kern w:val="44"/>
                  <w:sz w:val="21"/>
                  <w:szCs w:val="44"/>
                </w:rPr>
                <m:t>*</m:t>
              </m:r>
            </m:sup>
          </m:sSubSup>
          <m:r>
            <w:rPr>
              <w:rFonts w:ascii="Cambria Math" w:hAnsi="Cambria Math" w:cs="Times New Roman (正文 CS 字体)"/>
              <w:snapToGrid w:val="0"/>
              <w:color w:val="000000"/>
              <w:kern w:val="44"/>
              <w:sz w:val="21"/>
              <w:szCs w:val="44"/>
            </w:rPr>
            <m:t>=</m:t>
          </m:r>
          <m:f>
            <m:fPr>
              <m:ctrlPr>
                <w:rPr>
                  <w:rFonts w:ascii="Cambria Math" w:hAnsi="Cambria Math" w:cs="Times New Roman (正文 CS 字体)"/>
                  <w:bCs/>
                  <w:i/>
                  <w:snapToGrid w:val="0"/>
                  <w:color w:val="000000"/>
                  <w:kern w:val="44"/>
                  <w:sz w:val="21"/>
                  <w:szCs w:val="44"/>
                </w:rPr>
              </m:ctrlPr>
            </m:fPr>
            <m:num>
              <m:nary>
                <m:naryPr>
                  <m:chr m:val="∑"/>
                  <m:ctrlPr>
                    <w:rPr>
                      <w:rFonts w:ascii="Cambria Math" w:hAnsi="Cambria Math" w:cs="Times New Roman (正文 CS 字体)"/>
                      <w:bCs/>
                      <w:i/>
                      <w:snapToGrid w:val="0"/>
                      <w:color w:val="000000"/>
                      <w:kern w:val="44"/>
                      <w:sz w:val="21"/>
                      <w:szCs w:val="44"/>
                    </w:rPr>
                  </m:ctrlPr>
                </m:naryPr>
                <m:sub>
                  <m:r>
                    <w:rPr>
                      <w:rFonts w:ascii="Cambria Math" w:hAnsi="Cambria Math" w:cs="Times New Roman (正文 CS 字体)"/>
                      <w:snapToGrid w:val="0"/>
                      <w:color w:val="000000"/>
                      <w:kern w:val="44"/>
                      <w:sz w:val="21"/>
                      <w:szCs w:val="44"/>
                    </w:rPr>
                    <m:t>j=1</m:t>
                  </m:r>
                </m:sub>
                <m:sup>
                  <m:r>
                    <w:rPr>
                      <w:rFonts w:ascii="Cambria Math" w:hAnsi="Cambria Math" w:cs="Times New Roman (正文 CS 字体)"/>
                      <w:snapToGrid w:val="0"/>
                      <w:color w:val="000000"/>
                      <w:kern w:val="44"/>
                      <w:sz w:val="21"/>
                      <w:szCs w:val="44"/>
                    </w:rPr>
                    <m:t>n</m:t>
                  </m:r>
                </m:sup>
                <m:e>
                  <m:r>
                    <w:rPr>
                      <w:rFonts w:ascii="Cambria Math" w:hAnsi="Cambria Math" w:cs="Times New Roman (正文 CS 字体)"/>
                      <w:snapToGrid w:val="0"/>
                      <w:color w:val="000000"/>
                      <w:kern w:val="44"/>
                      <w:sz w:val="21"/>
                      <w:szCs w:val="44"/>
                    </w:rPr>
                    <m:t>I</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jk</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ik</m:t>
                          </m:r>
                        </m:sub>
                      </m:sSub>
                    </m:e>
                  </m:d>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Y</m:t>
                      </m:r>
                    </m:e>
                    <m:sub>
                      <m:r>
                        <w:rPr>
                          <w:rFonts w:ascii="Cambria Math" w:hAnsi="Cambria Math" w:cs="Times New Roman (正文 CS 字体)"/>
                          <w:snapToGrid w:val="0"/>
                          <w:color w:val="000000"/>
                          <w:kern w:val="44"/>
                          <w:sz w:val="21"/>
                          <w:szCs w:val="44"/>
                        </w:rPr>
                        <m:t>j</m:t>
                      </m:r>
                    </m:sub>
                  </m:sSub>
                  <m:r>
                    <w:rPr>
                      <w:rFonts w:ascii="Cambria Math" w:hAnsi="Cambria Math" w:cs="Times New Roman (正文 CS 字体)"/>
                      <w:snapToGrid w:val="0"/>
                      <w:color w:val="000000"/>
                      <w:kern w:val="44"/>
                      <w:sz w:val="21"/>
                      <w:szCs w:val="44"/>
                    </w:rPr>
                    <m:t>+αP</m:t>
                  </m:r>
                </m:e>
              </m:nary>
            </m:num>
            <m:den>
              <m:nary>
                <m:naryPr>
                  <m:chr m:val="∑"/>
                  <m:ctrlPr>
                    <w:rPr>
                      <w:rFonts w:ascii="Cambria Math" w:hAnsi="Cambria Math" w:cs="Times New Roman (正文 CS 字体)"/>
                      <w:bCs/>
                      <w:i/>
                      <w:snapToGrid w:val="0"/>
                      <w:color w:val="000000"/>
                      <w:kern w:val="44"/>
                      <w:sz w:val="21"/>
                      <w:szCs w:val="44"/>
                    </w:rPr>
                  </m:ctrlPr>
                </m:naryPr>
                <m:sub>
                  <m:r>
                    <w:rPr>
                      <w:rFonts w:ascii="Cambria Math" w:hAnsi="Cambria Math" w:cs="Times New Roman (正文 CS 字体)"/>
                      <w:snapToGrid w:val="0"/>
                      <w:color w:val="000000"/>
                      <w:kern w:val="44"/>
                      <w:sz w:val="21"/>
                      <w:szCs w:val="44"/>
                    </w:rPr>
                    <m:t>j=1</m:t>
                  </m:r>
                </m:sub>
                <m:sup>
                  <m:r>
                    <w:rPr>
                      <w:rFonts w:ascii="Cambria Math" w:hAnsi="Cambria Math" w:cs="Times New Roman (正文 CS 字体)"/>
                      <w:snapToGrid w:val="0"/>
                      <w:color w:val="000000"/>
                      <w:kern w:val="44"/>
                      <w:sz w:val="21"/>
                      <w:szCs w:val="44"/>
                    </w:rPr>
                    <m:t>n</m:t>
                  </m:r>
                </m:sup>
                <m:e>
                  <m:r>
                    <w:rPr>
                      <w:rFonts w:ascii="Cambria Math" w:hAnsi="Cambria Math" w:cs="Times New Roman (正文 CS 字体)"/>
                      <w:snapToGrid w:val="0"/>
                      <w:color w:val="000000"/>
                      <w:kern w:val="44"/>
                      <w:sz w:val="21"/>
                      <w:szCs w:val="44"/>
                    </w:rPr>
                    <m:t>I</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jk</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ik</m:t>
                          </m:r>
                        </m:sub>
                      </m:sSub>
                    </m:e>
                  </m:d>
                  <m:r>
                    <w:rPr>
                      <w:rFonts w:ascii="Cambria Math" w:hAnsi="Cambria Math" w:cs="Times New Roman (正文 CS 字体)"/>
                      <w:snapToGrid w:val="0"/>
                      <w:color w:val="000000"/>
                      <w:kern w:val="44"/>
                      <w:sz w:val="21"/>
                      <w:szCs w:val="44"/>
                    </w:rPr>
                    <m:t>+α</m:t>
                  </m:r>
                </m:e>
              </m:nary>
            </m:den>
          </m:f>
          <m:r>
            <w:rPr>
              <w:rFonts w:ascii="Cambria Math" w:hAnsi="Cambria Math" w:cs="Times New Roman (正文 CS 字体)"/>
              <w:snapToGrid w:val="0"/>
              <w:color w:val="000000"/>
              <w:kern w:val="44"/>
              <w:sz w:val="21"/>
              <w:szCs w:val="44"/>
            </w:rPr>
            <m:t xml:space="preserve">                       (5)</m:t>
          </m:r>
        </m:oMath>
      </m:oMathPara>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Introducing prior information and smoothing parameters can reduce random noise from low-frequency categories, thereby improving the stability of categorical feature processing and the model’s generalizability. To ensure that the findings do not depend excessively on a single algorithm and to identify the best-performing model for predicting enterprises’ innovation resilience, this study compares linear regression (</w:t>
      </w:r>
      <w:r w:rsidRPr="00694719">
        <w:rPr>
          <w:rFonts w:ascii="Times New Roman" w:hAnsi="Times New Roman" w:cs="Times New Roman (正文 CS 字体)"/>
          <w:bCs/>
          <w:i/>
          <w:iCs/>
          <w:snapToGrid w:val="0"/>
          <w:color w:val="000000"/>
          <w:kern w:val="44"/>
          <w:sz w:val="21"/>
          <w:szCs w:val="44"/>
        </w:rPr>
        <w:t>LR</w:t>
      </w:r>
      <w:r w:rsidRPr="00694719">
        <w:rPr>
          <w:rFonts w:ascii="Times New Roman" w:hAnsi="Times New Roman" w:cs="Times New Roman (正文 CS 字体)"/>
          <w:bCs/>
          <w:snapToGrid w:val="0"/>
          <w:color w:val="000000"/>
          <w:kern w:val="44"/>
          <w:sz w:val="21"/>
          <w:szCs w:val="44"/>
        </w:rPr>
        <w:t>) with random forest (</w:t>
      </w:r>
      <w:r w:rsidRPr="00694719">
        <w:rPr>
          <w:rFonts w:ascii="Times New Roman" w:hAnsi="Times New Roman" w:cs="Times New Roman (正文 CS 字体)"/>
          <w:bCs/>
          <w:i/>
          <w:iCs/>
          <w:snapToGrid w:val="0"/>
          <w:color w:val="000000"/>
          <w:kern w:val="44"/>
          <w:sz w:val="21"/>
          <w:szCs w:val="44"/>
        </w:rPr>
        <w:t>RF</w:t>
      </w:r>
      <w:r w:rsidRPr="00694719">
        <w:rPr>
          <w:rFonts w:ascii="Times New Roman" w:hAnsi="Times New Roman" w:cs="Times New Roman (正文 CS 字体)"/>
          <w:bCs/>
          <w:snapToGrid w:val="0"/>
          <w:color w:val="000000"/>
          <w:kern w:val="44"/>
          <w:sz w:val="21"/>
          <w:szCs w:val="44"/>
        </w:rPr>
        <w:t>), k-nearest neighbors (</w:t>
      </w:r>
      <w:r w:rsidRPr="00694719">
        <w:rPr>
          <w:rFonts w:ascii="Times New Roman" w:hAnsi="Times New Roman" w:cs="Times New Roman (正文 CS 字体)"/>
          <w:bCs/>
          <w:i/>
          <w:iCs/>
          <w:snapToGrid w:val="0"/>
          <w:color w:val="000000"/>
          <w:kern w:val="44"/>
          <w:sz w:val="21"/>
          <w:szCs w:val="44"/>
        </w:rPr>
        <w:t>KNN</w:t>
      </w:r>
      <w:r w:rsidRPr="00694719">
        <w:rPr>
          <w:rFonts w:ascii="Times New Roman" w:hAnsi="Times New Roman" w:cs="Times New Roman (正文 CS 字体)"/>
          <w:bCs/>
          <w:snapToGrid w:val="0"/>
          <w:color w:val="000000"/>
          <w:kern w:val="44"/>
          <w:sz w:val="21"/>
          <w:szCs w:val="44"/>
        </w:rPr>
        <w:t>), support vector machine (</w:t>
      </w:r>
      <w:r w:rsidRPr="00694719">
        <w:rPr>
          <w:rFonts w:ascii="Times New Roman" w:hAnsi="Times New Roman" w:cs="Times New Roman (正文 CS 字体)"/>
          <w:bCs/>
          <w:i/>
          <w:iCs/>
          <w:snapToGrid w:val="0"/>
          <w:color w:val="000000"/>
          <w:kern w:val="44"/>
          <w:sz w:val="21"/>
          <w:szCs w:val="44"/>
        </w:rPr>
        <w:t>SVM</w:t>
      </w:r>
      <w:r w:rsidRPr="00694719">
        <w:rPr>
          <w:rFonts w:ascii="Times New Roman" w:hAnsi="Times New Roman" w:cs="Times New Roman (正文 CS 字体)"/>
          <w:bCs/>
          <w:snapToGrid w:val="0"/>
          <w:color w:val="000000"/>
          <w:kern w:val="44"/>
          <w:sz w:val="21"/>
          <w:szCs w:val="44"/>
        </w:rPr>
        <w:t>), decision tree (</w:t>
      </w:r>
      <w:r w:rsidRPr="00694719">
        <w:rPr>
          <w:rFonts w:ascii="Times New Roman" w:hAnsi="Times New Roman" w:cs="Times New Roman (正文 CS 字体)"/>
          <w:bCs/>
          <w:i/>
          <w:iCs/>
          <w:snapToGrid w:val="0"/>
          <w:color w:val="000000"/>
          <w:kern w:val="44"/>
          <w:sz w:val="21"/>
          <w:szCs w:val="44"/>
        </w:rPr>
        <w:t>DT</w:t>
      </w:r>
      <w:r w:rsidRPr="00694719">
        <w:rPr>
          <w:rFonts w:ascii="Times New Roman" w:hAnsi="Times New Roman" w:cs="Times New Roman (正文 CS 字体)"/>
          <w:bCs/>
          <w:snapToGrid w:val="0"/>
          <w:color w:val="000000"/>
          <w:kern w:val="44"/>
          <w:sz w:val="21"/>
          <w:szCs w:val="44"/>
        </w:rPr>
        <w:t>), neural network (</w:t>
      </w:r>
      <w:r w:rsidRPr="00694719">
        <w:rPr>
          <w:rFonts w:ascii="Times New Roman" w:hAnsi="Times New Roman" w:cs="Times New Roman (正文 CS 字体)"/>
          <w:bCs/>
          <w:i/>
          <w:iCs/>
          <w:snapToGrid w:val="0"/>
          <w:color w:val="000000"/>
          <w:kern w:val="44"/>
          <w:sz w:val="21"/>
          <w:szCs w:val="44"/>
        </w:rPr>
        <w:t>NN</w:t>
      </w:r>
      <w:r w:rsidRPr="00694719">
        <w:rPr>
          <w:rFonts w:ascii="Times New Roman" w:hAnsi="Times New Roman" w:cs="Times New Roman (正文 CS 字体)"/>
          <w:bCs/>
          <w:snapToGrid w:val="0"/>
          <w:color w:val="000000"/>
          <w:kern w:val="44"/>
          <w:sz w:val="21"/>
          <w:szCs w:val="44"/>
        </w:rPr>
        <w:t>), XGBoost, and CatBoost. Model training combines 5-fold cross-validation with hyperparameter search to reduce the risk of overfitting and improve the robustness of the predictions.</w:t>
      </w:r>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Because </w:t>
      </w:r>
      <w:r w:rsidRPr="00694719">
        <w:rPr>
          <w:rFonts w:ascii="Times New Roman" w:hAnsi="Times New Roman" w:cs="Times New Roman (正文 CS 字体)"/>
          <w:bCs/>
          <w:i/>
          <w:snapToGrid w:val="0"/>
          <w:color w:val="000000"/>
          <w:kern w:val="44"/>
          <w:sz w:val="21"/>
          <w:szCs w:val="44"/>
        </w:rPr>
        <w:t>EIR</w:t>
      </w:r>
      <w:r w:rsidRPr="00694719">
        <w:rPr>
          <w:rFonts w:ascii="Times New Roman" w:hAnsi="Times New Roman" w:cs="Times New Roman (正文 CS 字体)"/>
          <w:bCs/>
          <w:snapToGrid w:val="0"/>
          <w:color w:val="000000"/>
          <w:kern w:val="44"/>
          <w:sz w:val="21"/>
          <w:szCs w:val="44"/>
          <w:vertAlign w:val="subscript"/>
        </w:rPr>
        <w:t>t+1</w:t>
      </w:r>
      <w:r w:rsidRPr="00694719">
        <w:rPr>
          <w:rFonts w:ascii="Times New Roman" w:hAnsi="Times New Roman" w:cs="Times New Roman (正文 CS 字体)"/>
          <w:bCs/>
          <w:snapToGrid w:val="0"/>
          <w:color w:val="000000"/>
          <w:kern w:val="44"/>
          <w:sz w:val="21"/>
          <w:szCs w:val="44"/>
        </w:rPr>
        <w:t xml:space="preserve"> is continuous, the prediction problem is formulated as a regression task. Model performance is evaluated along three dimensions: in-sample fit, out-of-sample generalization, and prediction error. Specifically, the evaluation metrics include the in-sample coefficient of determination (</w:t>
      </w:r>
      <m:oMath>
        <m:sSubSup>
          <m:sSubSupPr>
            <m:ctrlPr>
              <w:rPr>
                <w:rFonts w:ascii="Cambria Math" w:hAnsi="Cambria Math" w:cs="Times New Roman (正文 CS 字体)"/>
                <w:bCs/>
                <w:snapToGrid w:val="0"/>
                <w:color w:val="000000"/>
                <w:kern w:val="44"/>
                <w:sz w:val="21"/>
                <w:szCs w:val="44"/>
              </w:rPr>
            </m:ctrlPr>
          </m:sSubSupPr>
          <m:e>
            <m:r>
              <w:rPr>
                <w:rFonts w:ascii="Cambria Math" w:hAnsi="Cambria Math" w:cs="Times New Roman (正文 CS 字体)" w:hint="eastAsia"/>
                <w:snapToGrid w:val="0"/>
                <w:color w:val="000000"/>
                <w:kern w:val="44"/>
                <w:sz w:val="21"/>
                <w:szCs w:val="44"/>
              </w:rPr>
              <m:t>R</m:t>
            </m:r>
          </m:e>
          <m:sub>
            <m:r>
              <w:rPr>
                <w:rFonts w:ascii="Cambria Math" w:hAnsi="Cambria Math" w:cs="Times New Roman (正文 CS 字体)" w:hint="eastAsia"/>
                <w:snapToGrid w:val="0"/>
                <w:color w:val="000000"/>
                <w:kern w:val="44"/>
                <w:sz w:val="21"/>
                <w:szCs w:val="44"/>
              </w:rPr>
              <m:t>is</m:t>
            </m:r>
          </m:sub>
          <m:sup>
            <m:r>
              <w:rPr>
                <w:rFonts w:ascii="Cambria Math" w:hAnsi="Cambria Math" w:cs="Times New Roman (正文 CS 字体)"/>
                <w:snapToGrid w:val="0"/>
                <w:color w:val="000000"/>
                <w:kern w:val="44"/>
                <w:sz w:val="21"/>
                <w:szCs w:val="44"/>
              </w:rPr>
              <m:t>2</m:t>
            </m:r>
          </m:sup>
        </m:sSubSup>
      </m:oMath>
      <w:r w:rsidRPr="00694719">
        <w:rPr>
          <w:rFonts w:ascii="Times New Roman" w:hAnsi="Times New Roman" w:cs="Times New Roman (正文 CS 字体)"/>
          <w:bCs/>
          <w:snapToGrid w:val="0"/>
          <w:color w:val="000000"/>
          <w:kern w:val="44"/>
          <w:sz w:val="21"/>
          <w:szCs w:val="44"/>
        </w:rPr>
        <w:t>), out-of-sample coefficient of determination (</w:t>
      </w:r>
      <m:oMath>
        <m:sSubSup>
          <m:sSubSupPr>
            <m:ctrlPr>
              <w:rPr>
                <w:rFonts w:ascii="Cambria Math" w:hAnsi="Cambria Math" w:cs="Times New Roman (正文 CS 字体)"/>
                <w:bCs/>
                <w:snapToGrid w:val="0"/>
                <w:color w:val="000000"/>
                <w:kern w:val="44"/>
                <w:sz w:val="21"/>
                <w:szCs w:val="44"/>
              </w:rPr>
            </m:ctrlPr>
          </m:sSubSupPr>
          <m:e>
            <m:r>
              <w:rPr>
                <w:rFonts w:ascii="Cambria Math" w:hAnsi="Cambria Math" w:cs="Times New Roman (正文 CS 字体)" w:hint="eastAsia"/>
                <w:snapToGrid w:val="0"/>
                <w:color w:val="000000"/>
                <w:kern w:val="44"/>
                <w:sz w:val="21"/>
                <w:szCs w:val="44"/>
              </w:rPr>
              <m:t>R</m:t>
            </m:r>
          </m:e>
          <m:sub>
            <m:r>
              <w:rPr>
                <w:rFonts w:ascii="Cambria Math" w:hAnsi="Cambria Math" w:cs="Times New Roman (正文 CS 字体)" w:hint="eastAsia"/>
                <w:snapToGrid w:val="0"/>
                <w:color w:val="000000"/>
                <w:kern w:val="44"/>
                <w:sz w:val="21"/>
                <w:szCs w:val="44"/>
              </w:rPr>
              <m:t>oos</m:t>
            </m:r>
          </m:sub>
          <m:sup>
            <m:r>
              <w:rPr>
                <w:rFonts w:ascii="Cambria Math" w:hAnsi="Cambria Math" w:cs="Times New Roman (正文 CS 字体)"/>
                <w:snapToGrid w:val="0"/>
                <w:color w:val="000000"/>
                <w:kern w:val="44"/>
                <w:sz w:val="21"/>
                <w:szCs w:val="44"/>
              </w:rPr>
              <m:t>2</m:t>
            </m:r>
          </m:sup>
        </m:sSubSup>
      </m:oMath>
      <w:r w:rsidRPr="00694719">
        <w:rPr>
          <w:rFonts w:ascii="Times New Roman" w:hAnsi="Times New Roman" w:cs="Times New Roman (正文 CS 字体)"/>
          <w:bCs/>
          <w:snapToGrid w:val="0"/>
          <w:color w:val="000000"/>
          <w:kern w:val="44"/>
          <w:sz w:val="21"/>
          <w:szCs w:val="44"/>
        </w:rPr>
        <w:t>), in-sample mean squared error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MSE</m:t>
            </m:r>
          </m:e>
          <m:sub>
            <m:r>
              <w:rPr>
                <w:rFonts w:ascii="Cambria Math" w:hAnsi="Cambria Math" w:cs="Times New Roman (正文 CS 字体)" w:hint="eastAsia"/>
                <w:snapToGrid w:val="0"/>
                <w:color w:val="000000"/>
                <w:kern w:val="44"/>
                <w:sz w:val="21"/>
                <w:szCs w:val="44"/>
              </w:rPr>
              <m:t>is</m:t>
            </m:r>
          </m:sub>
        </m:sSub>
      </m:oMath>
      <w:r w:rsidRPr="00694719">
        <w:rPr>
          <w:rFonts w:ascii="Times New Roman" w:hAnsi="Times New Roman" w:cs="Times New Roman (正文 CS 字体)"/>
          <w:bCs/>
          <w:snapToGrid w:val="0"/>
          <w:color w:val="000000"/>
          <w:kern w:val="44"/>
          <w:sz w:val="21"/>
          <w:szCs w:val="44"/>
        </w:rPr>
        <w:t>), in-sample mean absolute error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MAE</m:t>
            </m:r>
          </m:e>
          <m:sub>
            <m:r>
              <w:rPr>
                <w:rFonts w:ascii="Cambria Math" w:hAnsi="Cambria Math" w:cs="Times New Roman (正文 CS 字体)" w:hint="eastAsia"/>
                <w:snapToGrid w:val="0"/>
                <w:color w:val="000000"/>
                <w:kern w:val="44"/>
                <w:sz w:val="21"/>
                <w:szCs w:val="44"/>
              </w:rPr>
              <m:t>is</m:t>
            </m:r>
          </m:sub>
        </m:sSub>
      </m:oMath>
      <w:r w:rsidRPr="00694719">
        <w:rPr>
          <w:rFonts w:ascii="Times New Roman" w:hAnsi="Times New Roman" w:cs="Times New Roman (正文 CS 字体)"/>
          <w:bCs/>
          <w:snapToGrid w:val="0"/>
          <w:color w:val="000000"/>
          <w:kern w:val="44"/>
          <w:sz w:val="21"/>
          <w:szCs w:val="44"/>
        </w:rPr>
        <w:t>), out-of-sample mean squared error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MSE</m:t>
            </m:r>
          </m:e>
          <m:sub>
            <m:r>
              <w:rPr>
                <w:rFonts w:ascii="Cambria Math" w:hAnsi="Cambria Math" w:cs="Times New Roman (正文 CS 字体)" w:hint="eastAsia"/>
                <w:snapToGrid w:val="0"/>
                <w:color w:val="000000"/>
                <w:kern w:val="44"/>
                <w:sz w:val="21"/>
                <w:szCs w:val="44"/>
              </w:rPr>
              <m:t>oos</m:t>
            </m:r>
          </m:sub>
        </m:sSub>
      </m:oMath>
      <w:r w:rsidRPr="00694719">
        <w:rPr>
          <w:rFonts w:ascii="Times New Roman" w:hAnsi="Times New Roman" w:cs="Times New Roman (正文 CS 字体)"/>
          <w:bCs/>
          <w:snapToGrid w:val="0"/>
          <w:color w:val="000000"/>
          <w:kern w:val="44"/>
          <w:sz w:val="21"/>
          <w:szCs w:val="44"/>
        </w:rPr>
        <w:t>), and out-of-sample mean absolute error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MAE</m:t>
            </m:r>
          </m:e>
          <m:sub>
            <m:r>
              <w:rPr>
                <w:rFonts w:ascii="Cambria Math" w:hAnsi="Cambria Math" w:cs="Times New Roman (正文 CS 字体)" w:hint="eastAsia"/>
                <w:snapToGrid w:val="0"/>
                <w:color w:val="000000"/>
                <w:kern w:val="44"/>
                <w:sz w:val="21"/>
                <w:szCs w:val="44"/>
              </w:rPr>
              <m:t>oos</m:t>
            </m:r>
          </m:sub>
        </m:sSub>
      </m:oMath>
      <w:r w:rsidRPr="00694719">
        <w:rPr>
          <w:rFonts w:ascii="Times New Roman" w:hAnsi="Times New Roman" w:cs="Times New Roman (正文 CS 字体)"/>
          <w:bCs/>
          <w:snapToGrid w:val="0"/>
          <w:color w:val="000000"/>
          <w:kern w:val="44"/>
          <w:sz w:val="21"/>
          <w:szCs w:val="44"/>
        </w:rPr>
        <w:t xml:space="preserve">). Higher </w:t>
      </w:r>
      <m:oMath>
        <m:sSup>
          <m:sSupPr>
            <m:ctrlPr>
              <w:rPr>
                <w:rFonts w:ascii="Cambria Math" w:hAnsi="Cambria Math" w:cs="Times New Roman (正文 CS 字体)"/>
                <w:bCs/>
                <w:snapToGrid w:val="0"/>
                <w:color w:val="000000"/>
                <w:kern w:val="44"/>
                <w:sz w:val="21"/>
                <w:szCs w:val="44"/>
              </w:rPr>
            </m:ctrlPr>
          </m:sSupPr>
          <m:e>
            <m:r>
              <w:rPr>
                <w:rFonts w:ascii="Cambria Math" w:hAnsi="Cambria Math" w:cs="Times New Roman (正文 CS 字体)" w:hint="eastAsia"/>
                <w:snapToGrid w:val="0"/>
                <w:color w:val="000000"/>
                <w:kern w:val="44"/>
                <w:sz w:val="21"/>
                <w:szCs w:val="44"/>
              </w:rPr>
              <m:t>R</m:t>
            </m:r>
          </m:e>
          <m:sup>
            <m:r>
              <w:rPr>
                <w:rFonts w:ascii="Cambria Math" w:hAnsi="Cambria Math" w:cs="Times New Roman (正文 CS 字体)"/>
                <w:snapToGrid w:val="0"/>
                <w:color w:val="000000"/>
                <w:kern w:val="44"/>
                <w:sz w:val="21"/>
                <w:szCs w:val="44"/>
              </w:rPr>
              <m:t>2</m:t>
            </m:r>
          </m:sup>
        </m:sSup>
      </m:oMath>
      <w:r w:rsidRPr="00694719">
        <w:rPr>
          <w:rFonts w:ascii="Times New Roman" w:hAnsi="Times New Roman" w:cs="Times New Roman (正文 CS 字体)"/>
          <w:bCs/>
          <w:snapToGrid w:val="0"/>
          <w:color w:val="000000"/>
          <w:kern w:val="44"/>
          <w:sz w:val="21"/>
          <w:szCs w:val="44"/>
        </w:rPr>
        <w:t xml:space="preserve"> values indicate better model fit and generalization performance, whereas lower </w:t>
      </w:r>
      <w:r w:rsidRPr="00694719">
        <w:rPr>
          <w:rFonts w:ascii="Times New Roman" w:hAnsi="Times New Roman" w:cs="Times New Roman (正文 CS 字体)"/>
          <w:bCs/>
          <w:i/>
          <w:iCs/>
          <w:snapToGrid w:val="0"/>
          <w:color w:val="000000"/>
          <w:kern w:val="44"/>
          <w:sz w:val="21"/>
          <w:szCs w:val="44"/>
        </w:rPr>
        <w:t>MSE</w:t>
      </w:r>
      <w:r w:rsidRPr="00694719">
        <w:rPr>
          <w:rFonts w:ascii="Times New Roman" w:hAnsi="Times New Roman" w:cs="Times New Roman (正文 CS 字体)"/>
          <w:bCs/>
          <w:snapToGrid w:val="0"/>
          <w:color w:val="000000"/>
          <w:kern w:val="44"/>
          <w:sz w:val="21"/>
          <w:szCs w:val="44"/>
        </w:rPr>
        <w:t xml:space="preserve"> and </w:t>
      </w:r>
      <w:r w:rsidRPr="00694719">
        <w:rPr>
          <w:rFonts w:ascii="Times New Roman" w:hAnsi="Times New Roman" w:cs="Times New Roman (正文 CS 字体)"/>
          <w:bCs/>
          <w:i/>
          <w:iCs/>
          <w:snapToGrid w:val="0"/>
          <w:color w:val="000000"/>
          <w:kern w:val="44"/>
          <w:sz w:val="21"/>
          <w:szCs w:val="44"/>
        </w:rPr>
        <w:t>MAE</w:t>
      </w:r>
      <w:r w:rsidRPr="00694719">
        <w:rPr>
          <w:rFonts w:ascii="Times New Roman" w:hAnsi="Times New Roman" w:cs="Times New Roman (正文 CS 字体)"/>
          <w:bCs/>
          <w:snapToGrid w:val="0"/>
          <w:color w:val="000000"/>
          <w:kern w:val="44"/>
          <w:sz w:val="21"/>
          <w:szCs w:val="44"/>
        </w:rPr>
        <w:t xml:space="preserve"> values indicate smaller prediction errors. These metrics are compared across models to identify the best-performing model for predicting </w:t>
      </w:r>
      <w:r w:rsidRPr="00694719">
        <w:rPr>
          <w:rFonts w:ascii="Times New Roman" w:hAnsi="Times New Roman" w:cs="Times New Roman (正文 CS 字体)"/>
          <w:bCs/>
          <w:i/>
          <w:iCs/>
          <w:snapToGrid w:val="0"/>
          <w:color w:val="000000"/>
          <w:kern w:val="44"/>
          <w:sz w:val="21"/>
          <w:szCs w:val="44"/>
        </w:rPr>
        <w:t>EIR</w:t>
      </w:r>
      <w:r w:rsidRPr="00694719">
        <w:rPr>
          <w:rFonts w:ascii="Times New Roman" w:hAnsi="Times New Roman" w:cs="Times New Roman (正文 CS 字体)" w:hint="eastAsia"/>
          <w:bCs/>
          <w:snapToGrid w:val="0"/>
          <w:color w:val="000000"/>
          <w:kern w:val="44"/>
          <w:sz w:val="21"/>
          <w:szCs w:val="44"/>
          <w:vertAlign w:val="subscript"/>
        </w:rPr>
        <w:t>t</w:t>
      </w:r>
      <w:r w:rsidRPr="00694719">
        <w:rPr>
          <w:rFonts w:ascii="Times New Roman" w:hAnsi="Times New Roman" w:cs="Times New Roman (正文 CS 字体)"/>
          <w:bCs/>
          <w:snapToGrid w:val="0"/>
          <w:color w:val="000000"/>
          <w:kern w:val="44"/>
          <w:sz w:val="21"/>
          <w:szCs w:val="44"/>
          <w:vertAlign w:val="subscript"/>
        </w:rPr>
        <w:t>+1</w:t>
      </w:r>
      <w:r w:rsidRPr="00694719">
        <w:rPr>
          <w:rFonts w:ascii="Times New Roman" w:hAnsi="Times New Roman" w:cs="Times New Roman (正文 CS 字体)"/>
          <w:bCs/>
          <w:snapToGrid w:val="0"/>
          <w:color w:val="000000"/>
          <w:kern w:val="44"/>
          <w:sz w:val="21"/>
          <w:szCs w:val="44"/>
        </w:rPr>
        <w:t>, which is subsequently used for feature-importance analysis and SHAP-based interpretation.</w:t>
      </w:r>
    </w:p>
    <w:p w:rsidR="00694719" w:rsidRPr="00694719" w:rsidRDefault="00694719" w:rsidP="00694719">
      <w:pPr>
        <w:jc w:val="both"/>
        <w:outlineLvl w:val="1"/>
        <w:rPr>
          <w:rFonts w:ascii="Times New Roman" w:hAnsi="Times New Roman" w:cs="Times New Roman (正文 CS 字体)"/>
          <w:b/>
          <w:bCs/>
          <w:snapToGrid w:val="0"/>
          <w:color w:val="FF0000"/>
          <w:kern w:val="44"/>
          <w:sz w:val="21"/>
          <w:szCs w:val="44"/>
        </w:rPr>
      </w:pPr>
      <w:r w:rsidRPr="00694719">
        <w:rPr>
          <w:rFonts w:ascii="Times New Roman" w:hAnsi="Times New Roman" w:cs="Times New Roman (正文 CS 字体)"/>
          <w:b/>
          <w:bCs/>
          <w:snapToGrid w:val="0"/>
          <w:color w:val="000000"/>
          <w:kern w:val="44"/>
          <w:sz w:val="21"/>
          <w:szCs w:val="44"/>
        </w:rPr>
        <w:t>Model interpretation</w:t>
      </w:r>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This study not only examines the predictive power of multiple </w:t>
      </w:r>
      <w:r w:rsidRPr="00694719">
        <w:rPr>
          <w:rFonts w:ascii="Times New Roman" w:hAnsi="Times New Roman" w:cs="Times New Roman (正文 CS 字体)"/>
          <w:bCs/>
          <w:i/>
          <w:iCs/>
          <w:snapToGrid w:val="0"/>
          <w:color w:val="000000"/>
          <w:kern w:val="44"/>
          <w:sz w:val="21"/>
          <w:szCs w:val="44"/>
        </w:rPr>
        <w:t>IE</w:t>
      </w:r>
      <w:r w:rsidRPr="00694719">
        <w:rPr>
          <w:rFonts w:ascii="Times New Roman" w:hAnsi="Times New Roman" w:cs="Times New Roman (正文 CS 字体)"/>
          <w:bCs/>
          <w:snapToGrid w:val="0"/>
          <w:color w:val="000000"/>
          <w:kern w:val="44"/>
          <w:sz w:val="21"/>
          <w:szCs w:val="44"/>
        </w:rPr>
        <w:t xml:space="preserve"> variables for </w:t>
      </w:r>
      <w:r w:rsidRPr="00694719">
        <w:rPr>
          <w:rFonts w:ascii="Times New Roman" w:hAnsi="Times New Roman" w:cs="Times New Roman (正文 CS 字体)"/>
          <w:bCs/>
          <w:i/>
          <w:iCs/>
          <w:snapToGrid w:val="0"/>
          <w:color w:val="000000"/>
          <w:kern w:val="44"/>
          <w:sz w:val="21"/>
          <w:szCs w:val="44"/>
        </w:rPr>
        <w:t>EIR</w:t>
      </w:r>
      <w:r w:rsidRPr="00694719">
        <w:rPr>
          <w:rFonts w:ascii="Times New Roman" w:hAnsi="Times New Roman" w:cs="Times New Roman (正文 CS 字体)"/>
          <w:bCs/>
          <w:snapToGrid w:val="0"/>
          <w:color w:val="000000"/>
          <w:kern w:val="44"/>
          <w:sz w:val="21"/>
          <w:szCs w:val="44"/>
          <w:vertAlign w:val="subscript"/>
        </w:rPr>
        <w:t>t+1</w:t>
      </w:r>
      <w:r w:rsidRPr="00694719">
        <w:rPr>
          <w:rFonts w:ascii="Times New Roman" w:hAnsi="Times New Roman" w:cs="Times New Roman (正文 CS 字体)"/>
          <w:bCs/>
          <w:snapToGrid w:val="0"/>
          <w:color w:val="000000"/>
          <w:kern w:val="44"/>
          <w:sz w:val="21"/>
          <w:szCs w:val="44"/>
        </w:rPr>
        <w:t>, but also seeks to reveal their relative importance and distinctive roles in prediction. Conventional measures of global feature importance, such as those based on split gain or loss reduction, can reflect each feature’s contribution to the model’s overall predictive performance but have limitations in the consistency and interpretability of feature attribution. We therefore further introduce the SHAP-based model interpretation method to conduct an in-depth analysis of the machine-learning prediction results.</w:t>
      </w:r>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SHAP-based methods build on the Shapley value from cooperative game theory. By assessing the marginal contribution of each feature across different feature combinations, these methods decompose a model prediction into feature-specific contributions, thereby enabling the attribution and interpretation of predictions from complex machine learning models (Chen et al., 2023). This feature-attribution framework reveals local contributions for individual samples and provides global interpretations by aggregating attribution results across multiple samples. TreeSHAP further enables the efficient computation of Shapley values for tree-based models and supports analyses of global feature importance and feature interaction patterns (Lundberg et al., 2020). The SHAP model additively decomposes a model prediction, with its basic formulation given in Equation (6):</w:t>
      </w:r>
    </w:p>
    <w:p w:rsidR="00694719" w:rsidRPr="00694719" w:rsidRDefault="00190974" w:rsidP="00694719">
      <w:pPr>
        <w:ind w:firstLineChars="95" w:firstLine="199"/>
        <w:jc w:val="both"/>
        <w:rPr>
          <w:rFonts w:ascii="Times New Roman" w:hAnsi="Times New Roman" w:cs="Times New Roman (正文 CS 字体)"/>
          <w:bCs/>
          <w:snapToGrid w:val="0"/>
          <w:color w:val="000000"/>
          <w:kern w:val="44"/>
          <w:sz w:val="21"/>
          <w:szCs w:val="44"/>
        </w:rPr>
      </w:pPr>
      <m:oMathPara>
        <m:oMathParaPr>
          <m:jc m:val="center"/>
        </m:oMathParaP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y</m:t>
              </m:r>
            </m:e>
            <m:sub>
              <m:r>
                <w:rPr>
                  <w:rFonts w:ascii="Cambria Math" w:hAnsi="Cambria Math" w:cs="Times New Roman (正文 CS 字体)" w:hint="eastAsia"/>
                  <w:snapToGrid w:val="0"/>
                  <w:color w:val="000000"/>
                  <w:kern w:val="44"/>
                  <w:sz w:val="21"/>
                  <w:szCs w:val="44"/>
                </w:rPr>
                <m:t>m</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y</m:t>
              </m:r>
            </m:e>
            <m:sub>
              <m:r>
                <w:rPr>
                  <w:rFonts w:ascii="Cambria Math" w:hAnsi="Cambria Math" w:cs="Times New Roman (正文 CS 字体)"/>
                  <w:snapToGrid w:val="0"/>
                  <w:color w:val="000000"/>
                  <w:kern w:val="44"/>
                  <w:sz w:val="21"/>
                  <w:szCs w:val="44"/>
                </w:rPr>
                <m:t>0</m:t>
              </m:r>
            </m:sub>
          </m:sSub>
          <m:r>
            <w:rPr>
              <w:rFonts w:ascii="Cambria Math" w:hAnsi="Cambria Math" w:cs="Times New Roman (正文 CS 字体)"/>
              <w:snapToGrid w:val="0"/>
              <w:color w:val="000000"/>
              <w:kern w:val="44"/>
              <w:sz w:val="21"/>
              <w:szCs w:val="44"/>
            </w:rPr>
            <m:t>+</m:t>
          </m:r>
          <m:nary>
            <m:naryPr>
              <m:chr m:val="∑"/>
              <m:ctrlPr>
                <w:rPr>
                  <w:rFonts w:ascii="Cambria Math" w:hAnsi="Cambria Math" w:cs="Times New Roman (正文 CS 字体)"/>
                  <w:bCs/>
                  <w:i/>
                  <w:snapToGrid w:val="0"/>
                  <w:color w:val="000000"/>
                  <w:kern w:val="44"/>
                  <w:sz w:val="21"/>
                  <w:szCs w:val="44"/>
                </w:rPr>
              </m:ctrlPr>
            </m:naryPr>
            <m:sub>
              <m:r>
                <w:rPr>
                  <w:rFonts w:ascii="Cambria Math" w:hAnsi="Cambria Math" w:cs="Times New Roman (正文 CS 字体)"/>
                  <w:snapToGrid w:val="0"/>
                  <w:color w:val="000000"/>
                  <w:kern w:val="44"/>
                  <w:sz w:val="21"/>
                  <w:szCs w:val="44"/>
                </w:rPr>
                <m:t>n=1</m:t>
              </m:r>
            </m:sub>
            <m:sup>
              <m:r>
                <w:rPr>
                  <w:rFonts w:ascii="Cambria Math" w:hAnsi="Cambria Math" w:cs="Times New Roman (正文 CS 字体)" w:hint="eastAsia"/>
                  <w:snapToGrid w:val="0"/>
                  <w:color w:val="000000"/>
                  <w:kern w:val="44"/>
                  <w:sz w:val="21"/>
                  <w:szCs w:val="44"/>
                </w:rPr>
                <m:t>N</m:t>
              </m:r>
            </m:sup>
            <m:e>
              <m:r>
                <w:rPr>
                  <w:rFonts w:ascii="Cambria Math" w:hAnsi="Cambria Math" w:cs="Times New Roman (正文 CS 字体)"/>
                  <w:snapToGrid w:val="0"/>
                  <w:color w:val="000000"/>
                  <w:kern w:val="44"/>
                  <w:sz w:val="21"/>
                  <w:szCs w:val="44"/>
                </w:rPr>
                <m:t>g</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mn</m:t>
                      </m:r>
                    </m:sub>
                  </m:sSub>
                </m:e>
              </m:d>
            </m:e>
          </m:nary>
          <m:r>
            <w:rPr>
              <w:rFonts w:ascii="Cambria Math" w:hAnsi="Cambria Math" w:cs="Times New Roman (正文 CS 字体)"/>
              <w:snapToGrid w:val="0"/>
              <w:color w:val="000000"/>
              <w:kern w:val="44"/>
              <w:sz w:val="21"/>
              <w:szCs w:val="44"/>
            </w:rPr>
            <m:t xml:space="preserve">                         (6)</m:t>
          </m:r>
        </m:oMath>
      </m:oMathPara>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where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mn</m:t>
            </m:r>
          </m:sub>
        </m:sSub>
      </m:oMath>
      <w:r w:rsidRPr="00694719">
        <w:rPr>
          <w:rFonts w:ascii="Times New Roman" w:hAnsi="Times New Roman" w:cs="Times New Roman (正文 CS 字体)"/>
          <w:bCs/>
          <w:snapToGrid w:val="0"/>
          <w:color w:val="000000"/>
          <w:kern w:val="44"/>
          <w:sz w:val="21"/>
          <w:szCs w:val="44"/>
        </w:rPr>
        <w:t xml:space="preserve"> denotes the </w:t>
      </w:r>
      <w:r w:rsidRPr="00694719">
        <w:rPr>
          <w:rFonts w:ascii="Times New Roman" w:hAnsi="Times New Roman" w:cs="Times New Roman (正文 CS 字体)"/>
          <w:bCs/>
          <w:i/>
          <w:iCs/>
          <w:snapToGrid w:val="0"/>
          <w:color w:val="000000"/>
          <w:kern w:val="44"/>
          <w:sz w:val="21"/>
          <w:szCs w:val="44"/>
        </w:rPr>
        <w:t>n</w:t>
      </w:r>
      <w:r w:rsidRPr="00694719">
        <w:rPr>
          <w:rFonts w:ascii="Times New Roman" w:hAnsi="Times New Roman" w:cs="Times New Roman (正文 CS 字体)"/>
          <w:bCs/>
          <w:snapToGrid w:val="0"/>
          <w:color w:val="000000"/>
          <w:kern w:val="44"/>
          <w:sz w:val="21"/>
          <w:szCs w:val="44"/>
        </w:rPr>
        <w:t xml:space="preserve">th feature of the </w:t>
      </w:r>
      <w:r w:rsidRPr="00694719">
        <w:rPr>
          <w:rFonts w:ascii="Times New Roman" w:hAnsi="Times New Roman" w:cs="Times New Roman (正文 CS 字体)"/>
          <w:bCs/>
          <w:i/>
          <w:iCs/>
          <w:snapToGrid w:val="0"/>
          <w:color w:val="000000"/>
          <w:kern w:val="44"/>
          <w:sz w:val="21"/>
          <w:szCs w:val="44"/>
        </w:rPr>
        <w:t>m</w:t>
      </w:r>
      <w:r w:rsidRPr="00694719">
        <w:rPr>
          <w:rFonts w:ascii="Times New Roman" w:hAnsi="Times New Roman" w:cs="Times New Roman (正文 CS 字体)"/>
          <w:bCs/>
          <w:snapToGrid w:val="0"/>
          <w:color w:val="000000"/>
          <w:kern w:val="44"/>
          <w:sz w:val="21"/>
          <w:szCs w:val="44"/>
        </w:rPr>
        <w:t xml:space="preserve">th sample;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y</m:t>
            </m:r>
          </m:e>
          <m:sub>
            <m:r>
              <w:rPr>
                <w:rFonts w:ascii="Cambria Math" w:hAnsi="Cambria Math" w:cs="Times New Roman (正文 CS 字体)" w:hint="eastAsia"/>
                <w:snapToGrid w:val="0"/>
                <w:color w:val="000000"/>
                <w:kern w:val="44"/>
                <w:sz w:val="21"/>
                <w:szCs w:val="44"/>
              </w:rPr>
              <m:t>m</m:t>
            </m:r>
          </m:sub>
        </m:sSub>
      </m:oMath>
      <w:r w:rsidRPr="00694719">
        <w:rPr>
          <w:rFonts w:ascii="Times New Roman" w:hAnsi="Times New Roman" w:cs="Times New Roman (正文 CS 字体)"/>
          <w:bCs/>
          <w:snapToGrid w:val="0"/>
          <w:color w:val="000000"/>
          <w:kern w:val="44"/>
          <w:sz w:val="21"/>
          <w:szCs w:val="44"/>
        </w:rPr>
        <w:t xml:space="preserve"> denotes the model’s predicted value for the </w:t>
      </w:r>
      <w:r w:rsidRPr="00694719">
        <w:rPr>
          <w:rFonts w:ascii="Times New Roman" w:hAnsi="Times New Roman" w:cs="Times New Roman (正文 CS 字体)"/>
          <w:bCs/>
          <w:i/>
          <w:iCs/>
          <w:snapToGrid w:val="0"/>
          <w:color w:val="000000"/>
          <w:kern w:val="44"/>
          <w:sz w:val="21"/>
          <w:szCs w:val="44"/>
        </w:rPr>
        <w:t>m</w:t>
      </w:r>
      <w:r w:rsidRPr="00694719">
        <w:rPr>
          <w:rFonts w:ascii="Times New Roman" w:hAnsi="Times New Roman" w:cs="Times New Roman (正文 CS 字体)"/>
          <w:bCs/>
          <w:snapToGrid w:val="0"/>
          <w:color w:val="000000"/>
          <w:kern w:val="44"/>
          <w:sz w:val="21"/>
          <w:szCs w:val="44"/>
        </w:rPr>
        <w:t xml:space="preserve">th sample;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y</m:t>
            </m:r>
          </m:e>
          <m:sub>
            <m:r>
              <w:rPr>
                <w:rFonts w:ascii="Cambria Math" w:hAnsi="Cambria Math" w:cs="Times New Roman (正文 CS 字体)"/>
                <w:snapToGrid w:val="0"/>
                <w:color w:val="000000"/>
                <w:kern w:val="44"/>
                <w:sz w:val="21"/>
                <w:szCs w:val="44"/>
              </w:rPr>
              <m:t>0</m:t>
            </m:r>
          </m:sub>
        </m:sSub>
      </m:oMath>
      <w:r w:rsidRPr="00694719">
        <w:rPr>
          <w:rFonts w:ascii="Times New Roman" w:hAnsi="Times New Roman" w:cs="Times New Roman (正文 CS 字体)"/>
          <w:bCs/>
          <w:snapToGrid w:val="0"/>
          <w:color w:val="000000"/>
          <w:kern w:val="44"/>
          <w:sz w:val="21"/>
          <w:szCs w:val="44"/>
        </w:rPr>
        <w:t xml:space="preserve"> denotes the model’s baseline prediction; </w:t>
      </w:r>
      <w:r w:rsidRPr="00694719">
        <w:rPr>
          <w:rFonts w:ascii="Times New Roman" w:hAnsi="Times New Roman" w:cs="Times New Roman (正文 CS 字体)"/>
          <w:bCs/>
          <w:i/>
          <w:iCs/>
          <w:snapToGrid w:val="0"/>
          <w:color w:val="000000"/>
          <w:kern w:val="44"/>
          <w:sz w:val="21"/>
          <w:szCs w:val="44"/>
        </w:rPr>
        <w:t>N</w:t>
      </w:r>
      <w:r w:rsidRPr="00694719">
        <w:rPr>
          <w:rFonts w:ascii="Times New Roman" w:hAnsi="Times New Roman" w:cs="Times New Roman (正文 CS 字体)"/>
          <w:bCs/>
          <w:snapToGrid w:val="0"/>
          <w:color w:val="000000"/>
          <w:kern w:val="44"/>
          <w:sz w:val="21"/>
          <w:szCs w:val="44"/>
        </w:rPr>
        <w:t xml:space="preserve"> denotes the total number of features; and </w:t>
      </w:r>
      <m:oMath>
        <m:r>
          <w:rPr>
            <w:rFonts w:ascii="Cambria Math" w:hAnsi="Cambria Math" w:cs="Times New Roman (正文 CS 字体)"/>
            <w:snapToGrid w:val="0"/>
            <w:color w:val="000000"/>
            <w:kern w:val="44"/>
            <w:sz w:val="21"/>
            <w:szCs w:val="44"/>
          </w:rPr>
          <m:t>g</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mn</m:t>
                </m:r>
              </m:sub>
            </m:sSub>
          </m:e>
        </m:d>
      </m:oMath>
      <w:r w:rsidRPr="00694719">
        <w:rPr>
          <w:rFonts w:ascii="Times New Roman" w:hAnsi="Times New Roman" w:cs="Times New Roman (正文 CS 字体)"/>
          <w:bCs/>
          <w:snapToGrid w:val="0"/>
          <w:color w:val="000000"/>
          <w:kern w:val="44"/>
          <w:sz w:val="21"/>
          <w:szCs w:val="44"/>
        </w:rPr>
        <w:t xml:space="preserve"> denotes the Shapley value associated with feature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hint="eastAsia"/>
                <w:snapToGrid w:val="0"/>
                <w:color w:val="000000"/>
                <w:kern w:val="44"/>
                <w:sz w:val="21"/>
                <w:szCs w:val="44"/>
              </w:rPr>
              <m:t>mn</m:t>
            </m:r>
          </m:sub>
        </m:sSub>
      </m:oMath>
      <w:r w:rsidRPr="00694719">
        <w:rPr>
          <w:rFonts w:ascii="Times New Roman" w:hAnsi="Times New Roman" w:cs="Times New Roman (正文 CS 字体)"/>
          <w:bCs/>
          <w:snapToGrid w:val="0"/>
          <w:color w:val="000000"/>
          <w:kern w:val="44"/>
          <w:sz w:val="21"/>
          <w:szCs w:val="44"/>
        </w:rPr>
        <w:t>. The Shapley value is calculated as shown in Eq. (7):</w:t>
      </w:r>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m:oMathPara>
        <m:oMathParaPr>
          <m:jc m:val="center"/>
        </m:oMathParaPr>
        <m:oMath>
          <m:r>
            <w:rPr>
              <w:rFonts w:ascii="Cambria Math" w:hAnsi="Cambria Math" w:cs="Times New Roman (正文 CS 字体)"/>
              <w:snapToGrid w:val="0"/>
              <w:color w:val="000000"/>
              <w:kern w:val="44"/>
              <w:sz w:val="21"/>
              <w:szCs w:val="44"/>
            </w:rPr>
            <m:t>g</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mn</m:t>
                  </m:r>
                </m:sub>
              </m:sSub>
            </m:e>
          </m:d>
          <m:r>
            <m:rPr>
              <m:sty m:val="p"/>
            </m:rPr>
            <w:rPr>
              <w:rFonts w:ascii="Cambria Math" w:hAnsi="Cambria Math" w:cs="Times New Roman (正文 CS 字体)"/>
              <w:snapToGrid w:val="0"/>
              <w:color w:val="000000"/>
              <w:kern w:val="44"/>
              <w:sz w:val="21"/>
              <w:szCs w:val="44"/>
            </w:rPr>
            <m:t>=</m:t>
          </m:r>
          <m:nary>
            <m:naryPr>
              <m:chr m:val="∑"/>
              <m:limLoc m:val="undOvr"/>
              <m:supHide m:val="1"/>
              <m:ctrlPr>
                <w:rPr>
                  <w:rFonts w:ascii="Cambria Math" w:hAnsi="Cambria Math" w:cs="Times New Roman (正文 CS 字体)"/>
                  <w:bCs/>
                  <w:snapToGrid w:val="0"/>
                  <w:color w:val="000000"/>
                  <w:kern w:val="44"/>
                  <w:sz w:val="21"/>
                  <w:szCs w:val="44"/>
                </w:rPr>
              </m:ctrlPr>
            </m:naryPr>
            <m:sub>
              <m:r>
                <w:rPr>
                  <w:rFonts w:ascii="Cambria Math" w:hAnsi="Cambria Math" w:cs="Times New Roman (正文 CS 字体)" w:hint="eastAsia"/>
                  <w:snapToGrid w:val="0"/>
                  <w:color w:val="000000"/>
                  <w:kern w:val="44"/>
                  <w:sz w:val="21"/>
                  <w:szCs w:val="44"/>
                </w:rPr>
                <m:t>S</m:t>
              </m:r>
              <m:d>
                <m:dPr>
                  <m:begChr m:val="{"/>
                  <m:endChr m:val="}"/>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snapToGrid w:val="0"/>
                          <w:color w:val="000000"/>
                          <w:kern w:val="44"/>
                          <w:sz w:val="21"/>
                          <w:szCs w:val="44"/>
                        </w:rPr>
                        <m:t>1</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2</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e>
              </m:d>
              <m:d>
                <m:dPr>
                  <m:begChr m:val="{"/>
                  <m:endChr m:val="}"/>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e>
              </m:d>
            </m:sub>
            <m:sup/>
            <m:e>
              <m:f>
                <m:fPr>
                  <m:ctrlPr>
                    <w:rPr>
                      <w:rFonts w:ascii="Cambria Math" w:hAnsi="Cambria Math" w:cs="Times New Roman (正文 CS 字体)"/>
                      <w:bCs/>
                      <w:i/>
                      <w:snapToGrid w:val="0"/>
                      <w:color w:val="000000"/>
                      <w:kern w:val="44"/>
                      <w:sz w:val="21"/>
                      <w:szCs w:val="44"/>
                    </w:rPr>
                  </m:ctrlPr>
                </m:fPr>
                <m:num>
                  <m:d>
                    <m:dPr>
                      <m:begChr m:val="|"/>
                      <m:endChr m:val="|"/>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S</m:t>
                      </m:r>
                    </m:e>
                  </m:d>
                  <m:r>
                    <w:rPr>
                      <w:rFonts w:ascii="Cambria Math" w:hAnsi="Cambria Math" w:cs="Times New Roman (正文 CS 字体)"/>
                      <w:snapToGrid w:val="0"/>
                      <w:color w:val="000000"/>
                      <w:kern w:val="44"/>
                      <w:sz w:val="21"/>
                      <w:szCs w:val="44"/>
                    </w:rPr>
                    <m:t>!</m:t>
                  </m:r>
                  <m:d>
                    <m:dPr>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N-</m:t>
                      </m:r>
                      <m:d>
                        <m:dPr>
                          <m:begChr m:val="|"/>
                          <m:endChr m:val="|"/>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S</m:t>
                          </m:r>
                        </m:e>
                      </m:d>
                      <m:r>
                        <w:rPr>
                          <w:rFonts w:ascii="Cambria Math" w:hAnsi="Cambria Math" w:cs="Times New Roman (正文 CS 字体)"/>
                          <w:snapToGrid w:val="0"/>
                          <w:color w:val="000000"/>
                          <w:kern w:val="44"/>
                          <w:sz w:val="21"/>
                          <w:szCs w:val="44"/>
                        </w:rPr>
                        <m:t>-1</m:t>
                      </m:r>
                    </m:e>
                  </m:d>
                  <m:r>
                    <w:rPr>
                      <w:rFonts w:ascii="Cambria Math" w:hAnsi="Cambria Math" w:cs="Times New Roman (正文 CS 字体)"/>
                      <w:snapToGrid w:val="0"/>
                      <w:color w:val="000000"/>
                      <w:kern w:val="44"/>
                      <w:sz w:val="21"/>
                      <w:szCs w:val="44"/>
                    </w:rPr>
                    <m:t>!</m:t>
                  </m:r>
                </m:num>
                <m:den>
                  <m:r>
                    <w:rPr>
                      <w:rFonts w:ascii="Cambria Math" w:hAnsi="Cambria Math" w:cs="Times New Roman (正文 CS 字体)"/>
                      <w:snapToGrid w:val="0"/>
                      <w:color w:val="000000"/>
                      <w:kern w:val="44"/>
                      <w:sz w:val="21"/>
                      <w:szCs w:val="44"/>
                    </w:rPr>
                    <m:t>N!</m:t>
                  </m:r>
                </m:den>
              </m:f>
              <m:r>
                <w:rPr>
                  <w:rFonts w:ascii="Cambria Math" w:hAnsi="Cambria Math" w:cs="Times New Roman (正文 CS 字体)"/>
                  <w:snapToGrid w:val="0"/>
                  <w:color w:val="000000"/>
                  <w:kern w:val="44"/>
                  <w:sz w:val="21"/>
                  <w:szCs w:val="44"/>
                </w:rPr>
                <m:t>×</m:t>
              </m:r>
              <m:d>
                <m:dPr>
                  <m:begChr m:val="["/>
                  <m:endChr m:val="]"/>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f</m:t>
                      </m:r>
                    </m:e>
                    <m:sub>
                      <m:r>
                        <w:rPr>
                          <w:rFonts w:ascii="Cambria Math" w:hAnsi="Cambria Math" w:cs="Times New Roman (正文 CS 字体)"/>
                          <w:snapToGrid w:val="0"/>
                          <w:color w:val="000000"/>
                          <w:kern w:val="44"/>
                          <w:sz w:val="21"/>
                          <w:szCs w:val="44"/>
                        </w:rPr>
                        <m:t>x</m:t>
                      </m:r>
                    </m:sub>
                  </m:sSub>
                  <m:d>
                    <m:dPr>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S∪</m:t>
                      </m:r>
                      <m:d>
                        <m:dPr>
                          <m:begChr m:val="{"/>
                          <m:endChr m:val="}"/>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e>
                      </m:d>
                    </m:e>
                  </m:d>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f</m:t>
                      </m:r>
                    </m:e>
                    <m:sub>
                      <m:r>
                        <w:rPr>
                          <w:rFonts w:ascii="Cambria Math" w:hAnsi="Cambria Math" w:cs="Times New Roman (正文 CS 字体)"/>
                          <w:snapToGrid w:val="0"/>
                          <w:color w:val="000000"/>
                          <w:kern w:val="44"/>
                          <w:sz w:val="21"/>
                          <w:szCs w:val="44"/>
                        </w:rPr>
                        <m:t>x</m:t>
                      </m:r>
                    </m:sub>
                  </m:sSub>
                  <m:d>
                    <m:dPr>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S</m:t>
                      </m:r>
                    </m:e>
                  </m:d>
                </m:e>
              </m:d>
            </m:e>
          </m:nary>
          <m:r>
            <w:rPr>
              <w:rFonts w:ascii="Cambria Math" w:hAnsi="Cambria Math" w:cs="Times New Roman (正文 CS 字体)"/>
              <w:snapToGrid w:val="0"/>
              <w:color w:val="000000"/>
              <w:kern w:val="44"/>
              <w:sz w:val="21"/>
              <w:szCs w:val="44"/>
            </w:rPr>
            <m:t xml:space="preserve">         (</m:t>
          </m:r>
          <m:r>
            <m:rPr>
              <m:sty m:val="p"/>
            </m:rPr>
            <w:rPr>
              <w:rFonts w:ascii="Cambria Math" w:hAnsi="Cambria Math" w:cs="Times New Roman (正文 CS 字体)"/>
              <w:snapToGrid w:val="0"/>
              <w:color w:val="000000"/>
              <w:kern w:val="44"/>
              <w:sz w:val="21"/>
              <w:szCs w:val="44"/>
            </w:rPr>
            <m:t>7</m:t>
          </m:r>
          <m:r>
            <w:rPr>
              <w:rFonts w:ascii="Cambria Math" w:hAnsi="Cambria Math" w:cs="Times New Roman (正文 CS 字体)"/>
              <w:snapToGrid w:val="0"/>
              <w:color w:val="000000"/>
              <w:kern w:val="44"/>
              <w:sz w:val="21"/>
              <w:szCs w:val="44"/>
            </w:rPr>
            <m:t>)</m:t>
          </m:r>
        </m:oMath>
      </m:oMathPara>
    </w:p>
    <w:p w:rsidR="00694719" w:rsidRPr="00694719" w:rsidRDefault="00694719" w:rsidP="00694719">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t xml:space="preserve">where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snapToGrid w:val="0"/>
                <w:color w:val="000000"/>
                <w:kern w:val="44"/>
                <w:sz w:val="21"/>
                <w:szCs w:val="44"/>
              </w:rPr>
              <m:t>f</m:t>
            </m:r>
          </m:e>
          <m:sub>
            <m:r>
              <w:rPr>
                <w:rFonts w:ascii="Cambria Math" w:hAnsi="Cambria Math" w:cs="Times New Roman (正文 CS 字体)"/>
                <w:snapToGrid w:val="0"/>
                <w:color w:val="000000"/>
                <w:kern w:val="44"/>
                <w:sz w:val="21"/>
                <w:szCs w:val="44"/>
              </w:rPr>
              <m:t>x</m:t>
            </m:r>
          </m:sub>
        </m:sSub>
      </m:oMath>
      <w:r w:rsidRPr="00694719">
        <w:rPr>
          <w:rFonts w:ascii="Times New Roman" w:hAnsi="Times New Roman" w:cs="Times New Roman (正文 CS 字体)"/>
          <w:bCs/>
          <w:snapToGrid w:val="0"/>
          <w:color w:val="000000"/>
          <w:kern w:val="44"/>
          <w:sz w:val="21"/>
          <w:szCs w:val="44"/>
        </w:rPr>
        <w:t xml:space="preserve"> denotes the output function of the trained model; </w:t>
      </w:r>
      <m:oMath>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hint="eastAsia"/>
                <w:snapToGrid w:val="0"/>
                <w:color w:val="000000"/>
                <w:kern w:val="44"/>
                <w:sz w:val="21"/>
                <w:szCs w:val="44"/>
              </w:rPr>
              <m:t>x</m:t>
            </m:r>
          </m:e>
          <m:sub>
            <m:r>
              <w:rPr>
                <w:rFonts w:ascii="Cambria Math" w:hAnsi="Cambria Math" w:cs="Times New Roman (正文 CS 字体)"/>
                <w:snapToGrid w:val="0"/>
                <w:color w:val="000000"/>
                <w:kern w:val="44"/>
                <w:sz w:val="21"/>
                <w:szCs w:val="44"/>
              </w:rPr>
              <m:t>1</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2</m:t>
            </m:r>
          </m:sub>
        </m:sSub>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oMath>
      <w:r w:rsidRPr="00694719">
        <w:rPr>
          <w:rFonts w:ascii="Times New Roman" w:hAnsi="Times New Roman" w:cs="Times New Roman (正文 CS 字体)"/>
          <w:bCs/>
          <w:snapToGrid w:val="0"/>
          <w:color w:val="000000"/>
          <w:kern w:val="44"/>
          <w:sz w:val="21"/>
          <w:szCs w:val="44"/>
        </w:rPr>
        <w:t xml:space="preserve"> denotes the full set of features; </w:t>
      </w:r>
      <w:r w:rsidRPr="00694719">
        <w:rPr>
          <w:rFonts w:ascii="Times New Roman" w:hAnsi="Times New Roman" w:cs="Times New Roman (正文 CS 字体)"/>
          <w:bCs/>
          <w:i/>
          <w:iCs/>
          <w:snapToGrid w:val="0"/>
          <w:color w:val="000000"/>
          <w:kern w:val="44"/>
          <w:sz w:val="21"/>
          <w:szCs w:val="44"/>
        </w:rPr>
        <w:t>S</w:t>
      </w:r>
      <w:r w:rsidRPr="00694719">
        <w:rPr>
          <w:rFonts w:ascii="Times New Roman" w:hAnsi="Times New Roman" w:cs="Times New Roman (正文 CS 字体)"/>
          <w:bCs/>
          <w:snapToGrid w:val="0"/>
          <w:color w:val="000000"/>
          <w:kern w:val="44"/>
          <w:sz w:val="21"/>
          <w:szCs w:val="44"/>
        </w:rPr>
        <w:t xml:space="preserve"> denotes a subset of features that does not contain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oMath>
      <w:r w:rsidRPr="00694719">
        <w:rPr>
          <w:rFonts w:ascii="Times New Roman" w:hAnsi="Times New Roman" w:cs="Times New Roman (正文 CS 字体)"/>
          <w:bCs/>
          <w:snapToGrid w:val="0"/>
          <w:color w:val="000000"/>
          <w:kern w:val="44"/>
          <w:sz w:val="21"/>
          <w:szCs w:val="44"/>
        </w:rPr>
        <w:t xml:space="preserve">; and </w:t>
      </w:r>
      <m:oMath>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f</m:t>
            </m:r>
          </m:e>
          <m:sub>
            <m:r>
              <w:rPr>
                <w:rFonts w:ascii="Cambria Math" w:hAnsi="Cambria Math" w:cs="Times New Roman (正文 CS 字体)"/>
                <w:snapToGrid w:val="0"/>
                <w:color w:val="000000"/>
                <w:kern w:val="44"/>
                <w:sz w:val="21"/>
                <w:szCs w:val="44"/>
              </w:rPr>
              <m:t>x</m:t>
            </m:r>
          </m:sub>
        </m:sSub>
        <m:d>
          <m:dPr>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S∪</m:t>
            </m:r>
            <m:d>
              <m:dPr>
                <m:begChr m:val="{"/>
                <m:endChr m:val="}"/>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e>
            </m:d>
          </m:e>
        </m:d>
        <m:r>
          <w:rPr>
            <w:rFonts w:ascii="Cambria Math" w:hAnsi="Cambria Math" w:cs="Times New Roman (正文 CS 字体)"/>
            <w:snapToGrid w:val="0"/>
            <w:color w:val="000000"/>
            <w:kern w:val="44"/>
            <w:sz w:val="21"/>
            <w:szCs w:val="44"/>
          </w:rPr>
          <m:t>-</m:t>
        </m:r>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f</m:t>
            </m:r>
          </m:e>
          <m:sub>
            <m:r>
              <w:rPr>
                <w:rFonts w:ascii="Cambria Math" w:hAnsi="Cambria Math" w:cs="Times New Roman (正文 CS 字体)"/>
                <w:snapToGrid w:val="0"/>
                <w:color w:val="000000"/>
                <w:kern w:val="44"/>
                <w:sz w:val="21"/>
                <w:szCs w:val="44"/>
              </w:rPr>
              <m:t>x</m:t>
            </m:r>
          </m:sub>
        </m:sSub>
        <m:d>
          <m:dPr>
            <m:ctrlPr>
              <w:rPr>
                <w:rFonts w:ascii="Cambria Math" w:hAnsi="Cambria Math" w:cs="Times New Roman (正文 CS 字体)"/>
                <w:bCs/>
                <w:i/>
                <w:snapToGrid w:val="0"/>
                <w:color w:val="000000"/>
                <w:kern w:val="44"/>
                <w:sz w:val="21"/>
                <w:szCs w:val="44"/>
              </w:rPr>
            </m:ctrlPr>
          </m:dPr>
          <m:e>
            <m:r>
              <w:rPr>
                <w:rFonts w:ascii="Cambria Math" w:hAnsi="Cambria Math" w:cs="Times New Roman (正文 CS 字体)"/>
                <w:snapToGrid w:val="0"/>
                <w:color w:val="000000"/>
                <w:kern w:val="44"/>
                <w:sz w:val="21"/>
                <w:szCs w:val="44"/>
              </w:rPr>
              <m:t>S</m:t>
            </m:r>
          </m:e>
        </m:d>
      </m:oMath>
      <w:r w:rsidRPr="00694719">
        <w:rPr>
          <w:rFonts w:ascii="Times New Roman" w:hAnsi="Times New Roman" w:cs="Times New Roman (正文 CS 字体)"/>
          <w:bCs/>
          <w:snapToGrid w:val="0"/>
          <w:color w:val="000000"/>
          <w:kern w:val="44"/>
          <w:sz w:val="21"/>
          <w:szCs w:val="44"/>
        </w:rPr>
        <w:t xml:space="preserve"> denotes the marginal change in the model prediction resulting from adding feature </w:t>
      </w:r>
      <m:oMath>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n</m:t>
            </m:r>
          </m:sub>
        </m:sSub>
      </m:oMath>
      <w:r w:rsidRPr="00694719">
        <w:rPr>
          <w:rFonts w:ascii="Times New Roman" w:hAnsi="Times New Roman" w:cs="Times New Roman (正文 CS 字体)"/>
          <w:bCs/>
          <w:snapToGrid w:val="0"/>
          <w:color w:val="000000"/>
          <w:kern w:val="44"/>
          <w:sz w:val="21"/>
          <w:szCs w:val="44"/>
        </w:rPr>
        <w:t xml:space="preserve"> to the feature set </w:t>
      </w:r>
      <w:r w:rsidRPr="00694719">
        <w:rPr>
          <w:rFonts w:ascii="Times New Roman" w:hAnsi="Times New Roman" w:cs="Times New Roman (正文 CS 字体)"/>
          <w:bCs/>
          <w:i/>
          <w:iCs/>
          <w:snapToGrid w:val="0"/>
          <w:color w:val="000000"/>
          <w:kern w:val="44"/>
          <w:sz w:val="21"/>
          <w:szCs w:val="44"/>
        </w:rPr>
        <w:t>S</w:t>
      </w:r>
      <w:r w:rsidRPr="00694719">
        <w:rPr>
          <w:rFonts w:ascii="Times New Roman" w:hAnsi="Times New Roman" w:cs="Times New Roman (正文 CS 字体)"/>
          <w:bCs/>
          <w:snapToGrid w:val="0"/>
          <w:color w:val="000000"/>
          <w:kern w:val="44"/>
          <w:sz w:val="21"/>
          <w:szCs w:val="44"/>
        </w:rPr>
        <w:t>. The Shapley value of each feature is obtained by taking a weighted average of its marginal contributions across different feature subsets.</w:t>
      </w:r>
    </w:p>
    <w:p w:rsidR="00694719" w:rsidRPr="00F6530C" w:rsidRDefault="00694719" w:rsidP="00F6530C">
      <w:pPr>
        <w:ind w:firstLineChars="200" w:firstLine="420"/>
        <w:jc w:val="both"/>
        <w:rPr>
          <w:rFonts w:ascii="Times New Roman" w:hAnsi="Times New Roman" w:cs="Times New Roman (正文 CS 字体)"/>
          <w:bCs/>
          <w:snapToGrid w:val="0"/>
          <w:color w:val="000000"/>
          <w:kern w:val="44"/>
          <w:sz w:val="21"/>
          <w:szCs w:val="44"/>
        </w:rPr>
      </w:pPr>
      <w:r w:rsidRPr="00694719">
        <w:rPr>
          <w:rFonts w:ascii="Times New Roman" w:hAnsi="Times New Roman" w:cs="Times New Roman (正文 CS 字体)"/>
          <w:bCs/>
          <w:snapToGrid w:val="0"/>
          <w:color w:val="000000"/>
          <w:kern w:val="44"/>
          <w:sz w:val="21"/>
          <w:szCs w:val="44"/>
        </w:rPr>
        <w:lastRenderedPageBreak/>
        <w:t>Notably, the absolute Shapley value |</w:t>
      </w:r>
      <m:oMath>
        <m:r>
          <w:rPr>
            <w:rFonts w:ascii="Cambria Math" w:hAnsi="Cambria Math" w:cs="Times New Roman (正文 CS 字体)"/>
            <w:snapToGrid w:val="0"/>
            <w:color w:val="000000"/>
            <w:kern w:val="44"/>
            <w:sz w:val="21"/>
            <w:szCs w:val="44"/>
          </w:rPr>
          <m:t xml:space="preserve"> g</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mn</m:t>
                </m:r>
              </m:sub>
            </m:sSub>
          </m:e>
        </m:d>
      </m:oMath>
      <w:r w:rsidRPr="00694719">
        <w:rPr>
          <w:rFonts w:ascii="Times New Roman" w:hAnsi="Times New Roman" w:cs="Times New Roman (正文 CS 字体)"/>
          <w:bCs/>
          <w:snapToGrid w:val="0"/>
          <w:color w:val="000000"/>
          <w:kern w:val="44"/>
          <w:sz w:val="21"/>
          <w:szCs w:val="44"/>
        </w:rPr>
        <w:t xml:space="preserve">| of feature </w:t>
      </w:r>
      <m:oMath>
        <m:sSub>
          <m:sSubPr>
            <m:ctrlPr>
              <w:rPr>
                <w:rFonts w:ascii="Cambria Math" w:hAnsi="Cambria Math" w:cs="Times New Roman (正文 CS 字体)"/>
                <w:bCs/>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mn</m:t>
            </m:r>
          </m:sub>
        </m:sSub>
      </m:oMath>
      <w:r w:rsidRPr="00694719">
        <w:rPr>
          <w:rFonts w:ascii="Times New Roman" w:hAnsi="Times New Roman" w:cs="Times New Roman (正文 CS 字体)" w:hint="eastAsia"/>
          <w:bCs/>
          <w:snapToGrid w:val="0"/>
          <w:color w:val="000000"/>
          <w:kern w:val="44"/>
          <w:sz w:val="21"/>
          <w:szCs w:val="44"/>
        </w:rPr>
        <w:t xml:space="preserve"> </w:t>
      </w:r>
      <w:r w:rsidRPr="00694719">
        <w:rPr>
          <w:rFonts w:ascii="Times New Roman" w:hAnsi="Times New Roman" w:cs="Times New Roman (正文 CS 字体)"/>
          <w:bCs/>
          <w:snapToGrid w:val="0"/>
          <w:color w:val="000000"/>
          <w:kern w:val="44"/>
          <w:sz w:val="21"/>
          <w:szCs w:val="44"/>
        </w:rPr>
        <w:t xml:space="preserve">is positively associated with the magnitude of the feature’s contribution to the model prediction. A larger absolute value indicates greater feature importance, whereas the sign of the Shapley value </w:t>
      </w:r>
      <m:oMath>
        <m:r>
          <w:rPr>
            <w:rFonts w:ascii="Cambria Math" w:hAnsi="Cambria Math" w:cs="Times New Roman (正文 CS 字体)"/>
            <w:snapToGrid w:val="0"/>
            <w:color w:val="000000"/>
            <w:kern w:val="44"/>
            <w:sz w:val="21"/>
            <w:szCs w:val="44"/>
          </w:rPr>
          <m:t>g</m:t>
        </m:r>
        <m:d>
          <m:dPr>
            <m:ctrlPr>
              <w:rPr>
                <w:rFonts w:ascii="Cambria Math" w:hAnsi="Cambria Math" w:cs="Times New Roman (正文 CS 字体)"/>
                <w:bCs/>
                <w:i/>
                <w:snapToGrid w:val="0"/>
                <w:color w:val="000000"/>
                <w:kern w:val="44"/>
                <w:sz w:val="21"/>
                <w:szCs w:val="44"/>
              </w:rPr>
            </m:ctrlPr>
          </m:dPr>
          <m:e>
            <m:sSub>
              <m:sSubPr>
                <m:ctrlPr>
                  <w:rPr>
                    <w:rFonts w:ascii="Cambria Math" w:hAnsi="Cambria Math" w:cs="Times New Roman (正文 CS 字体)"/>
                    <w:bCs/>
                    <w:i/>
                    <w:snapToGrid w:val="0"/>
                    <w:color w:val="000000"/>
                    <w:kern w:val="44"/>
                    <w:sz w:val="21"/>
                    <w:szCs w:val="44"/>
                  </w:rPr>
                </m:ctrlPr>
              </m:sSubPr>
              <m:e>
                <m:r>
                  <w:rPr>
                    <w:rFonts w:ascii="Cambria Math" w:hAnsi="Cambria Math" w:cs="Times New Roman (正文 CS 字体)"/>
                    <w:snapToGrid w:val="0"/>
                    <w:color w:val="000000"/>
                    <w:kern w:val="44"/>
                    <w:sz w:val="21"/>
                    <w:szCs w:val="44"/>
                  </w:rPr>
                  <m:t>x</m:t>
                </m:r>
              </m:e>
              <m:sub>
                <m:r>
                  <w:rPr>
                    <w:rFonts w:ascii="Cambria Math" w:hAnsi="Cambria Math" w:cs="Times New Roman (正文 CS 字体)"/>
                    <w:snapToGrid w:val="0"/>
                    <w:color w:val="000000"/>
                    <w:kern w:val="44"/>
                    <w:sz w:val="21"/>
                    <w:szCs w:val="44"/>
                  </w:rPr>
                  <m:t>mn</m:t>
                </m:r>
              </m:sub>
            </m:sSub>
          </m:e>
        </m:d>
      </m:oMath>
      <w:r w:rsidRPr="00694719">
        <w:rPr>
          <w:rFonts w:ascii="Times New Roman" w:hAnsi="Times New Roman" w:cs="Times New Roman (正文 CS 字体)"/>
          <w:bCs/>
          <w:snapToGrid w:val="0"/>
          <w:color w:val="000000"/>
          <w:kern w:val="44"/>
          <w:sz w:val="21"/>
          <w:szCs w:val="44"/>
        </w:rPr>
        <w:t xml:space="preserve"> indicates whether the feature contributes positively or negatively to the prediction. Furthermore, SHAP summary plots, dependence plots, and interaction analysis are used to identify the nonlinear predictive patterns and interaction effects among different </w:t>
      </w:r>
      <w:r w:rsidRPr="00694719">
        <w:rPr>
          <w:rFonts w:ascii="Times New Roman" w:hAnsi="Times New Roman" w:cs="Times New Roman (正文 CS 字体)"/>
          <w:bCs/>
          <w:i/>
          <w:iCs/>
          <w:snapToGrid w:val="0"/>
          <w:color w:val="000000"/>
          <w:kern w:val="44"/>
          <w:sz w:val="21"/>
          <w:szCs w:val="44"/>
        </w:rPr>
        <w:t>IE</w:t>
      </w:r>
      <w:r w:rsidRPr="00694719">
        <w:rPr>
          <w:rFonts w:ascii="Times New Roman" w:hAnsi="Times New Roman" w:cs="Times New Roman (正文 CS 字体)"/>
          <w:bCs/>
          <w:snapToGrid w:val="0"/>
          <w:color w:val="000000"/>
          <w:kern w:val="44"/>
          <w:sz w:val="21"/>
          <w:szCs w:val="44"/>
        </w:rPr>
        <w:t xml:space="preserve"> variables, thereby providing a more comprehensive characterization of the complex predictive relationships between multiple </w:t>
      </w:r>
      <w:r w:rsidRPr="00694719">
        <w:rPr>
          <w:rFonts w:ascii="Times New Roman" w:hAnsi="Times New Roman" w:cs="Times New Roman (正文 CS 字体)"/>
          <w:bCs/>
          <w:i/>
          <w:snapToGrid w:val="0"/>
          <w:color w:val="000000"/>
          <w:kern w:val="44"/>
          <w:sz w:val="21"/>
          <w:szCs w:val="44"/>
        </w:rPr>
        <w:t>IE</w:t>
      </w:r>
      <w:r w:rsidRPr="00694719">
        <w:rPr>
          <w:rFonts w:ascii="Times New Roman" w:hAnsi="Times New Roman" w:cs="Times New Roman (正文 CS 字体)"/>
          <w:bCs/>
          <w:snapToGrid w:val="0"/>
          <w:color w:val="000000"/>
          <w:kern w:val="44"/>
          <w:sz w:val="21"/>
          <w:szCs w:val="44"/>
        </w:rPr>
        <w:t xml:space="preserve"> variables and </w:t>
      </w:r>
      <w:r w:rsidRPr="00694719">
        <w:rPr>
          <w:rFonts w:ascii="Times New Roman" w:hAnsi="Times New Roman" w:cs="Times New Roman (正文 CS 字体)"/>
          <w:bCs/>
          <w:i/>
          <w:snapToGrid w:val="0"/>
          <w:color w:val="000000"/>
          <w:kern w:val="44"/>
          <w:sz w:val="21"/>
          <w:szCs w:val="44"/>
        </w:rPr>
        <w:t>EIR</w:t>
      </w:r>
      <w:r w:rsidRPr="00694719">
        <w:rPr>
          <w:rFonts w:ascii="Times New Roman" w:hAnsi="Times New Roman" w:cs="Times New Roman (正文 CS 字体)" w:hint="eastAsia"/>
          <w:bCs/>
          <w:snapToGrid w:val="0"/>
          <w:color w:val="000000"/>
          <w:kern w:val="44"/>
          <w:sz w:val="21"/>
          <w:szCs w:val="44"/>
          <w:vertAlign w:val="subscript"/>
        </w:rPr>
        <w:t>t</w:t>
      </w:r>
      <w:r w:rsidRPr="00694719">
        <w:rPr>
          <w:rFonts w:ascii="Times New Roman" w:hAnsi="Times New Roman" w:cs="Times New Roman (正文 CS 字体)"/>
          <w:bCs/>
          <w:snapToGrid w:val="0"/>
          <w:color w:val="000000"/>
          <w:kern w:val="44"/>
          <w:sz w:val="21"/>
          <w:szCs w:val="44"/>
          <w:vertAlign w:val="subscript"/>
        </w:rPr>
        <w:t>+1</w:t>
      </w:r>
      <w:r w:rsidRPr="00694719">
        <w:rPr>
          <w:rFonts w:ascii="Times New Roman" w:hAnsi="Times New Roman" w:cs="Times New Roman (正文 CS 字体)"/>
          <w:bCs/>
          <w:snapToGrid w:val="0"/>
          <w:color w:val="000000"/>
          <w:kern w:val="44"/>
          <w:sz w:val="21"/>
          <w:szCs w:val="44"/>
        </w:rPr>
        <w:t>.</w:t>
      </w:r>
    </w:p>
    <w:bookmarkEnd w:id="0"/>
    <w:bookmarkEnd w:id="1"/>
    <w:p w:rsidR="004C4617" w:rsidRDefault="00FA4B2D">
      <w:pPr>
        <w:spacing w:line="360" w:lineRule="auto"/>
        <w:jc w:val="both"/>
        <w:outlineLvl w:val="0"/>
        <w:rPr>
          <w:rFonts w:ascii="Times New Roman" w:hAnsi="Times New Roman" w:cs="Times New Roman"/>
          <w:b/>
          <w:bCs/>
          <w:snapToGrid w:val="0"/>
          <w:color w:val="000000" w:themeColor="text1"/>
          <w:kern w:val="44"/>
          <w:sz w:val="21"/>
          <w:szCs w:val="21"/>
        </w:rPr>
      </w:pPr>
      <w:r>
        <w:rPr>
          <w:rFonts w:ascii="Times New Roman" w:hAnsi="Times New Roman" w:cs="Times New Roman"/>
          <w:b/>
          <w:bCs/>
          <w:snapToGrid w:val="0"/>
          <w:color w:val="000000" w:themeColor="text1"/>
          <w:kern w:val="44"/>
          <w:sz w:val="21"/>
          <w:szCs w:val="21"/>
        </w:rPr>
        <w:t>Appendix</w:t>
      </w:r>
    </w:p>
    <w:p w:rsidR="004C4617" w:rsidRDefault="004B0FC9">
      <w:pPr>
        <w:spacing w:line="360" w:lineRule="auto"/>
        <w:jc w:val="both"/>
        <w:outlineLvl w:val="0"/>
        <w:rPr>
          <w:rFonts w:ascii="Times New Roman" w:hAnsi="Times New Roman" w:cs="Times New Roman"/>
          <w:b/>
          <w:bCs/>
          <w:snapToGrid w:val="0"/>
          <w:color w:val="000000" w:themeColor="text1"/>
          <w:kern w:val="44"/>
          <w:sz w:val="21"/>
          <w:szCs w:val="21"/>
        </w:rPr>
      </w:pPr>
      <w:r w:rsidRPr="004B0FC9">
        <w:rPr>
          <w:rFonts w:ascii="Times New Roman" w:hAnsi="Times New Roman" w:cs="Times New Roman"/>
          <w:b/>
          <w:bCs/>
          <w:snapToGrid w:val="0"/>
          <w:color w:val="000000" w:themeColor="text1"/>
          <w:kern w:val="44"/>
          <w:sz w:val="21"/>
          <w:szCs w:val="21"/>
        </w:rPr>
        <w:t>Supplementary Appendix A. Prediction model algorithms</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(1) Linear regression (LR) is a fundamental regression method used to identify linear relationships between input features and a continuous target variable. Its basic principle is to determine the optimal fitting relationship by minimizing the sum of squared residuals between the predicted and observed values. LR is characterized by a simple model structure, high computational efficiency, and strong interpretability; however, it generally assumes a relatively stable linear relationship between the input features and the target variable. When complex nonlinear relationships and feature interactions exist between </w:t>
      </w:r>
      <w:r w:rsidR="00A0733A" w:rsidRPr="00A0733A">
        <w:rPr>
          <w:rFonts w:ascii="Times New Roman" w:hAnsi="Times New Roman" w:cs="Times New Roman"/>
          <w:bCs/>
          <w:i/>
          <w:snapToGrid w:val="0"/>
          <w:kern w:val="44"/>
          <w:sz w:val="21"/>
          <w:szCs w:val="44"/>
        </w:rPr>
        <w:t>IE</w:t>
      </w:r>
      <w:r>
        <w:rPr>
          <w:rFonts w:ascii="Times New Roman" w:hAnsi="Times New Roman" w:cs="Times New Roman"/>
          <w:bCs/>
          <w:snapToGrid w:val="0"/>
          <w:kern w:val="44"/>
          <w:sz w:val="21"/>
          <w:szCs w:val="44"/>
        </w:rPr>
        <w:t xml:space="preserve"> and </w:t>
      </w:r>
      <w:r w:rsidR="00A0733A" w:rsidRPr="00A0733A">
        <w:rPr>
          <w:rFonts w:ascii="Times New Roman" w:hAnsi="Times New Roman" w:cs="Times New Roman"/>
          <w:bCs/>
          <w:i/>
          <w:snapToGrid w:val="0"/>
          <w:kern w:val="44"/>
          <w:sz w:val="21"/>
          <w:szCs w:val="44"/>
        </w:rPr>
        <w:t>EIR</w:t>
      </w:r>
      <w:r>
        <w:rPr>
          <w:rFonts w:ascii="Times New Roman" w:hAnsi="Times New Roman" w:cs="Times New Roman" w:hint="eastAsia"/>
          <w:bCs/>
          <w:snapToGrid w:val="0"/>
          <w:kern w:val="44"/>
          <w:sz w:val="21"/>
          <w:szCs w:val="44"/>
          <w:vertAlign w:val="subscript"/>
        </w:rPr>
        <w:t>t</w:t>
      </w:r>
      <w:r>
        <w:rPr>
          <w:rFonts w:ascii="Times New Roman" w:hAnsi="Times New Roman" w:cs="Times New Roman"/>
          <w:bCs/>
          <w:snapToGrid w:val="0"/>
          <w:kern w:val="44"/>
          <w:sz w:val="21"/>
          <w:szCs w:val="44"/>
          <w:vertAlign w:val="subscript"/>
        </w:rPr>
        <w:t>+1</w:t>
      </w:r>
      <w:r>
        <w:rPr>
          <w:rFonts w:ascii="Times New Roman" w:hAnsi="Times New Roman" w:cs="Times New Roman"/>
          <w:bCs/>
          <w:snapToGrid w:val="0"/>
          <w:kern w:val="44"/>
          <w:sz w:val="21"/>
          <w:szCs w:val="44"/>
        </w:rPr>
        <w:t>, the predictive performance of LR may be limited. Accordingly, LR is used as the baseline model in this study and is compared with several nonlinear machine-learning models.</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(2) K-nearest neighbors (KNN) is a nonparametric learning method that generates predictions according to the distances between a query sample and the training samples. KNN does not require a prespecified functional form; instead, the prediction is determined by information from the local neighborhood of each sample. The algorithm first calculates the distance between the query sample and each sample in the training set and then selects the K nearest training samples. For a query sample </w:t>
      </w:r>
      <m:oMath>
        <m:sSub>
          <m:sSubPr>
            <m:ctrlPr>
              <w:rPr>
                <w:rFonts w:ascii="Cambria Math" w:hAnsi="Cambria Math" w:cs="Times New Roman"/>
                <w:bCs/>
                <w:snapToGrid w:val="0"/>
                <w:kern w:val="44"/>
                <w:sz w:val="21"/>
                <w:szCs w:val="44"/>
              </w:rPr>
            </m:ctrlPr>
          </m:sSubPr>
          <m:e>
            <m:r>
              <w:rPr>
                <w:rFonts w:ascii="Cambria Math" w:hAnsi="Cambria Math" w:cs="Times New Roman" w:hint="eastAsia"/>
                <w:snapToGrid w:val="0"/>
                <w:kern w:val="44"/>
                <w:sz w:val="21"/>
                <w:szCs w:val="44"/>
              </w:rPr>
              <m:t>x</m:t>
            </m:r>
          </m:e>
          <m:sub>
            <m:r>
              <w:rPr>
                <w:rFonts w:ascii="Cambria Math" w:hAnsi="Cambria Math" w:cs="Times New Roman" w:hint="eastAsia"/>
                <w:snapToGrid w:val="0"/>
                <w:kern w:val="44"/>
                <w:sz w:val="21"/>
                <w:szCs w:val="44"/>
              </w:rPr>
              <m:t>q</m:t>
            </m:r>
          </m:sub>
        </m:sSub>
      </m:oMath>
      <w:r>
        <w:rPr>
          <w:rFonts w:ascii="Times New Roman" w:hAnsi="Times New Roman" w:cs="Times New Roman"/>
          <w:bCs/>
          <w:snapToGrid w:val="0"/>
          <w:kern w:val="44"/>
          <w:sz w:val="21"/>
          <w:szCs w:val="44"/>
        </w:rPr>
        <w:t xml:space="preserve"> and a training sample </w:t>
      </w:r>
      <m:oMath>
        <m:sSub>
          <m:sSubPr>
            <m:ctrlPr>
              <w:rPr>
                <w:rFonts w:ascii="Cambria Math" w:hAnsi="Cambria Math" w:cs="Times New Roman"/>
                <w:bCs/>
                <w:snapToGrid w:val="0"/>
                <w:kern w:val="44"/>
                <w:sz w:val="21"/>
                <w:szCs w:val="44"/>
              </w:rPr>
            </m:ctrlPr>
          </m:sSubPr>
          <m:e>
            <m:r>
              <w:rPr>
                <w:rFonts w:ascii="Cambria Math" w:hAnsi="Cambria Math" w:cs="Times New Roman" w:hint="eastAsia"/>
                <w:snapToGrid w:val="0"/>
                <w:kern w:val="44"/>
                <w:sz w:val="21"/>
                <w:szCs w:val="44"/>
              </w:rPr>
              <m:t>x</m:t>
            </m:r>
          </m:e>
          <m:sub>
            <m:r>
              <w:rPr>
                <w:rFonts w:ascii="Cambria Math" w:hAnsi="Cambria Math" w:cs="Times New Roman" w:hint="eastAsia"/>
                <w:snapToGrid w:val="0"/>
                <w:kern w:val="44"/>
                <w:sz w:val="21"/>
                <w:szCs w:val="44"/>
              </w:rPr>
              <m:t>i</m:t>
            </m:r>
          </m:sub>
        </m:sSub>
      </m:oMath>
      <w:r>
        <w:rPr>
          <w:rFonts w:ascii="Times New Roman" w:hAnsi="Times New Roman" w:cs="Times New Roman"/>
          <w:bCs/>
          <w:snapToGrid w:val="0"/>
          <w:kern w:val="44"/>
          <w:sz w:val="21"/>
          <w:szCs w:val="44"/>
        </w:rPr>
        <w:t>, the Euclidean distance between them is defined in Eq. (A.1):</w:t>
      </w:r>
    </w:p>
    <w:p w:rsidR="004C4617" w:rsidRDefault="00190974">
      <w:pPr>
        <w:ind w:firstLineChars="200" w:firstLine="420"/>
        <w:jc w:val="both"/>
        <w:rPr>
          <w:rFonts w:ascii="Times New Roman" w:hAnsi="Times New Roman" w:cs="Times New Roman"/>
          <w:bCs/>
          <w:i/>
          <w:snapToGrid w:val="0"/>
          <w:kern w:val="44"/>
          <w:sz w:val="21"/>
          <w:szCs w:val="44"/>
        </w:rPr>
      </w:pPr>
      <m:oMathPara>
        <m:oMath>
          <m:eqArr>
            <m:eqArrPr>
              <m:maxDist m:val="1"/>
              <m:ctrlPr>
                <w:rPr>
                  <w:rFonts w:ascii="Cambria Math" w:hAnsi="Cambria Math" w:cs="Times New Roman"/>
                  <w:bCs/>
                  <w:i/>
                  <w:snapToGrid w:val="0"/>
                  <w:kern w:val="44"/>
                  <w:sz w:val="21"/>
                  <w:szCs w:val="44"/>
                </w:rPr>
              </m:ctrlPr>
            </m:eqArrPr>
            <m:e>
              <m:r>
                <w:rPr>
                  <w:rFonts w:ascii="Cambria Math" w:hAnsi="Cambria Math" w:cs="Times New Roman"/>
                  <w:snapToGrid w:val="0"/>
                  <w:kern w:val="44"/>
                  <w:sz w:val="21"/>
                  <w:szCs w:val="44"/>
                </w:rPr>
                <m:t>d</m:t>
              </m:r>
              <m:d>
                <m:dPr>
                  <m:ctrlPr>
                    <w:rPr>
                      <w:rFonts w:ascii="Cambria Math" w:hAnsi="Cambria Math" w:cs="Times New Roman"/>
                      <w:bCs/>
                      <w:i/>
                      <w:snapToGrid w:val="0"/>
                      <w:kern w:val="44"/>
                      <w:sz w:val="21"/>
                      <w:szCs w:val="44"/>
                    </w:rPr>
                  </m:ctrlPr>
                </m:dPr>
                <m:e>
                  <m:sSub>
                    <m:sSubPr>
                      <m:ctrlPr>
                        <w:rPr>
                          <w:rFonts w:ascii="Cambria Math" w:hAnsi="Cambria Math" w:cs="Times New Roman"/>
                          <w:bCs/>
                          <w:i/>
                          <w:snapToGrid w:val="0"/>
                          <w:kern w:val="44"/>
                          <w:sz w:val="21"/>
                          <w:szCs w:val="44"/>
                        </w:rPr>
                      </m:ctrlPr>
                    </m:sSubPr>
                    <m:e>
                      <m:r>
                        <w:rPr>
                          <w:rFonts w:ascii="Cambria Math" w:hAnsi="Cambria Math" w:cs="Times New Roman"/>
                          <w:snapToGrid w:val="0"/>
                          <w:kern w:val="44"/>
                          <w:sz w:val="21"/>
                          <w:szCs w:val="44"/>
                        </w:rPr>
                        <m:t>x</m:t>
                      </m:r>
                    </m:e>
                    <m:sub>
                      <m:r>
                        <w:rPr>
                          <w:rFonts w:ascii="Cambria Math" w:hAnsi="Cambria Math" w:cs="Times New Roman"/>
                          <w:snapToGrid w:val="0"/>
                          <w:kern w:val="44"/>
                          <w:sz w:val="21"/>
                          <w:szCs w:val="44"/>
                        </w:rPr>
                        <m:t>i</m:t>
                      </m:r>
                    </m:sub>
                  </m:sSub>
                  <m:r>
                    <w:rPr>
                      <w:rFonts w:ascii="Cambria Math" w:hAnsi="Cambria Math" w:cs="Times New Roman"/>
                      <w:snapToGrid w:val="0"/>
                      <w:kern w:val="44"/>
                      <w:sz w:val="21"/>
                      <w:szCs w:val="44"/>
                    </w:rPr>
                    <m:t>,</m:t>
                  </m:r>
                  <m:sSub>
                    <m:sSubPr>
                      <m:ctrlPr>
                        <w:rPr>
                          <w:rFonts w:ascii="Cambria Math" w:hAnsi="Cambria Math" w:cs="Times New Roman"/>
                          <w:bCs/>
                          <w:i/>
                          <w:snapToGrid w:val="0"/>
                          <w:kern w:val="44"/>
                          <w:sz w:val="21"/>
                          <w:szCs w:val="44"/>
                        </w:rPr>
                      </m:ctrlPr>
                    </m:sSubPr>
                    <m:e>
                      <m:r>
                        <w:rPr>
                          <w:rFonts w:ascii="Cambria Math" w:hAnsi="Cambria Math" w:cs="Times New Roman"/>
                          <w:snapToGrid w:val="0"/>
                          <w:kern w:val="44"/>
                          <w:sz w:val="21"/>
                          <w:szCs w:val="44"/>
                        </w:rPr>
                        <m:t>x</m:t>
                      </m:r>
                    </m:e>
                    <m:sub>
                      <m:r>
                        <w:rPr>
                          <w:rFonts w:ascii="Cambria Math" w:hAnsi="Cambria Math" w:cs="Times New Roman"/>
                          <w:snapToGrid w:val="0"/>
                          <w:kern w:val="44"/>
                          <w:sz w:val="21"/>
                          <w:szCs w:val="44"/>
                        </w:rPr>
                        <m:t>q</m:t>
                      </m:r>
                    </m:sub>
                  </m:sSub>
                </m:e>
              </m:d>
              <m:r>
                <w:rPr>
                  <w:rFonts w:ascii="Cambria Math" w:hAnsi="Cambria Math" w:cs="Times New Roman"/>
                  <w:snapToGrid w:val="0"/>
                  <w:kern w:val="44"/>
                  <w:sz w:val="21"/>
                  <w:szCs w:val="44"/>
                </w:rPr>
                <m:t>=</m:t>
              </m:r>
              <m:rad>
                <m:radPr>
                  <m:degHide m:val="1"/>
                  <m:ctrlPr>
                    <w:rPr>
                      <w:rFonts w:ascii="Cambria Math" w:hAnsi="Cambria Math" w:cs="Times New Roman"/>
                      <w:bCs/>
                      <w:i/>
                      <w:snapToGrid w:val="0"/>
                      <w:kern w:val="44"/>
                      <w:sz w:val="21"/>
                      <w:szCs w:val="44"/>
                    </w:rPr>
                  </m:ctrlPr>
                </m:radPr>
                <m:deg/>
                <m:e>
                  <m:nary>
                    <m:naryPr>
                      <m:chr m:val="∑"/>
                      <m:ctrlPr>
                        <w:rPr>
                          <w:rFonts w:ascii="Cambria Math" w:hAnsi="Cambria Math" w:cs="Times New Roman"/>
                          <w:bCs/>
                          <w:i/>
                          <w:snapToGrid w:val="0"/>
                          <w:kern w:val="44"/>
                          <w:sz w:val="21"/>
                          <w:szCs w:val="44"/>
                        </w:rPr>
                      </m:ctrlPr>
                    </m:naryPr>
                    <m:sub>
                      <m:r>
                        <w:rPr>
                          <w:rFonts w:ascii="Cambria Math" w:hAnsi="Cambria Math" w:cs="Times New Roman"/>
                          <w:snapToGrid w:val="0"/>
                          <w:kern w:val="44"/>
                          <w:sz w:val="21"/>
                          <w:szCs w:val="44"/>
                        </w:rPr>
                        <m:t>j=1</m:t>
                      </m:r>
                    </m:sub>
                    <m:sup>
                      <m:r>
                        <w:rPr>
                          <w:rFonts w:ascii="Cambria Math" w:hAnsi="Cambria Math" w:cs="Times New Roman"/>
                          <w:snapToGrid w:val="0"/>
                          <w:kern w:val="44"/>
                          <w:sz w:val="21"/>
                          <w:szCs w:val="44"/>
                        </w:rPr>
                        <m:t>p</m:t>
                      </m:r>
                    </m:sup>
                    <m:e>
                      <m:sSup>
                        <m:sSupPr>
                          <m:ctrlPr>
                            <w:rPr>
                              <w:rFonts w:ascii="Cambria Math" w:hAnsi="Cambria Math" w:cs="Times New Roman"/>
                              <w:bCs/>
                              <w:i/>
                              <w:snapToGrid w:val="0"/>
                              <w:kern w:val="44"/>
                              <w:sz w:val="21"/>
                              <w:szCs w:val="44"/>
                            </w:rPr>
                          </m:ctrlPr>
                        </m:sSupPr>
                        <m:e>
                          <m:d>
                            <m:dPr>
                              <m:ctrlPr>
                                <w:rPr>
                                  <w:rFonts w:ascii="Cambria Math" w:hAnsi="Cambria Math" w:cs="Times New Roman"/>
                                  <w:bCs/>
                                  <w:i/>
                                  <w:snapToGrid w:val="0"/>
                                  <w:kern w:val="44"/>
                                  <w:sz w:val="21"/>
                                  <w:szCs w:val="44"/>
                                </w:rPr>
                              </m:ctrlPr>
                            </m:dPr>
                            <m:e>
                              <m:sSub>
                                <m:sSubPr>
                                  <m:ctrlPr>
                                    <w:rPr>
                                      <w:rFonts w:ascii="Cambria Math" w:hAnsi="Cambria Math" w:cs="Times New Roman"/>
                                      <w:bCs/>
                                      <w:i/>
                                      <w:snapToGrid w:val="0"/>
                                      <w:kern w:val="44"/>
                                      <w:sz w:val="21"/>
                                      <w:szCs w:val="44"/>
                                    </w:rPr>
                                  </m:ctrlPr>
                                </m:sSubPr>
                                <m:e>
                                  <m:r>
                                    <w:rPr>
                                      <w:rFonts w:ascii="Cambria Math" w:hAnsi="Cambria Math" w:cs="Times New Roman"/>
                                      <w:snapToGrid w:val="0"/>
                                      <w:kern w:val="44"/>
                                      <w:sz w:val="21"/>
                                      <w:szCs w:val="44"/>
                                    </w:rPr>
                                    <m:t>x</m:t>
                                  </m:r>
                                </m:e>
                                <m:sub>
                                  <m:r>
                                    <w:rPr>
                                      <w:rFonts w:ascii="Cambria Math" w:hAnsi="Cambria Math" w:cs="Times New Roman"/>
                                      <w:snapToGrid w:val="0"/>
                                      <w:kern w:val="44"/>
                                      <w:sz w:val="21"/>
                                      <w:szCs w:val="44"/>
                                    </w:rPr>
                                    <m:t>ij</m:t>
                                  </m:r>
                                </m:sub>
                              </m:sSub>
                              <m:r>
                                <w:rPr>
                                  <w:rFonts w:ascii="Cambria Math" w:hAnsi="Cambria Math" w:cs="Times New Roman"/>
                                  <w:snapToGrid w:val="0"/>
                                  <w:kern w:val="44"/>
                                  <w:sz w:val="21"/>
                                  <w:szCs w:val="44"/>
                                </w:rPr>
                                <m:t>-</m:t>
                              </m:r>
                              <m:sSub>
                                <m:sSubPr>
                                  <m:ctrlPr>
                                    <w:rPr>
                                      <w:rFonts w:ascii="Cambria Math" w:hAnsi="Cambria Math" w:cs="Times New Roman"/>
                                      <w:bCs/>
                                      <w:i/>
                                      <w:snapToGrid w:val="0"/>
                                      <w:kern w:val="44"/>
                                      <w:sz w:val="21"/>
                                      <w:szCs w:val="44"/>
                                    </w:rPr>
                                  </m:ctrlPr>
                                </m:sSubPr>
                                <m:e>
                                  <m:r>
                                    <w:rPr>
                                      <w:rFonts w:ascii="Cambria Math" w:hAnsi="Cambria Math" w:cs="Times New Roman"/>
                                      <w:snapToGrid w:val="0"/>
                                      <w:kern w:val="44"/>
                                      <w:sz w:val="21"/>
                                      <w:szCs w:val="44"/>
                                    </w:rPr>
                                    <m:t>x</m:t>
                                  </m:r>
                                </m:e>
                                <m:sub>
                                  <m:r>
                                    <w:rPr>
                                      <w:rFonts w:ascii="Cambria Math" w:hAnsi="Cambria Math" w:cs="Times New Roman"/>
                                      <w:snapToGrid w:val="0"/>
                                      <w:kern w:val="44"/>
                                      <w:sz w:val="21"/>
                                      <w:szCs w:val="44"/>
                                    </w:rPr>
                                    <m:t>qj</m:t>
                                  </m:r>
                                </m:sub>
                              </m:sSub>
                            </m:e>
                          </m:d>
                        </m:e>
                        <m:sup>
                          <m:r>
                            <w:rPr>
                              <w:rFonts w:ascii="Cambria Math" w:hAnsi="Cambria Math" w:cs="Times New Roman"/>
                              <w:snapToGrid w:val="0"/>
                              <w:kern w:val="44"/>
                              <w:sz w:val="21"/>
                              <w:szCs w:val="44"/>
                            </w:rPr>
                            <m:t>2</m:t>
                          </m:r>
                        </m:sup>
                      </m:sSup>
                    </m:e>
                  </m:nary>
                </m:e>
              </m:rad>
              <m:r>
                <w:rPr>
                  <w:rFonts w:ascii="Cambria Math" w:hAnsi="Cambria Math" w:cs="Times New Roman"/>
                  <w:snapToGrid w:val="0"/>
                  <w:kern w:val="44"/>
                  <w:sz w:val="21"/>
                  <w:szCs w:val="44"/>
                </w:rPr>
                <m:t>#</m:t>
              </m:r>
              <m:d>
                <m:dPr>
                  <m:begChr m:val="（"/>
                  <m:endChr m:val="）"/>
                  <m:ctrlPr>
                    <w:rPr>
                      <w:rFonts w:ascii="Cambria Math" w:hAnsi="Cambria Math" w:cs="Times New Roman"/>
                      <w:bCs/>
                      <w:i/>
                      <w:snapToGrid w:val="0"/>
                      <w:kern w:val="44"/>
                      <w:sz w:val="21"/>
                      <w:szCs w:val="44"/>
                    </w:rPr>
                  </m:ctrlPr>
                </m:dPr>
                <m:e>
                  <m:r>
                    <m:rPr>
                      <m:sty m:val="p"/>
                    </m:rPr>
                    <w:rPr>
                      <w:rFonts w:ascii="Cambria Math" w:hAnsi="Cambria Math" w:cs="Times New Roman"/>
                      <w:snapToGrid w:val="0"/>
                      <w:kern w:val="44"/>
                      <w:sz w:val="21"/>
                      <w:szCs w:val="44"/>
                    </w:rPr>
                    <m:t>A.1</m:t>
                  </m:r>
                </m:e>
              </m:d>
            </m:e>
          </m:eqArr>
        </m:oMath>
      </m:oMathPara>
    </w:p>
    <w:p w:rsidR="004C4617" w:rsidRDefault="00FA4B2D">
      <w:pPr>
        <w:ind w:firstLineChars="200" w:firstLine="420"/>
        <w:jc w:val="both"/>
        <w:rPr>
          <w:rFonts w:ascii="Times New Roman" w:hAnsi="Times New Roman" w:cs="Times New Roman"/>
          <w:bCs/>
          <w:snapToGrid w:val="0"/>
          <w:color w:val="000000" w:themeColor="text1"/>
          <w:kern w:val="44"/>
          <w:sz w:val="21"/>
          <w:szCs w:val="44"/>
        </w:rPr>
      </w:pPr>
      <w:r>
        <w:rPr>
          <w:rFonts w:ascii="Times New Roman" w:hAnsi="Times New Roman" w:cs="Times New Roman"/>
          <w:bCs/>
          <w:snapToGrid w:val="0"/>
          <w:color w:val="000000" w:themeColor="text1"/>
          <w:kern w:val="44"/>
          <w:sz w:val="21"/>
          <w:szCs w:val="44"/>
        </w:rPr>
        <w:t xml:space="preserve">where </w:t>
      </w:r>
      <w:r>
        <w:rPr>
          <w:rFonts w:ascii="Times New Roman" w:hAnsi="Times New Roman" w:cs="Times New Roman"/>
          <w:bCs/>
          <w:i/>
          <w:snapToGrid w:val="0"/>
          <w:color w:val="000000" w:themeColor="text1"/>
          <w:kern w:val="44"/>
          <w:sz w:val="21"/>
          <w:szCs w:val="44"/>
        </w:rPr>
        <w:t>p</w:t>
      </w:r>
      <w:r>
        <w:rPr>
          <w:rFonts w:ascii="Times New Roman" w:hAnsi="Times New Roman" w:cs="Times New Roman"/>
          <w:bCs/>
          <w:snapToGrid w:val="0"/>
          <w:color w:val="000000" w:themeColor="text1"/>
          <w:kern w:val="44"/>
          <w:sz w:val="21"/>
          <w:szCs w:val="44"/>
        </w:rPr>
        <w:t xml:space="preserve"> denotes the number of features, and </w:t>
      </w:r>
      <m:oMath>
        <m:sSub>
          <m:sSubPr>
            <m:ctrlPr>
              <w:rPr>
                <w:rFonts w:ascii="Cambria Math" w:hAnsi="Cambria Math" w:cs="Times New Roman"/>
                <w:bCs/>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ij</m:t>
            </m:r>
          </m:sub>
        </m:sSub>
      </m:oMath>
      <w:r>
        <w:rPr>
          <w:rFonts w:ascii="Times New Roman" w:hAnsi="Times New Roman" w:cs="Times New Roman"/>
          <w:bCs/>
          <w:snapToGrid w:val="0"/>
          <w:color w:val="000000" w:themeColor="text1"/>
          <w:kern w:val="44"/>
          <w:sz w:val="21"/>
          <w:szCs w:val="44"/>
        </w:rPr>
        <w:t xml:space="preserve"> and </w:t>
      </w:r>
      <m:oMath>
        <m:sSub>
          <m:sSubPr>
            <m:ctrlPr>
              <w:rPr>
                <w:rFonts w:ascii="Cambria Math" w:hAnsi="Cambria Math" w:cs="Times New Roman"/>
                <w:bCs/>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qj</m:t>
            </m:r>
          </m:sub>
        </m:sSub>
      </m:oMath>
      <w:r>
        <w:rPr>
          <w:rFonts w:ascii="Times New Roman" w:hAnsi="Times New Roman" w:cs="Times New Roman"/>
          <w:bCs/>
          <w:snapToGrid w:val="0"/>
          <w:color w:val="000000" w:themeColor="text1"/>
          <w:kern w:val="44"/>
          <w:sz w:val="21"/>
          <w:szCs w:val="44"/>
        </w:rPr>
        <w:t xml:space="preserve"> denote the values of the jth feature for training sample </w:t>
      </w:r>
      <m:oMath>
        <m:sSub>
          <m:sSubPr>
            <m:ctrlPr>
              <w:rPr>
                <w:rFonts w:ascii="Cambria Math" w:hAnsi="Cambria Math" w:cs="Times New Roman"/>
                <w:bCs/>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oMath>
      <w:r>
        <w:rPr>
          <w:rFonts w:ascii="Times New Roman" w:hAnsi="Times New Roman" w:cs="Times New Roman"/>
          <w:bCs/>
          <w:snapToGrid w:val="0"/>
          <w:color w:val="000000" w:themeColor="text1"/>
          <w:kern w:val="44"/>
          <w:sz w:val="21"/>
          <w:szCs w:val="44"/>
        </w:rPr>
        <w:t xml:space="preserve"> and query sample </w:t>
      </w:r>
      <m:oMath>
        <m:sSub>
          <m:sSubPr>
            <m:ctrlPr>
              <w:rPr>
                <w:rFonts w:ascii="Cambria Math" w:hAnsi="Cambria Math" w:cs="Times New Roman"/>
                <w:bCs/>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q</m:t>
            </m:r>
          </m:sub>
        </m:sSub>
      </m:oMath>
      <w:r>
        <w:rPr>
          <w:rFonts w:ascii="Times New Roman" w:hAnsi="Times New Roman" w:cs="Times New Roman"/>
          <w:bCs/>
          <w:snapToGrid w:val="0"/>
          <w:color w:val="000000" w:themeColor="text1"/>
          <w:kern w:val="44"/>
          <w:sz w:val="21"/>
          <w:szCs w:val="44"/>
        </w:rPr>
        <w:t xml:space="preserve">, respectively. The K training samples closest to the query sample are selected in ascending order of distance and denoted by </w:t>
      </w:r>
      <m:oMath>
        <m:sSub>
          <m:sSubPr>
            <m:ctrlPr>
              <w:rPr>
                <w:rFonts w:ascii="Cambria Math" w:hAnsi="Cambria Math" w:cs="Times New Roman"/>
                <w:bCs/>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N</m:t>
            </m:r>
          </m:e>
          <m:sub>
            <m:r>
              <w:rPr>
                <w:rFonts w:ascii="Cambria Math" w:hAnsi="Cambria Math" w:cs="Times New Roman"/>
                <w:snapToGrid w:val="0"/>
                <w:color w:val="000000" w:themeColor="text1"/>
                <w:kern w:val="44"/>
                <w:sz w:val="21"/>
                <w:szCs w:val="44"/>
              </w:rPr>
              <m:t>K</m:t>
            </m:r>
          </m:sub>
        </m:sSub>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q</m:t>
                </m:r>
              </m:sub>
            </m:sSub>
          </m:e>
        </m:d>
      </m:oMath>
      <w:r>
        <w:rPr>
          <w:rFonts w:ascii="Times New Roman" w:hAnsi="Times New Roman" w:cs="Times New Roman"/>
          <w:bCs/>
          <w:snapToGrid w:val="0"/>
          <w:color w:val="000000" w:themeColor="text1"/>
          <w:kern w:val="44"/>
          <w:sz w:val="21"/>
          <w:szCs w:val="44"/>
        </w:rPr>
        <w:t xml:space="preserve">. Because </w:t>
      </w:r>
      <w:r w:rsidR="00A0733A" w:rsidRPr="00A0733A">
        <w:rPr>
          <w:rFonts w:ascii="Times New Roman" w:hAnsi="Times New Roman" w:cs="Times New Roman"/>
          <w:bCs/>
          <w:i/>
          <w:iCs/>
          <w:snapToGrid w:val="0"/>
          <w:color w:val="000000" w:themeColor="text1"/>
          <w:kern w:val="44"/>
          <w:sz w:val="21"/>
          <w:szCs w:val="44"/>
        </w:rPr>
        <w:t>EIR</w:t>
      </w:r>
      <w:r>
        <w:rPr>
          <w:rFonts w:ascii="Times New Roman" w:hAnsi="Times New Roman" w:cs="Times New Roman"/>
          <w:bCs/>
          <w:snapToGrid w:val="0"/>
          <w:color w:val="000000" w:themeColor="text1"/>
          <w:kern w:val="44"/>
          <w:sz w:val="21"/>
          <w:szCs w:val="44"/>
          <w:vertAlign w:val="subscript"/>
        </w:rPr>
        <w:t>t+1</w:t>
      </w:r>
      <w:r>
        <w:rPr>
          <w:rFonts w:ascii="Times New Roman" w:hAnsi="Times New Roman" w:cs="Times New Roman"/>
          <w:bCs/>
          <w:snapToGrid w:val="0"/>
          <w:color w:val="000000" w:themeColor="text1"/>
          <w:kern w:val="44"/>
          <w:sz w:val="21"/>
          <w:szCs w:val="44"/>
        </w:rPr>
        <w:t xml:space="preserve"> is continuous, KNN is implemented in regression form, and the predicted value for query sample </w:t>
      </w:r>
      <m:oMath>
        <m:sSub>
          <m:sSubPr>
            <m:ctrlPr>
              <w:rPr>
                <w:rFonts w:ascii="Cambria Math" w:hAnsi="Cambria Math" w:cs="Times New Roman"/>
                <w:bCs/>
                <w:snapToGrid w:val="0"/>
                <w:kern w:val="44"/>
                <w:sz w:val="21"/>
                <w:szCs w:val="44"/>
              </w:rPr>
            </m:ctrlPr>
          </m:sSubPr>
          <m:e>
            <m:r>
              <w:rPr>
                <w:rFonts w:ascii="Cambria Math" w:hAnsi="Cambria Math" w:cs="Times New Roman" w:hint="eastAsia"/>
                <w:snapToGrid w:val="0"/>
                <w:kern w:val="44"/>
                <w:sz w:val="21"/>
                <w:szCs w:val="44"/>
              </w:rPr>
              <m:t>x</m:t>
            </m:r>
          </m:e>
          <m:sub>
            <m:r>
              <w:rPr>
                <w:rFonts w:ascii="Cambria Math" w:hAnsi="Cambria Math" w:cs="Times New Roman" w:hint="eastAsia"/>
                <w:snapToGrid w:val="0"/>
                <w:kern w:val="44"/>
                <w:sz w:val="21"/>
                <w:szCs w:val="44"/>
              </w:rPr>
              <m:t>q</m:t>
            </m:r>
          </m:sub>
        </m:sSub>
      </m:oMath>
      <w:r>
        <w:rPr>
          <w:rFonts w:ascii="Times New Roman" w:hAnsi="Times New Roman" w:cs="Times New Roman"/>
          <w:bCs/>
          <w:snapToGrid w:val="0"/>
          <w:color w:val="000000" w:themeColor="text1"/>
          <w:kern w:val="44"/>
          <w:sz w:val="21"/>
          <w:szCs w:val="44"/>
        </w:rPr>
        <w:t xml:space="preserve"> is given by Eq. (A.2):</w:t>
      </w:r>
    </w:p>
    <w:p w:rsidR="004C4617" w:rsidRDefault="00190974">
      <w:pPr>
        <w:ind w:firstLineChars="200" w:firstLine="420"/>
        <w:jc w:val="both"/>
        <w:rPr>
          <w:rFonts w:ascii="Times New Roman" w:hAnsi="Times New Roman" w:cs="Times New Roman"/>
          <w:bCs/>
          <w:i/>
          <w:snapToGrid w:val="0"/>
          <w:color w:val="000000" w:themeColor="text1"/>
          <w:kern w:val="44"/>
          <w:sz w:val="21"/>
          <w:szCs w:val="44"/>
        </w:rPr>
      </w:pPr>
      <m:oMathPara>
        <m:oMath>
          <m:eqArr>
            <m:eqArrPr>
              <m:maxDist m:val="1"/>
              <m:ctrlPr>
                <w:rPr>
                  <w:rFonts w:ascii="Cambria Math" w:hAnsi="Cambria Math" w:cs="Times New Roman"/>
                  <w:bCs/>
                  <w:i/>
                  <w:snapToGrid w:val="0"/>
                  <w:color w:val="000000" w:themeColor="text1"/>
                  <w:kern w:val="44"/>
                  <w:sz w:val="21"/>
                  <w:szCs w:val="44"/>
                </w:rPr>
              </m:ctrlPr>
            </m:eqArr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ŷ</m:t>
                  </m:r>
                </m:e>
                <m:sub>
                  <m:r>
                    <w:rPr>
                      <w:rFonts w:ascii="Cambria Math" w:hAnsi="Cambria Math" w:cs="Times New Roman"/>
                      <w:snapToGrid w:val="0"/>
                      <w:color w:val="000000" w:themeColor="text1"/>
                      <w:kern w:val="44"/>
                      <w:sz w:val="21"/>
                      <w:szCs w:val="44"/>
                    </w:rPr>
                    <m:t>q</m:t>
                  </m:r>
                </m:sub>
              </m:sSub>
              <m:r>
                <w:rPr>
                  <w:rFonts w:ascii="Cambria Math" w:hAnsi="Cambria Math" w:cs="Times New Roman"/>
                  <w:snapToGrid w:val="0"/>
                  <w:color w:val="000000" w:themeColor="text1"/>
                  <w:kern w:val="44"/>
                  <w:sz w:val="21"/>
                  <w:szCs w:val="44"/>
                </w:rPr>
                <m:t>=</m:t>
              </m:r>
              <m:f>
                <m:fPr>
                  <m:ctrlPr>
                    <w:rPr>
                      <w:rFonts w:ascii="Cambria Math" w:hAnsi="Cambria Math" w:cs="Times New Roman"/>
                      <w:bCs/>
                      <w:i/>
                      <w:snapToGrid w:val="0"/>
                      <w:color w:val="000000" w:themeColor="text1"/>
                      <w:kern w:val="44"/>
                      <w:sz w:val="21"/>
                      <w:szCs w:val="44"/>
                    </w:rPr>
                  </m:ctrlPr>
                </m:fPr>
                <m:num>
                  <m:r>
                    <w:rPr>
                      <w:rFonts w:ascii="Cambria Math" w:hAnsi="Cambria Math" w:cs="Times New Roman"/>
                      <w:snapToGrid w:val="0"/>
                      <w:color w:val="000000" w:themeColor="text1"/>
                      <w:kern w:val="44"/>
                      <w:sz w:val="21"/>
                      <w:szCs w:val="44"/>
                    </w:rPr>
                    <m:t>1</m:t>
                  </m:r>
                </m:num>
                <m:den>
                  <m:r>
                    <w:rPr>
                      <w:rFonts w:ascii="Cambria Math" w:hAnsi="Cambria Math" w:cs="Times New Roman"/>
                      <w:snapToGrid w:val="0"/>
                      <w:color w:val="000000" w:themeColor="text1"/>
                      <w:kern w:val="44"/>
                      <w:sz w:val="21"/>
                      <w:szCs w:val="44"/>
                    </w:rPr>
                    <m:t>K</m:t>
                  </m:r>
                </m:den>
              </m:f>
              <m:nary>
                <m:naryPr>
                  <m:chr m:val="∑"/>
                  <m:limLoc m:val="undOvr"/>
                  <m:supHide m:val="1"/>
                  <m:ctrlPr>
                    <w:rPr>
                      <w:rFonts w:ascii="Cambria Math" w:hAnsi="Cambria Math" w:cs="Times New Roman"/>
                      <w:bCs/>
                      <w:i/>
                      <w:snapToGrid w:val="0"/>
                      <w:color w:val="000000" w:themeColor="text1"/>
                      <w:kern w:val="44"/>
                      <w:sz w:val="21"/>
                      <w:szCs w:val="44"/>
                    </w:rPr>
                  </m:ctrlPr>
                </m:naryPr>
                <m:sub>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N</m:t>
                      </m:r>
                    </m:e>
                    <m:sub>
                      <m:r>
                        <w:rPr>
                          <w:rFonts w:ascii="Cambria Math" w:hAnsi="Cambria Math" w:cs="Times New Roman"/>
                          <w:snapToGrid w:val="0"/>
                          <w:color w:val="000000" w:themeColor="text1"/>
                          <w:kern w:val="44"/>
                          <w:sz w:val="21"/>
                          <w:szCs w:val="44"/>
                        </w:rPr>
                        <m:t>K</m:t>
                      </m:r>
                    </m:sub>
                  </m:sSub>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q</m:t>
                          </m:r>
                        </m:sub>
                      </m:sSub>
                    </m:e>
                  </m:d>
                </m:sub>
                <m:sup/>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y</m:t>
                      </m:r>
                    </m:e>
                    <m:sub>
                      <m:r>
                        <w:rPr>
                          <w:rFonts w:ascii="Cambria Math" w:hAnsi="Cambria Math" w:cs="Times New Roman"/>
                          <w:snapToGrid w:val="0"/>
                          <w:color w:val="000000" w:themeColor="text1"/>
                          <w:kern w:val="44"/>
                          <w:sz w:val="21"/>
                          <w:szCs w:val="44"/>
                        </w:rPr>
                        <m:t>i</m:t>
                      </m:r>
                    </m:sub>
                  </m:sSub>
                </m:e>
              </m:nary>
              <m:r>
                <w:rPr>
                  <w:rFonts w:ascii="Cambria Math" w:hAnsi="Cambria Math" w:cs="Times New Roman"/>
                  <w:snapToGrid w:val="0"/>
                  <w:color w:val="000000" w:themeColor="text1"/>
                  <w:kern w:val="44"/>
                  <w:sz w:val="21"/>
                  <w:szCs w:val="44"/>
                </w:rPr>
                <m:t>#</m:t>
              </m:r>
              <m:d>
                <m:dPr>
                  <m:ctrlPr>
                    <w:rPr>
                      <w:rFonts w:ascii="Cambria Math" w:hAnsi="Cambria Math" w:cs="Times New Roman"/>
                      <w:bCs/>
                      <w:i/>
                      <w:snapToGrid w:val="0"/>
                      <w:color w:val="000000" w:themeColor="text1"/>
                      <w:kern w:val="44"/>
                      <w:sz w:val="21"/>
                      <w:szCs w:val="44"/>
                    </w:rPr>
                  </m:ctrlPr>
                </m:dPr>
                <m:e>
                  <m:r>
                    <m:rPr>
                      <m:sty m:val="p"/>
                    </m:rPr>
                    <w:rPr>
                      <w:rFonts w:ascii="Cambria Math" w:hAnsi="Cambria Math" w:cs="Times New Roman"/>
                      <w:snapToGrid w:val="0"/>
                      <w:color w:val="000000" w:themeColor="text1"/>
                      <w:kern w:val="44"/>
                      <w:sz w:val="21"/>
                      <w:szCs w:val="44"/>
                    </w:rPr>
                    <m:t>A.2</m:t>
                  </m:r>
                </m:e>
              </m:d>
            </m:e>
          </m:eqArr>
        </m:oMath>
      </m:oMathPara>
    </w:p>
    <w:p w:rsidR="004C4617" w:rsidRDefault="00FA4B2D">
      <w:pPr>
        <w:ind w:firstLineChars="200" w:firstLine="420"/>
        <w:jc w:val="both"/>
        <w:rPr>
          <w:rFonts w:ascii="Times New Roman" w:hAnsi="Times New Roman" w:cs="Times New Roman"/>
          <w:bCs/>
          <w:snapToGrid w:val="0"/>
          <w:color w:val="000000" w:themeColor="text1"/>
          <w:kern w:val="44"/>
          <w:sz w:val="21"/>
          <w:szCs w:val="44"/>
        </w:rPr>
      </w:pPr>
      <w:r>
        <w:rPr>
          <w:rFonts w:ascii="Times New Roman" w:hAnsi="Times New Roman" w:cs="Times New Roman"/>
          <w:bCs/>
          <w:snapToGrid w:val="0"/>
          <w:color w:val="000000" w:themeColor="text1"/>
          <w:kern w:val="44"/>
          <w:sz w:val="21"/>
          <w:szCs w:val="44"/>
        </w:rPr>
        <w:t xml:space="preserve">where </w:t>
      </w:r>
      <m:oMath>
        <m:sSub>
          <m:sSubPr>
            <m:ctrlPr>
              <w:rPr>
                <w:rFonts w:ascii="Cambria Math" w:hAnsi="Cambria Math" w:cs="Times New Roman"/>
                <w:bCs/>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y</m:t>
            </m:r>
          </m:e>
          <m:sub>
            <m:r>
              <w:rPr>
                <w:rFonts w:ascii="Cambria Math" w:hAnsi="Cambria Math" w:cs="Times New Roman"/>
                <w:snapToGrid w:val="0"/>
                <w:color w:val="000000" w:themeColor="text1"/>
                <w:kern w:val="44"/>
                <w:sz w:val="21"/>
                <w:szCs w:val="44"/>
              </w:rPr>
              <m:t>i</m:t>
            </m:r>
          </m:sub>
        </m:sSub>
      </m:oMath>
      <w:r>
        <w:rPr>
          <w:rFonts w:ascii="Times New Roman" w:hAnsi="Times New Roman" w:cs="Times New Roman"/>
          <w:bCs/>
          <w:snapToGrid w:val="0"/>
          <w:color w:val="000000" w:themeColor="text1"/>
          <w:kern w:val="44"/>
          <w:sz w:val="21"/>
          <w:szCs w:val="44"/>
        </w:rPr>
        <w:t xml:space="preserve"> denotes the observed value of a neighboring training sample. KNN can exploit the local structure of the sample to identify potential nonlinear predictive relationships, although its performance is affected by the number of neighbors K, the distance metric, and the scale of the input features.</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(3) A support vector machine (SVM) maps the original data into a high-dimensional feature space through a kernel function, thereby enabling the identification of complex nonlinear relationships. Because the target variable </w:t>
      </w:r>
      <w:r w:rsidR="00A0733A" w:rsidRPr="00A0733A">
        <w:rPr>
          <w:rFonts w:ascii="Times New Roman" w:hAnsi="Times New Roman" w:cs="Times New Roman"/>
          <w:i/>
          <w:sz w:val="21"/>
          <w:szCs w:val="21"/>
        </w:rPr>
        <w:t>EIR</w:t>
      </w:r>
      <w:r>
        <w:rPr>
          <w:rFonts w:ascii="Times New Roman" w:hAnsi="Times New Roman" w:cs="Times New Roman" w:hint="eastAsia"/>
          <w:iCs/>
          <w:sz w:val="21"/>
          <w:szCs w:val="21"/>
          <w:vertAlign w:val="subscript"/>
        </w:rPr>
        <w:t>t</w:t>
      </w:r>
      <w:r>
        <w:rPr>
          <w:rFonts w:ascii="Times New Roman" w:hAnsi="Times New Roman" w:cs="Times New Roman"/>
          <w:iCs/>
          <w:sz w:val="21"/>
          <w:szCs w:val="21"/>
          <w:vertAlign w:val="subscript"/>
        </w:rPr>
        <w:t>+1</w:t>
      </w:r>
      <w:r>
        <w:rPr>
          <w:rFonts w:ascii="Times New Roman" w:hAnsi="Times New Roman" w:cs="Times New Roman"/>
          <w:bCs/>
          <w:snapToGrid w:val="0"/>
          <w:kern w:val="44"/>
          <w:sz w:val="21"/>
          <w:szCs w:val="44"/>
        </w:rPr>
        <w:t xml:space="preserve"> is continuous, this study adopts support vector regression (SVR). The regression function is specified in Eq. (A.3):</w:t>
      </w:r>
    </w:p>
    <w:p w:rsidR="004C4617" w:rsidRDefault="004C4617">
      <w:pPr>
        <w:jc w:val="both"/>
        <w:rPr>
          <w:rFonts w:ascii="Times New Roman" w:hAnsi="Times New Roman" w:cs="Times New Roman"/>
          <w:bCs/>
          <w:snapToGrid w:val="0"/>
          <w:kern w:val="44"/>
          <w:sz w:val="21"/>
          <w:szCs w:val="44"/>
        </w:rPr>
      </w:pPr>
    </w:p>
    <w:p w:rsidR="004C4617" w:rsidRDefault="00190974">
      <w:pPr>
        <w:rPr>
          <w:rFonts w:ascii="Times New Roman" w:hAnsi="Times New Roman" w:cs="Times New Roman"/>
          <w:bCs/>
          <w:i/>
          <w:snapToGrid w:val="0"/>
          <w:color w:val="000000" w:themeColor="text1"/>
          <w:kern w:val="44"/>
          <w:sz w:val="21"/>
          <w:szCs w:val="44"/>
        </w:rPr>
      </w:pPr>
      <m:oMathPara>
        <m:oMath>
          <m:eqArr>
            <m:eqArrPr>
              <m:maxDist m:val="1"/>
              <m:ctrlPr>
                <w:rPr>
                  <w:rFonts w:ascii="Cambria Math" w:hAnsi="Cambria Math" w:cs="Times New Roman"/>
                  <w:bCs/>
                  <w:i/>
                  <w:snapToGrid w:val="0"/>
                  <w:color w:val="000000" w:themeColor="text1"/>
                  <w:kern w:val="44"/>
                  <w:sz w:val="21"/>
                  <w:szCs w:val="44"/>
                </w:rPr>
              </m:ctrlPr>
            </m:eqArrPr>
            <m:e>
              <m:r>
                <w:rPr>
                  <w:rFonts w:ascii="Cambria Math" w:hAnsi="Cambria Math" w:cs="Times New Roman"/>
                  <w:snapToGrid w:val="0"/>
                  <w:color w:val="000000" w:themeColor="text1"/>
                  <w:kern w:val="44"/>
                  <w:sz w:val="21"/>
                  <w:szCs w:val="44"/>
                </w:rPr>
                <m:t>f</m:t>
              </m:r>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x</m:t>
                  </m:r>
                </m:e>
              </m:d>
              <m:r>
                <w:rPr>
                  <w:rFonts w:ascii="Cambria Math" w:hAnsi="Cambria Math" w:cs="Times New Roman"/>
                  <w:snapToGrid w:val="0"/>
                  <w:color w:val="000000" w:themeColor="text1"/>
                  <w:kern w:val="44"/>
                  <w:sz w:val="21"/>
                  <w:szCs w:val="44"/>
                </w:rPr>
                <m:t>=</m:t>
              </m:r>
              <m:sSup>
                <m:sSupPr>
                  <m:ctrlPr>
                    <w:rPr>
                      <w:rFonts w:ascii="Cambria Math" w:hAnsi="Cambria Math" w:cs="Times New Roman"/>
                      <w:bCs/>
                      <w:i/>
                      <w:snapToGrid w:val="0"/>
                      <w:color w:val="000000" w:themeColor="text1"/>
                      <w:kern w:val="44"/>
                      <w:sz w:val="21"/>
                      <w:szCs w:val="44"/>
                    </w:rPr>
                  </m:ctrlPr>
                </m:sSupPr>
                <m:e>
                  <m:r>
                    <w:rPr>
                      <w:rFonts w:ascii="Cambria Math" w:hAnsi="Cambria Math" w:cs="Times New Roman"/>
                      <w:snapToGrid w:val="0"/>
                      <w:color w:val="000000" w:themeColor="text1"/>
                      <w:kern w:val="44"/>
                      <w:sz w:val="21"/>
                      <w:szCs w:val="44"/>
                    </w:rPr>
                    <m:t>w</m:t>
                  </m:r>
                </m:e>
                <m:sup>
                  <m:r>
                    <w:rPr>
                      <w:rFonts w:ascii="Cambria Math" w:hAnsi="Cambria Math" w:cs="Times New Roman"/>
                      <w:snapToGrid w:val="0"/>
                      <w:color w:val="000000" w:themeColor="text1"/>
                      <w:kern w:val="44"/>
                      <w:sz w:val="21"/>
                      <w:szCs w:val="44"/>
                    </w:rPr>
                    <m:t>T</m:t>
                  </m:r>
                </m:sup>
              </m:sSup>
              <m:r>
                <w:rPr>
                  <w:rFonts w:ascii="Cambria Math" w:hAnsi="Cambria Math" w:cs="Times New Roman"/>
                  <w:snapToGrid w:val="0"/>
                  <w:color w:val="000000" w:themeColor="text1"/>
                  <w:kern w:val="44"/>
                  <w:sz w:val="21"/>
                  <w:szCs w:val="44"/>
                </w:rPr>
                <m:t>∅</m:t>
              </m:r>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x</m:t>
                  </m:r>
                </m:e>
              </m:d>
              <m:r>
                <w:rPr>
                  <w:rFonts w:ascii="Cambria Math" w:hAnsi="Cambria Math" w:cs="Times New Roman"/>
                  <w:snapToGrid w:val="0"/>
                  <w:color w:val="000000" w:themeColor="text1"/>
                  <w:kern w:val="44"/>
                  <w:sz w:val="21"/>
                  <w:szCs w:val="44"/>
                </w:rPr>
                <m:t>+b#</m:t>
              </m:r>
              <m:d>
                <m:dPr>
                  <m:ctrlPr>
                    <w:rPr>
                      <w:rFonts w:ascii="Cambria Math" w:hAnsi="Cambria Math" w:cs="Times New Roman"/>
                      <w:i/>
                    </w:rPr>
                  </m:ctrlPr>
                </m:dPr>
                <m:e>
                  <m:r>
                    <m:rPr>
                      <m:sty m:val="p"/>
                    </m:rPr>
                    <w:rPr>
                      <w:rFonts w:ascii="Cambria Math" w:hAnsi="Cambria Math" w:cs="Times New Roman"/>
                    </w:rPr>
                    <m:t>A.3</m:t>
                  </m:r>
                </m:e>
              </m:d>
            </m:e>
          </m:eqArr>
        </m:oMath>
      </m:oMathPara>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where w denotes the weight vector, b is the bias term, and </w:t>
      </w:r>
      <m:oMath>
        <m:r>
          <w:rPr>
            <w:rFonts w:ascii="Cambria Math" w:hAnsi="Cambria Math" w:cs="Times New Roman"/>
            <w:snapToGrid w:val="0"/>
            <w:color w:val="000000" w:themeColor="text1"/>
            <w:kern w:val="44"/>
            <w:sz w:val="21"/>
            <w:szCs w:val="44"/>
          </w:rPr>
          <m:t>∅</m:t>
        </m:r>
        <m:d>
          <m:dPr>
            <m:ctrlPr>
              <w:rPr>
                <w:rFonts w:ascii="Cambria Math" w:hAnsi="Cambria Math" w:cs="Times New Roman"/>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x</m:t>
            </m:r>
          </m:e>
        </m:d>
      </m:oMath>
      <w:r>
        <w:rPr>
          <w:rFonts w:ascii="Times New Roman" w:hAnsi="Times New Roman" w:cs="Times New Roman"/>
          <w:bCs/>
          <w:snapToGrid w:val="0"/>
          <w:kern w:val="44"/>
          <w:sz w:val="21"/>
          <w:szCs w:val="44"/>
        </w:rPr>
        <w:t xml:space="preserve"> represents the nonlinear mapping induced by the kernel function. SVR determines the optimal regression function by minimizing prediction errors outside the </w:t>
      </w:r>
      <m:oMath>
        <m:r>
          <m:rPr>
            <m:sty m:val="p"/>
          </m:rPr>
          <w:rPr>
            <w:rFonts w:ascii="Cambria Math" w:hAnsi="Cambria Math" w:cs="Times New Roman"/>
            <w:snapToGrid w:val="0"/>
            <w:kern w:val="44"/>
            <w:sz w:val="21"/>
            <w:szCs w:val="44"/>
          </w:rPr>
          <m:t>ε</m:t>
        </m:r>
      </m:oMath>
      <w:r>
        <w:rPr>
          <w:rFonts w:ascii="Times New Roman" w:hAnsi="Times New Roman" w:cs="Times New Roman"/>
          <w:bCs/>
          <w:snapToGrid w:val="0"/>
          <w:kern w:val="44"/>
          <w:sz w:val="21"/>
          <w:szCs w:val="44"/>
        </w:rPr>
        <w:t>-insensitive region while simultaneously controlling model complexity. The corresponding optimization objective is formulated in Eq. (A.4):</w:t>
      </w:r>
    </w:p>
    <w:p w:rsidR="004C4617" w:rsidRDefault="00190974">
      <w:pPr>
        <w:rPr>
          <w:rFonts w:ascii="Times New Roman" w:hAnsi="Times New Roman" w:cs="Times New Roman"/>
          <w:bCs/>
          <w:i/>
          <w:snapToGrid w:val="0"/>
          <w:color w:val="000000" w:themeColor="text1"/>
          <w:kern w:val="44"/>
          <w:sz w:val="21"/>
          <w:szCs w:val="44"/>
        </w:rPr>
      </w:pPr>
      <m:oMathPara>
        <m:oMath>
          <m:eqArr>
            <m:eqArrPr>
              <m:maxDist m:val="1"/>
              <m:ctrlPr>
                <w:rPr>
                  <w:rFonts w:ascii="Cambria Math" w:hAnsi="Cambria Math" w:cs="Times New Roman"/>
                  <w:bCs/>
                  <w:i/>
                  <w:snapToGrid w:val="0"/>
                  <w:color w:val="000000" w:themeColor="text1"/>
                  <w:kern w:val="44"/>
                  <w:sz w:val="21"/>
                  <w:szCs w:val="44"/>
                </w:rPr>
              </m:ctrlPr>
            </m:eqArrPr>
            <m:e>
              <m:func>
                <m:funcPr>
                  <m:ctrlPr>
                    <w:rPr>
                      <w:rFonts w:ascii="Cambria Math" w:hAnsi="Cambria Math" w:cs="Times New Roman"/>
                      <w:bCs/>
                      <w:i/>
                      <w:snapToGrid w:val="0"/>
                      <w:color w:val="000000" w:themeColor="text1"/>
                      <w:kern w:val="44"/>
                      <w:sz w:val="21"/>
                      <w:szCs w:val="44"/>
                    </w:rPr>
                  </m:ctrlPr>
                </m:funcPr>
                <m:fName>
                  <m:limLow>
                    <m:limLowPr>
                      <m:ctrlPr>
                        <w:rPr>
                          <w:rFonts w:ascii="Cambria Math" w:hAnsi="Cambria Math" w:cs="Times New Roman"/>
                          <w:bCs/>
                          <w:i/>
                          <w:snapToGrid w:val="0"/>
                          <w:color w:val="000000" w:themeColor="text1"/>
                          <w:kern w:val="44"/>
                          <w:sz w:val="21"/>
                          <w:szCs w:val="44"/>
                        </w:rPr>
                      </m:ctrlPr>
                    </m:limLowPr>
                    <m:e>
                      <m:r>
                        <m:rPr>
                          <m:sty m:val="p"/>
                        </m:rPr>
                        <w:rPr>
                          <w:rFonts w:ascii="Cambria Math" w:hAnsi="Cambria Math" w:cs="Times New Roman"/>
                          <w:snapToGrid w:val="0"/>
                          <w:color w:val="000000" w:themeColor="text1"/>
                          <w:kern w:val="44"/>
                          <w:szCs w:val="44"/>
                        </w:rPr>
                        <m:t>min</m:t>
                      </m:r>
                    </m:e>
                    <m:lim>
                      <m:r>
                        <w:rPr>
                          <w:rFonts w:ascii="Cambria Math" w:hAnsi="Cambria Math" w:cs="Times New Roman"/>
                          <w:snapToGrid w:val="0"/>
                          <w:color w:val="000000" w:themeColor="text1"/>
                          <w:kern w:val="44"/>
                          <w:sz w:val="21"/>
                          <w:szCs w:val="44"/>
                        </w:rPr>
                        <m:t>w,b,</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up>
                          <m:r>
                            <w:rPr>
                              <w:rFonts w:ascii="Cambria Math" w:hAnsi="Cambria Math" w:cs="Times New Roman"/>
                              <w:snapToGrid w:val="0"/>
                              <w:color w:val="000000" w:themeColor="text1"/>
                              <w:kern w:val="44"/>
                              <w:sz w:val="21"/>
                              <w:szCs w:val="44"/>
                            </w:rPr>
                            <m:t>*</m:t>
                          </m:r>
                        </m:sup>
                      </m:sSubSup>
                    </m:lim>
                  </m:limLow>
                </m:fName>
                <m:e>
                  <m:f>
                    <m:fPr>
                      <m:ctrlPr>
                        <w:rPr>
                          <w:rFonts w:ascii="Cambria Math" w:hAnsi="Cambria Math" w:cs="Times New Roman"/>
                          <w:bCs/>
                          <w:i/>
                          <w:snapToGrid w:val="0"/>
                          <w:color w:val="000000" w:themeColor="text1"/>
                          <w:kern w:val="44"/>
                          <w:sz w:val="21"/>
                          <w:szCs w:val="44"/>
                        </w:rPr>
                      </m:ctrlPr>
                    </m:fPr>
                    <m:num>
                      <m:r>
                        <w:rPr>
                          <w:rFonts w:ascii="Cambria Math" w:hAnsi="Cambria Math" w:cs="Times New Roman"/>
                          <w:snapToGrid w:val="0"/>
                          <w:color w:val="000000" w:themeColor="text1"/>
                          <w:kern w:val="44"/>
                          <w:sz w:val="21"/>
                          <w:szCs w:val="44"/>
                        </w:rPr>
                        <m:t>1</m:t>
                      </m:r>
                    </m:num>
                    <m:den>
                      <m:r>
                        <w:rPr>
                          <w:rFonts w:ascii="Cambria Math" w:hAnsi="Cambria Math" w:cs="Times New Roman"/>
                          <w:snapToGrid w:val="0"/>
                          <w:color w:val="000000" w:themeColor="text1"/>
                          <w:kern w:val="44"/>
                          <w:sz w:val="21"/>
                          <w:szCs w:val="44"/>
                        </w:rPr>
                        <m:t>2</m:t>
                      </m:r>
                    </m:den>
                  </m:f>
                </m:e>
              </m:func>
              <m:sSup>
                <m:sSupPr>
                  <m:ctrlPr>
                    <w:rPr>
                      <w:rFonts w:ascii="Cambria Math" w:hAnsi="Cambria Math" w:cs="Times New Roman"/>
                      <w:bCs/>
                      <w:i/>
                      <w:snapToGrid w:val="0"/>
                      <w:color w:val="000000" w:themeColor="text1"/>
                      <w:kern w:val="44"/>
                      <w:sz w:val="21"/>
                      <w:szCs w:val="44"/>
                    </w:rPr>
                  </m:ctrlPr>
                </m:sSupPr>
                <m:e>
                  <m:d>
                    <m:dPr>
                      <m:begChr m:val="‖"/>
                      <m:endChr m:val="‖"/>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w</m:t>
                      </m:r>
                    </m:e>
                  </m:d>
                </m:e>
                <m:sup>
                  <m:r>
                    <w:rPr>
                      <w:rFonts w:ascii="Cambria Math" w:hAnsi="Cambria Math" w:cs="Times New Roman"/>
                      <w:snapToGrid w:val="0"/>
                      <w:color w:val="000000" w:themeColor="text1"/>
                      <w:kern w:val="44"/>
                      <w:sz w:val="21"/>
                      <w:szCs w:val="44"/>
                    </w:rPr>
                    <m:t>2</m:t>
                  </m:r>
                </m:sup>
              </m:sSup>
              <m:r>
                <w:rPr>
                  <w:rFonts w:ascii="Cambria Math" w:hAnsi="Cambria Math" w:cs="Times New Roman"/>
                  <w:snapToGrid w:val="0"/>
                  <w:color w:val="000000" w:themeColor="text1"/>
                  <w:kern w:val="44"/>
                  <w:sz w:val="21"/>
                  <w:szCs w:val="44"/>
                </w:rPr>
                <m:t>+C</m:t>
              </m:r>
              <m:nary>
                <m:naryPr>
                  <m:chr m:val="∑"/>
                  <m:ctrlPr>
                    <w:rPr>
                      <w:rFonts w:ascii="Cambria Math" w:hAnsi="Cambria Math" w:cs="Times New Roman"/>
                      <w:bCs/>
                      <w:i/>
                      <w:snapToGrid w:val="0"/>
                      <w:color w:val="000000" w:themeColor="text1"/>
                      <w:kern w:val="44"/>
                      <w:sz w:val="21"/>
                      <w:szCs w:val="44"/>
                    </w:rPr>
                  </m:ctrlPr>
                </m:naryPr>
                <m:sub>
                  <m:r>
                    <w:rPr>
                      <w:rFonts w:ascii="Cambria Math" w:hAnsi="Cambria Math" w:cs="Times New Roman"/>
                      <w:snapToGrid w:val="0"/>
                      <w:color w:val="000000" w:themeColor="text1"/>
                      <w:kern w:val="44"/>
                      <w:sz w:val="21"/>
                      <w:szCs w:val="44"/>
                    </w:rPr>
                    <m:t>i=1</m:t>
                  </m:r>
                </m:sub>
                <m:sup>
                  <m:r>
                    <w:rPr>
                      <w:rFonts w:ascii="Cambria Math" w:hAnsi="Cambria Math" w:cs="Times New Roman"/>
                      <w:snapToGrid w:val="0"/>
                      <w:color w:val="000000" w:themeColor="text1"/>
                      <w:kern w:val="44"/>
                      <w:sz w:val="21"/>
                      <w:szCs w:val="44"/>
                    </w:rPr>
                    <m:t>n</m:t>
                  </m:r>
                </m:sup>
                <m:e>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up>
                          <m:r>
                            <w:rPr>
                              <w:rFonts w:ascii="Cambria Math" w:hAnsi="Cambria Math" w:cs="Times New Roman"/>
                              <w:snapToGrid w:val="0"/>
                              <w:color w:val="000000" w:themeColor="text1"/>
                              <w:kern w:val="44"/>
                              <w:sz w:val="21"/>
                              <w:szCs w:val="44"/>
                            </w:rPr>
                            <m:t>*</m:t>
                          </m:r>
                        </m:sup>
                      </m:sSubSup>
                    </m:e>
                  </m:d>
                </m:e>
              </m:nary>
              <m:r>
                <w:rPr>
                  <w:rFonts w:ascii="Cambria Math" w:hAnsi="Cambria Math" w:cs="Times New Roman"/>
                  <w:snapToGrid w:val="0"/>
                  <w:color w:val="000000" w:themeColor="text1"/>
                  <w:kern w:val="44"/>
                  <w:sz w:val="21"/>
                  <w:szCs w:val="44"/>
                </w:rPr>
                <m:t>#</m:t>
              </m:r>
              <m:d>
                <m:dPr>
                  <m:ctrlPr>
                    <w:rPr>
                      <w:rFonts w:ascii="Cambria Math" w:hAnsi="Cambria Math" w:cs="Times New Roman"/>
                      <w:i/>
                    </w:rPr>
                  </m:ctrlPr>
                </m:dPr>
                <m:e>
                  <m:r>
                    <m:rPr>
                      <m:sty m:val="p"/>
                    </m:rPr>
                    <w:rPr>
                      <w:rFonts w:ascii="Cambria Math" w:hAnsi="Cambria Math" w:cs="Times New Roman"/>
                    </w:rPr>
                    <m:t>A.4</m:t>
                  </m:r>
                </m:e>
              </m:d>
            </m:e>
          </m:eqArr>
        </m:oMath>
      </m:oMathPara>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The corresponding constraints are given in Eq. (A.5):</w:t>
      </w:r>
    </w:p>
    <w:p w:rsidR="004C4617" w:rsidRDefault="00190974">
      <w:pPr>
        <w:rPr>
          <w:rFonts w:ascii="Times New Roman" w:hAnsi="Times New Roman" w:cs="Times New Roman"/>
          <w:bCs/>
          <w:i/>
          <w:snapToGrid w:val="0"/>
          <w:color w:val="000000" w:themeColor="text1"/>
          <w:kern w:val="44"/>
          <w:sz w:val="21"/>
          <w:szCs w:val="44"/>
        </w:rPr>
      </w:pPr>
      <m:oMathPara>
        <m:oMath>
          <m:eqArr>
            <m:eqArrPr>
              <m:maxDist m:val="1"/>
              <m:ctrlPr>
                <w:rPr>
                  <w:rFonts w:ascii="Cambria Math" w:hAnsi="Cambria Math" w:cs="Times New Roman"/>
                  <w:bCs/>
                  <w:i/>
                  <w:snapToGrid w:val="0"/>
                  <w:color w:val="000000" w:themeColor="text1"/>
                  <w:kern w:val="44"/>
                  <w:sz w:val="21"/>
                  <w:szCs w:val="44"/>
                </w:rPr>
              </m:ctrlPr>
            </m:eqArrPr>
            <m:e>
              <m:d>
                <m:dPr>
                  <m:begChr m:val="{"/>
                  <m:endChr m:val=""/>
                  <m:ctrlPr>
                    <w:rPr>
                      <w:rFonts w:ascii="Cambria Math" w:hAnsi="Cambria Math" w:cs="Times New Roman"/>
                      <w:bCs/>
                      <w:i/>
                      <w:snapToGrid w:val="0"/>
                      <w:color w:val="000000" w:themeColor="text1"/>
                      <w:kern w:val="44"/>
                      <w:sz w:val="21"/>
                      <w:szCs w:val="44"/>
                    </w:rPr>
                  </m:ctrlPr>
                </m:dPr>
                <m:e>
                  <m:eqArr>
                    <m:eqArrPr>
                      <m:ctrlPr>
                        <w:rPr>
                          <w:rFonts w:ascii="Cambria Math" w:hAnsi="Cambria Math" w:cs="Times New Roman"/>
                          <w:bCs/>
                          <w:i/>
                          <w:snapToGrid w:val="0"/>
                          <w:color w:val="000000" w:themeColor="text1"/>
                          <w:kern w:val="44"/>
                          <w:sz w:val="21"/>
                          <w:szCs w:val="44"/>
                        </w:rPr>
                      </m:ctrlPr>
                    </m:eqArr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y</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sSup>
                        <m:sSupPr>
                          <m:ctrlPr>
                            <w:rPr>
                              <w:rFonts w:ascii="Cambria Math" w:hAnsi="Cambria Math" w:cs="Times New Roman"/>
                              <w:bCs/>
                              <w:i/>
                              <w:snapToGrid w:val="0"/>
                              <w:color w:val="000000" w:themeColor="text1"/>
                              <w:kern w:val="44"/>
                              <w:sz w:val="21"/>
                              <w:szCs w:val="44"/>
                            </w:rPr>
                          </m:ctrlPr>
                        </m:sSupPr>
                        <m:e>
                          <m:r>
                            <w:rPr>
                              <w:rFonts w:ascii="Cambria Math" w:hAnsi="Cambria Math" w:cs="Times New Roman"/>
                              <w:snapToGrid w:val="0"/>
                              <w:color w:val="000000" w:themeColor="text1"/>
                              <w:kern w:val="44"/>
                              <w:sz w:val="21"/>
                              <w:szCs w:val="44"/>
                            </w:rPr>
                            <m:t>w</m:t>
                          </m:r>
                        </m:e>
                        <m:sup>
                          <m:r>
                            <w:rPr>
                              <w:rFonts w:ascii="Cambria Math" w:hAnsi="Cambria Math" w:cs="Times New Roman"/>
                              <w:snapToGrid w:val="0"/>
                              <w:color w:val="000000" w:themeColor="text1"/>
                              <w:kern w:val="44"/>
                              <w:sz w:val="21"/>
                              <w:szCs w:val="44"/>
                            </w:rPr>
                            <m:t>T</m:t>
                          </m:r>
                        </m:sup>
                      </m:sSup>
                      <m:r>
                        <w:rPr>
                          <w:rFonts w:ascii="Cambria Math" w:hAnsi="Cambria Math" w:cs="Times New Roman"/>
                          <w:snapToGrid w:val="0"/>
                          <w:color w:val="000000" w:themeColor="text1"/>
                          <w:kern w:val="44"/>
                          <w:sz w:val="21"/>
                          <w:szCs w:val="44"/>
                        </w:rPr>
                        <m:t>φ</m:t>
                      </m:r>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e>
                      </m:d>
                      <m:r>
                        <w:rPr>
                          <w:rFonts w:ascii="Cambria Math" w:hAnsi="Cambria Math" w:cs="Times New Roman"/>
                          <w:snapToGrid w:val="0"/>
                          <w:color w:val="000000" w:themeColor="text1"/>
                          <w:kern w:val="44"/>
                          <w:sz w:val="21"/>
                          <w:szCs w:val="44"/>
                        </w:rPr>
                        <m:t>-b≤ε+</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e>
                    <m:e>
                      <m:sSup>
                        <m:sSupPr>
                          <m:ctrlPr>
                            <w:rPr>
                              <w:rFonts w:ascii="Cambria Math" w:hAnsi="Cambria Math" w:cs="Times New Roman"/>
                              <w:bCs/>
                              <w:i/>
                              <w:snapToGrid w:val="0"/>
                              <w:color w:val="000000" w:themeColor="text1"/>
                              <w:kern w:val="44"/>
                              <w:sz w:val="21"/>
                              <w:szCs w:val="44"/>
                            </w:rPr>
                          </m:ctrlPr>
                        </m:sSupPr>
                        <m:e>
                          <m:r>
                            <w:rPr>
                              <w:rFonts w:ascii="Cambria Math" w:hAnsi="Cambria Math" w:cs="Times New Roman"/>
                              <w:snapToGrid w:val="0"/>
                              <w:color w:val="000000" w:themeColor="text1"/>
                              <w:kern w:val="44"/>
                              <w:sz w:val="21"/>
                              <w:szCs w:val="44"/>
                            </w:rPr>
                            <m:t>w</m:t>
                          </m:r>
                        </m:e>
                        <m:sup>
                          <m:r>
                            <w:rPr>
                              <w:rFonts w:ascii="Cambria Math" w:hAnsi="Cambria Math" w:cs="Times New Roman"/>
                              <w:snapToGrid w:val="0"/>
                              <w:color w:val="000000" w:themeColor="text1"/>
                              <w:kern w:val="44"/>
                              <w:sz w:val="21"/>
                              <w:szCs w:val="44"/>
                            </w:rPr>
                            <m:t>T</m:t>
                          </m:r>
                        </m:sup>
                      </m:sSup>
                      <m:r>
                        <w:rPr>
                          <w:rFonts w:ascii="Cambria Math" w:hAnsi="Cambria Math" w:cs="Times New Roman"/>
                          <w:snapToGrid w:val="0"/>
                          <w:color w:val="000000" w:themeColor="text1"/>
                          <w:kern w:val="44"/>
                          <w:sz w:val="21"/>
                          <w:szCs w:val="44"/>
                        </w:rPr>
                        <m:t>φ</m:t>
                      </m:r>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e>
                      </m:d>
                      <m:r>
                        <w:rPr>
                          <w:rFonts w:ascii="Cambria Math" w:hAnsi="Cambria Math" w:cs="Times New Roman"/>
                          <w:snapToGrid w:val="0"/>
                          <w:color w:val="000000" w:themeColor="text1"/>
                          <w:kern w:val="44"/>
                          <w:sz w:val="21"/>
                          <w:szCs w:val="44"/>
                        </w:rPr>
                        <m:t>+b-</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y</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≤ε+</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up>
                          <m:r>
                            <w:rPr>
                              <w:rFonts w:ascii="Cambria Math" w:hAnsi="Cambria Math" w:cs="Times New Roman"/>
                              <w:snapToGrid w:val="0"/>
                              <w:color w:val="000000" w:themeColor="text1"/>
                              <w:kern w:val="44"/>
                              <w:sz w:val="21"/>
                              <w:szCs w:val="44"/>
                            </w:rPr>
                            <m:t>*</m:t>
                          </m:r>
                        </m:sup>
                      </m:sSubSup>
                      <m:r>
                        <w:rPr>
                          <w:rFonts w:ascii="Cambria Math" w:hAnsi="Cambria Math" w:cs="Times New Roman"/>
                          <w:snapToGrid w:val="0"/>
                          <w:color w:val="000000" w:themeColor="text1"/>
                          <w:kern w:val="44"/>
                          <w:sz w:val="21"/>
                          <w:szCs w:val="44"/>
                        </w:rPr>
                        <m:t>,</m:t>
                      </m:r>
                    </m:e>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 xml:space="preserve">≥0, </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up>
                          <m:r>
                            <w:rPr>
                              <w:rFonts w:ascii="Cambria Math" w:hAnsi="Cambria Math" w:cs="Times New Roman"/>
                              <w:snapToGrid w:val="0"/>
                              <w:color w:val="000000" w:themeColor="text1"/>
                              <w:kern w:val="44"/>
                              <w:sz w:val="21"/>
                              <w:szCs w:val="44"/>
                            </w:rPr>
                            <m:t>*</m:t>
                          </m:r>
                        </m:sup>
                      </m:sSubSup>
                      <m:r>
                        <w:rPr>
                          <w:rFonts w:ascii="Cambria Math" w:hAnsi="Cambria Math" w:cs="Times New Roman"/>
                          <w:snapToGrid w:val="0"/>
                          <w:color w:val="000000" w:themeColor="text1"/>
                          <w:kern w:val="44"/>
                          <w:sz w:val="21"/>
                          <w:szCs w:val="44"/>
                        </w:rPr>
                        <m:t>≥0, i=1,2,…,n.</m:t>
                      </m:r>
                    </m:e>
                  </m:eqArr>
                </m:e>
              </m:d>
              <m:r>
                <w:rPr>
                  <w:rFonts w:ascii="Cambria Math" w:hAnsi="Cambria Math" w:cs="Times New Roman"/>
                  <w:snapToGrid w:val="0"/>
                  <w:color w:val="000000" w:themeColor="text1"/>
                  <w:kern w:val="44"/>
                  <w:sz w:val="21"/>
                  <w:szCs w:val="44"/>
                </w:rPr>
                <m:t>#</m:t>
              </m:r>
              <m:d>
                <m:dPr>
                  <m:ctrlPr>
                    <w:rPr>
                      <w:rFonts w:ascii="Cambria Math" w:hAnsi="Cambria Math" w:cs="Times New Roman"/>
                      <w:i/>
                    </w:rPr>
                  </m:ctrlPr>
                </m:dPr>
                <m:e>
                  <m:r>
                    <m:rPr>
                      <m:sty m:val="p"/>
                    </m:rPr>
                    <w:rPr>
                      <w:rFonts w:ascii="Cambria Math" w:hAnsi="Cambria Math" w:cs="Times New Roman"/>
                    </w:rPr>
                    <m:t>A.5</m:t>
                  </m:r>
                </m:e>
              </m:d>
            </m:e>
          </m:eqArr>
        </m:oMath>
      </m:oMathPara>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where C is the penalty parameter, </w:t>
      </w:r>
      <m:oMath>
        <m:r>
          <w:rPr>
            <w:rFonts w:ascii="Cambria Math" w:hAnsi="Cambria Math" w:cs="Times New Roman"/>
            <w:snapToGrid w:val="0"/>
            <w:kern w:val="44"/>
            <w:sz w:val="21"/>
            <w:szCs w:val="44"/>
          </w:rPr>
          <m:t>ε</m:t>
        </m:r>
      </m:oMath>
      <w:r>
        <w:rPr>
          <w:rFonts w:ascii="Times New Roman" w:hAnsi="Times New Roman" w:cs="Times New Roman"/>
          <w:bCs/>
          <w:snapToGrid w:val="0"/>
          <w:kern w:val="44"/>
          <w:sz w:val="21"/>
          <w:szCs w:val="44"/>
        </w:rPr>
        <w:t xml:space="preserve"> denotes the width of the insensitive-loss region, and </w:t>
      </w:r>
      <m:oMath>
        <m:sSub>
          <m:sSubPr>
            <m:ctrlPr>
              <w:rPr>
                <w:rFonts w:ascii="Cambria Math" w:hAnsi="Cambria Math" w:cs="Times New Roman"/>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Sub>
      </m:oMath>
      <w:r>
        <w:rPr>
          <w:rFonts w:ascii="Times New Roman" w:hAnsi="Times New Roman" w:cs="Times New Roman"/>
          <w:bCs/>
          <w:snapToGrid w:val="0"/>
          <w:kern w:val="44"/>
          <w:sz w:val="21"/>
          <w:szCs w:val="44"/>
        </w:rPr>
        <w:t xml:space="preserve"> and </w:t>
      </w:r>
      <m:oMath>
        <m:sSubSup>
          <m:sSubSupPr>
            <m:ctrlPr>
              <w:rPr>
                <w:rFonts w:ascii="Cambria Math" w:hAnsi="Cambria Math" w:cs="Times New Roman"/>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ξ</m:t>
            </m:r>
          </m:e>
          <m:sub>
            <m:r>
              <w:rPr>
                <w:rFonts w:ascii="Cambria Math" w:hAnsi="Cambria Math" w:cs="Times New Roman"/>
                <w:snapToGrid w:val="0"/>
                <w:color w:val="000000" w:themeColor="text1"/>
                <w:kern w:val="44"/>
                <w:sz w:val="21"/>
                <w:szCs w:val="44"/>
              </w:rPr>
              <m:t>i</m:t>
            </m:r>
          </m:sub>
          <m:sup>
            <m:r>
              <w:rPr>
                <w:rFonts w:ascii="Cambria Math" w:hAnsi="Cambria Math" w:cs="Times New Roman"/>
                <w:snapToGrid w:val="0"/>
                <w:color w:val="000000" w:themeColor="text1"/>
                <w:kern w:val="44"/>
                <w:sz w:val="21"/>
                <w:szCs w:val="44"/>
              </w:rPr>
              <m:t>*</m:t>
            </m:r>
          </m:sup>
        </m:sSubSup>
      </m:oMath>
      <w:r>
        <w:rPr>
          <w:rFonts w:ascii="Times New Roman" w:hAnsi="Times New Roman" w:cs="Times New Roman"/>
          <w:bCs/>
          <w:snapToGrid w:val="0"/>
          <w:kern w:val="44"/>
          <w:sz w:val="21"/>
          <w:szCs w:val="44"/>
        </w:rPr>
        <w:t xml:space="preserve"> are slack variables. With an appropriate kernel function and parameter settings, SVR can effectively identify potential nonlinear predictive relationships between </w:t>
      </w:r>
      <w:r w:rsidR="00A0733A" w:rsidRPr="00A0733A">
        <w:rPr>
          <w:rFonts w:ascii="Times New Roman" w:hAnsi="Times New Roman" w:cs="Times New Roman"/>
          <w:bCs/>
          <w:i/>
          <w:iCs/>
          <w:snapToGrid w:val="0"/>
          <w:kern w:val="44"/>
          <w:sz w:val="21"/>
          <w:szCs w:val="44"/>
        </w:rPr>
        <w:t>IE</w:t>
      </w:r>
      <w:r>
        <w:rPr>
          <w:rFonts w:ascii="Times New Roman" w:hAnsi="Times New Roman" w:cs="Times New Roman"/>
          <w:bCs/>
          <w:snapToGrid w:val="0"/>
          <w:kern w:val="44"/>
          <w:sz w:val="21"/>
          <w:szCs w:val="44"/>
        </w:rPr>
        <w:t xml:space="preserve"> and </w:t>
      </w:r>
      <w:r w:rsidR="00A0733A" w:rsidRPr="00A0733A">
        <w:rPr>
          <w:rFonts w:ascii="Times New Roman" w:hAnsi="Times New Roman" w:cs="Times New Roman"/>
          <w:bCs/>
          <w:i/>
          <w:iCs/>
          <w:snapToGrid w:val="0"/>
          <w:kern w:val="44"/>
          <w:sz w:val="21"/>
          <w:szCs w:val="44"/>
        </w:rPr>
        <w:t>EIR</w:t>
      </w:r>
      <w:r>
        <w:rPr>
          <w:rFonts w:ascii="Times New Roman" w:hAnsi="Times New Roman" w:cs="Times New Roman" w:hint="eastAsia"/>
          <w:bCs/>
          <w:snapToGrid w:val="0"/>
          <w:kern w:val="44"/>
          <w:sz w:val="21"/>
          <w:szCs w:val="44"/>
          <w:vertAlign w:val="subscript"/>
        </w:rPr>
        <w:t>t</w:t>
      </w:r>
      <w:r>
        <w:rPr>
          <w:rFonts w:ascii="Times New Roman" w:hAnsi="Times New Roman" w:cs="Times New Roman"/>
          <w:bCs/>
          <w:snapToGrid w:val="0"/>
          <w:kern w:val="44"/>
          <w:sz w:val="21"/>
          <w:szCs w:val="44"/>
          <w:vertAlign w:val="subscript"/>
        </w:rPr>
        <w:t>+1</w:t>
      </w:r>
      <w:r>
        <w:rPr>
          <w:rFonts w:ascii="Times New Roman" w:hAnsi="Times New Roman" w:cs="Times New Roman"/>
          <w:bCs/>
          <w:snapToGrid w:val="0"/>
          <w:kern w:val="44"/>
          <w:sz w:val="21"/>
          <w:szCs w:val="44"/>
        </w:rPr>
        <w:t>. This study employs the commonly used radial basis function (RBF) kernel for model training.</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(4) A decision tree (DT) is a tree-based supervised-learning model that constructs prediction rules through recursive partitioning of the feature space. Based on the input features and the corresponding split points, the model repeatedly partitions the sample into different nodes and ultimately generates predictions at the leaf nodes. DT can automatically identify nonlinear relationships and local predictive patterns among variables and offers an intuitive model structure with relatively strong interpretability. However, a single decision tree is sensitive to changes in the training sample and may be prone to overfitting. Pruning or ensemble-learning approaches are therefore commonly employed to improve model stability and generalizability.</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(5) Random forest (RF) is a tree-based ensemble-learning method based on the bagging principle. It repeatedly draws multiple training subsamples from the original sample through bootstrap resampling and constructs multiple decision trees. At each node split, RF further selects a random subset of features as candidate splitting variables, thereby reducing correlations among individual trees. For regression tasks, each decision tree produces a prediction, and the final prediction is obtained by averaging the predictions across all trees. By introducing randomness at both the sample and feature levels, RF reduces the variance and overfitting risk associated with individual decision trees while retaining a strong capacity to identify nonlinear relationships and high-dimensional feature interactions.</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(6) XGBoost is an ensemble-learning algorithm based on gradient-boosted decision trees (GBT). Its core principle is to sequentially introduce new weak learners to correct the prediction errors of the existing model and to aggregate the predictions generated at different boosting stages. Assuming that the model consists of K regression trees, the final prediction for sample i can be expressed as shown in Eq. (A.6):</w:t>
      </w:r>
    </w:p>
    <w:p w:rsidR="004C4617" w:rsidRDefault="00190974">
      <w:pPr>
        <w:ind w:firstLineChars="200" w:firstLine="420"/>
        <w:jc w:val="both"/>
        <w:rPr>
          <w:rFonts w:ascii="Times New Roman" w:hAnsi="Times New Roman" w:cs="Times New Roman"/>
          <w:bCs/>
          <w:i/>
          <w:snapToGrid w:val="0"/>
          <w:color w:val="000000" w:themeColor="text1"/>
          <w:kern w:val="44"/>
          <w:sz w:val="21"/>
          <w:szCs w:val="44"/>
        </w:rPr>
      </w:pPr>
      <m:oMathPara>
        <m:oMath>
          <m:eqArr>
            <m:eqArrPr>
              <m:maxDist m:val="1"/>
              <m:ctrlPr>
                <w:rPr>
                  <w:rFonts w:ascii="Cambria Math" w:hAnsi="Cambria Math" w:cs="Times New Roman"/>
                  <w:bCs/>
                  <w:i/>
                  <w:snapToGrid w:val="0"/>
                  <w:color w:val="000000" w:themeColor="text1"/>
                  <w:kern w:val="44"/>
                  <w:sz w:val="21"/>
                  <w:szCs w:val="44"/>
                </w:rPr>
              </m:ctrlPr>
            </m:eqArr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ŷ</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nary>
                <m:naryPr>
                  <m:chr m:val="∑"/>
                  <m:ctrlPr>
                    <w:rPr>
                      <w:rFonts w:ascii="Cambria Math" w:hAnsi="Cambria Math" w:cs="Times New Roman"/>
                      <w:bCs/>
                      <w:i/>
                      <w:snapToGrid w:val="0"/>
                      <w:color w:val="000000" w:themeColor="text1"/>
                      <w:kern w:val="44"/>
                      <w:sz w:val="21"/>
                      <w:szCs w:val="44"/>
                    </w:rPr>
                  </m:ctrlPr>
                </m:naryPr>
                <m:sub>
                  <m:r>
                    <w:rPr>
                      <w:rFonts w:ascii="Cambria Math" w:hAnsi="Cambria Math" w:cs="Times New Roman"/>
                      <w:snapToGrid w:val="0"/>
                      <w:color w:val="000000" w:themeColor="text1"/>
                      <w:kern w:val="44"/>
                      <w:sz w:val="21"/>
                      <w:szCs w:val="44"/>
                    </w:rPr>
                    <m:t>t=1</m:t>
                  </m:r>
                </m:sub>
                <m:sup>
                  <m:r>
                    <w:rPr>
                      <w:rFonts w:ascii="Cambria Math" w:hAnsi="Cambria Math" w:cs="Times New Roman"/>
                      <w:snapToGrid w:val="0"/>
                      <w:color w:val="000000" w:themeColor="text1"/>
                      <w:kern w:val="44"/>
                      <w:sz w:val="21"/>
                      <w:szCs w:val="44"/>
                    </w:rPr>
                    <m:t>K</m:t>
                  </m:r>
                </m:sup>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e>
                  </m:d>
                </m:e>
              </m:nary>
              <m:r>
                <w:rPr>
                  <w:rFonts w:ascii="Cambria Math" w:hAnsi="Cambria Math" w:cs="Times New Roman"/>
                  <w:snapToGrid w:val="0"/>
                  <w:color w:val="000000" w:themeColor="text1"/>
                  <w:kern w:val="44"/>
                  <w:sz w:val="21"/>
                  <w:szCs w:val="44"/>
                </w:rPr>
                <m:t xml:space="preserve">, </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r>
                <w:rPr>
                  <w:rFonts w:ascii="Cambria Math" w:hAnsi="Cambria Math" w:cs="Times New Roman"/>
                  <w:snapToGrid w:val="0"/>
                  <w:color w:val="000000" w:themeColor="text1"/>
                  <w:kern w:val="44"/>
                  <w:sz w:val="21"/>
                  <w:szCs w:val="44"/>
                </w:rPr>
                <m:t>∈F#</m:t>
              </m:r>
              <m:d>
                <m:dPr>
                  <m:ctrlPr>
                    <w:rPr>
                      <w:rFonts w:ascii="Cambria Math" w:hAnsi="Cambria Math" w:cs="Times New Roman"/>
                      <w:i/>
                    </w:rPr>
                  </m:ctrlPr>
                </m:dPr>
                <m:e>
                  <m:r>
                    <m:rPr>
                      <m:sty m:val="p"/>
                    </m:rPr>
                    <w:rPr>
                      <w:rFonts w:ascii="Cambria Math" w:hAnsi="Cambria Math" w:cs="Times New Roman"/>
                    </w:rPr>
                    <m:t>A.6</m:t>
                  </m:r>
                </m:e>
              </m:d>
            </m:e>
          </m:eqArr>
        </m:oMath>
      </m:oMathPara>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where </w:t>
      </w:r>
      <m:oMath>
        <m:r>
          <w:rPr>
            <w:rFonts w:ascii="Cambria Math" w:hAnsi="Cambria Math" w:cs="Times New Roman"/>
            <w:snapToGrid w:val="0"/>
            <w:color w:val="000000" w:themeColor="text1"/>
            <w:kern w:val="44"/>
            <w:sz w:val="21"/>
            <w:szCs w:val="44"/>
          </w:rPr>
          <m:t xml:space="preserve"> </m:t>
        </m:r>
        <m:sSub>
          <m:sSubPr>
            <m:ctrlPr>
              <w:rPr>
                <w:rFonts w:ascii="Cambria Math" w:hAnsi="Cambria Math" w:cs="Times New Roman"/>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oMath>
      <w:r>
        <w:rPr>
          <w:rFonts w:ascii="Times New Roman" w:hAnsi="Times New Roman" w:cs="Times New Roman"/>
          <w:bCs/>
          <w:snapToGrid w:val="0"/>
          <w:kern w:val="44"/>
          <w:sz w:val="21"/>
          <w:szCs w:val="44"/>
        </w:rPr>
        <w:t xml:space="preserve"> denotes the </w:t>
      </w:r>
      <w:r>
        <w:rPr>
          <w:rFonts w:ascii="Times New Roman" w:hAnsi="Times New Roman" w:cs="Times New Roman"/>
          <w:bCs/>
          <w:i/>
          <w:snapToGrid w:val="0"/>
          <w:kern w:val="44"/>
          <w:sz w:val="21"/>
          <w:szCs w:val="44"/>
        </w:rPr>
        <w:t>t</w:t>
      </w:r>
      <w:r>
        <w:rPr>
          <w:rFonts w:ascii="Times New Roman" w:hAnsi="Times New Roman" w:cs="Times New Roman"/>
          <w:bCs/>
          <w:snapToGrid w:val="0"/>
          <w:kern w:val="44"/>
          <w:sz w:val="21"/>
          <w:szCs w:val="44"/>
        </w:rPr>
        <w:t xml:space="preserve">th regression tree and F denotes the function space of regression trees. The XGBoost objective function simultaneously accounts for prediction loss and model complexity. At the </w:t>
      </w:r>
      <w:r>
        <w:rPr>
          <w:rFonts w:ascii="Times New Roman" w:hAnsi="Times New Roman" w:cs="Times New Roman"/>
          <w:bCs/>
          <w:i/>
          <w:snapToGrid w:val="0"/>
          <w:kern w:val="44"/>
          <w:sz w:val="21"/>
          <w:szCs w:val="44"/>
        </w:rPr>
        <w:t>t</w:t>
      </w:r>
      <w:r>
        <w:rPr>
          <w:rFonts w:ascii="Times New Roman" w:hAnsi="Times New Roman" w:cs="Times New Roman"/>
          <w:bCs/>
          <w:snapToGrid w:val="0"/>
          <w:kern w:val="44"/>
          <w:sz w:val="21"/>
          <w:szCs w:val="44"/>
        </w:rPr>
        <w:t>th iteration, the XGBoost objective function, which jointly accounts for prediction loss and model complexity, is given by Eq. (A.7):</w:t>
      </w:r>
    </w:p>
    <w:p w:rsidR="004C4617" w:rsidRDefault="00190974">
      <w:pPr>
        <w:ind w:firstLineChars="200" w:firstLine="420"/>
        <w:jc w:val="both"/>
        <w:rPr>
          <w:rFonts w:ascii="Times New Roman" w:hAnsi="Times New Roman" w:cs="Times New Roman"/>
          <w:bCs/>
          <w:i/>
          <w:snapToGrid w:val="0"/>
          <w:color w:val="000000" w:themeColor="text1"/>
          <w:kern w:val="44"/>
          <w:sz w:val="21"/>
          <w:szCs w:val="44"/>
        </w:rPr>
      </w:pPr>
      <m:oMathPara>
        <m:oMath>
          <m:eqArr>
            <m:eqArrPr>
              <m:maxDist m:val="1"/>
              <m:ctrlPr>
                <w:rPr>
                  <w:rFonts w:ascii="Cambria Math" w:hAnsi="Cambria Math" w:cs="Times New Roman"/>
                  <w:bCs/>
                  <w:i/>
                  <w:snapToGrid w:val="0"/>
                  <w:color w:val="000000" w:themeColor="text1"/>
                  <w:kern w:val="44"/>
                  <w:sz w:val="21"/>
                  <w:szCs w:val="44"/>
                </w:rPr>
              </m:ctrlPr>
            </m:eqArrPr>
            <m:e>
              <m:r>
                <w:rPr>
                  <w:rFonts w:ascii="Cambria Math" w:hAnsi="Cambria Math" w:cs="Times New Roman"/>
                  <w:snapToGrid w:val="0"/>
                  <w:color w:val="000000" w:themeColor="text1"/>
                  <w:kern w:val="44"/>
                  <w:sz w:val="21"/>
                  <w:szCs w:val="44"/>
                </w:rPr>
                <m:t>Ob</m:t>
              </m:r>
              <m:sSup>
                <m:sSupPr>
                  <m:ctrlPr>
                    <w:rPr>
                      <w:rFonts w:ascii="Cambria Math" w:hAnsi="Cambria Math" w:cs="Times New Roman"/>
                      <w:bCs/>
                      <w:i/>
                      <w:snapToGrid w:val="0"/>
                      <w:color w:val="000000" w:themeColor="text1"/>
                      <w:kern w:val="44"/>
                      <w:sz w:val="21"/>
                      <w:szCs w:val="44"/>
                    </w:rPr>
                  </m:ctrlPr>
                </m:sSupPr>
                <m:e>
                  <m:r>
                    <w:rPr>
                      <w:rFonts w:ascii="Cambria Math" w:hAnsi="Cambria Math" w:cs="Times New Roman"/>
                      <w:snapToGrid w:val="0"/>
                      <w:color w:val="000000" w:themeColor="text1"/>
                      <w:kern w:val="44"/>
                      <w:sz w:val="21"/>
                      <w:szCs w:val="44"/>
                    </w:rPr>
                    <m:t>j</m:t>
                  </m:r>
                </m:e>
                <m:sup>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t</m:t>
                      </m:r>
                    </m:e>
                  </m:d>
                </m:sup>
              </m:sSup>
              <m:r>
                <w:rPr>
                  <w:rFonts w:ascii="Cambria Math" w:hAnsi="Cambria Math" w:cs="Times New Roman"/>
                  <w:snapToGrid w:val="0"/>
                  <w:color w:val="000000" w:themeColor="text1"/>
                  <w:kern w:val="44"/>
                  <w:sz w:val="21"/>
                  <w:szCs w:val="44"/>
                </w:rPr>
                <m:t>=</m:t>
              </m:r>
              <m:nary>
                <m:naryPr>
                  <m:chr m:val="∑"/>
                  <m:ctrlPr>
                    <w:rPr>
                      <w:rFonts w:ascii="Cambria Math" w:hAnsi="Cambria Math" w:cs="Times New Roman"/>
                      <w:bCs/>
                      <w:i/>
                      <w:snapToGrid w:val="0"/>
                      <w:color w:val="000000" w:themeColor="text1"/>
                      <w:kern w:val="44"/>
                      <w:sz w:val="21"/>
                      <w:szCs w:val="44"/>
                    </w:rPr>
                  </m:ctrlPr>
                </m:naryPr>
                <m:sub>
                  <m:r>
                    <w:rPr>
                      <w:rFonts w:ascii="Cambria Math" w:hAnsi="Cambria Math" w:cs="Times New Roman"/>
                      <w:snapToGrid w:val="0"/>
                      <w:color w:val="000000" w:themeColor="text1"/>
                      <w:kern w:val="44"/>
                      <w:sz w:val="21"/>
                      <w:szCs w:val="44"/>
                    </w:rPr>
                    <m:t>i=1</m:t>
                  </m:r>
                </m:sub>
                <m:sup>
                  <m:r>
                    <w:rPr>
                      <w:rFonts w:ascii="Cambria Math" w:hAnsi="Cambria Math" w:cs="Times New Roman"/>
                      <w:snapToGrid w:val="0"/>
                      <w:color w:val="000000" w:themeColor="text1"/>
                      <w:kern w:val="44"/>
                      <w:sz w:val="21"/>
                      <w:szCs w:val="44"/>
                    </w:rPr>
                    <m:t>n</m:t>
                  </m:r>
                </m:sup>
                <m:e>
                  <m:r>
                    <w:rPr>
                      <w:rFonts w:ascii="Cambria Math" w:hAnsi="Cambria Math" w:cs="Times New Roman"/>
                      <w:snapToGrid w:val="0"/>
                      <w:color w:val="000000" w:themeColor="text1"/>
                      <w:kern w:val="44"/>
                      <w:sz w:val="21"/>
                      <w:szCs w:val="44"/>
                    </w:rPr>
                    <m:t>l</m:t>
                  </m:r>
                  <m:d>
                    <m:dPr>
                      <m:begChr m:val="["/>
                      <m:endChr m:val="]"/>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y</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ŷ</m:t>
                          </m:r>
                        </m:e>
                        <m:sub>
                          <m:r>
                            <w:rPr>
                              <w:rFonts w:ascii="Cambria Math" w:hAnsi="Cambria Math" w:cs="Times New Roman"/>
                              <w:snapToGrid w:val="0"/>
                              <w:color w:val="000000" w:themeColor="text1"/>
                              <w:kern w:val="44"/>
                              <w:sz w:val="21"/>
                              <w:szCs w:val="44"/>
                            </w:rPr>
                            <m:t>i</m:t>
                          </m:r>
                        </m:sub>
                        <m:sup>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t-1</m:t>
                              </m:r>
                            </m:e>
                          </m:d>
                        </m:sup>
                      </m:sSubSup>
                      <m:r>
                        <w:rPr>
                          <w:rFonts w:ascii="Cambria Math" w:hAnsi="Cambria Math" w:cs="Times New Roman"/>
                          <w:snapToGrid w:val="0"/>
                          <w:color w:val="000000" w:themeColor="text1"/>
                          <w:kern w:val="44"/>
                          <w:sz w:val="21"/>
                          <w:szCs w:val="44"/>
                        </w:rPr>
                        <m:t>+</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e>
                      </m:d>
                    </m:e>
                  </m:d>
                </m:e>
              </m:nary>
              <m:r>
                <w:rPr>
                  <w:rFonts w:ascii="Cambria Math" w:hAnsi="Cambria Math" w:cs="Times New Roman"/>
                  <w:snapToGrid w:val="0"/>
                  <w:color w:val="000000" w:themeColor="text1"/>
                  <w:kern w:val="44"/>
                  <w:sz w:val="21"/>
                  <w:szCs w:val="44"/>
                </w:rPr>
                <m:t>+Ω</m:t>
              </m:r>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e>
              </m:d>
              <m:r>
                <w:rPr>
                  <w:rFonts w:ascii="Cambria Math" w:hAnsi="Cambria Math" w:cs="Times New Roman"/>
                  <w:snapToGrid w:val="0"/>
                  <w:color w:val="000000" w:themeColor="text1"/>
                  <w:kern w:val="44"/>
                  <w:sz w:val="21"/>
                  <w:szCs w:val="44"/>
                </w:rPr>
                <m:t>#</m:t>
              </m:r>
              <m:d>
                <m:dPr>
                  <m:ctrlPr>
                    <w:rPr>
                      <w:rFonts w:ascii="Cambria Math" w:hAnsi="Cambria Math" w:cs="Times New Roman"/>
                      <w:i/>
                    </w:rPr>
                  </m:ctrlPr>
                </m:dPr>
                <m:e>
                  <m:r>
                    <m:rPr>
                      <m:sty m:val="p"/>
                    </m:rPr>
                    <w:rPr>
                      <w:rFonts w:ascii="Cambria Math" w:hAnsi="Cambria Math" w:cs="Times New Roman"/>
                    </w:rPr>
                    <m:t>A.7</m:t>
                  </m:r>
                </m:e>
              </m:d>
            </m:e>
          </m:eqArr>
        </m:oMath>
      </m:oMathPara>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where </w:t>
      </w:r>
      <m:oMath>
        <m:r>
          <w:rPr>
            <w:rFonts w:ascii="Cambria Math" w:hAnsi="Cambria Math" w:cs="Times New Roman"/>
            <w:snapToGrid w:val="0"/>
            <w:kern w:val="44"/>
            <w:sz w:val="21"/>
            <w:szCs w:val="44"/>
          </w:rPr>
          <m:t>l</m:t>
        </m:r>
        <m:d>
          <m:dPr>
            <m:ctrlPr>
              <w:rPr>
                <w:rFonts w:ascii="Cambria Math" w:hAnsi="Cambria Math" w:cs="Times New Roman"/>
                <w:bCs/>
                <w:i/>
                <w:snapToGrid w:val="0"/>
                <w:kern w:val="44"/>
                <w:sz w:val="21"/>
                <w:szCs w:val="44"/>
              </w:rPr>
            </m:ctrlPr>
          </m:dPr>
          <m:e>
            <m:r>
              <w:rPr>
                <w:rFonts w:ascii="Cambria Math" w:hAnsi="Cambria Math" w:cs="Times New Roman"/>
                <w:snapToGrid w:val="0"/>
                <w:kern w:val="44"/>
                <w:sz w:val="21"/>
                <w:szCs w:val="44"/>
              </w:rPr>
              <m:t>∙</m:t>
            </m:r>
          </m:e>
        </m:d>
      </m:oMath>
      <w:r>
        <w:rPr>
          <w:rFonts w:ascii="Times New Roman" w:hAnsi="Times New Roman" w:cs="Times New Roman"/>
          <w:bCs/>
          <w:snapToGrid w:val="0"/>
          <w:kern w:val="44"/>
          <w:sz w:val="21"/>
          <w:szCs w:val="44"/>
        </w:rPr>
        <w:t xml:space="preserve"> denotes the loss function used to measure the discrepancy between predicted and observed values, and </w:t>
      </w:r>
      <m:oMath>
        <m:r>
          <w:rPr>
            <w:rFonts w:ascii="Cambria Math" w:hAnsi="Cambria Math" w:cs="Times New Roman"/>
            <w:snapToGrid w:val="0"/>
            <w:color w:val="000000" w:themeColor="text1"/>
            <w:kern w:val="44"/>
            <w:sz w:val="21"/>
            <w:szCs w:val="44"/>
          </w:rPr>
          <m:t>Ω</m:t>
        </m:r>
        <m:d>
          <m:dPr>
            <m:ctrlPr>
              <w:rPr>
                <w:rFonts w:ascii="Cambria Math" w:hAnsi="Cambria Math" w:cs="Times New Roman"/>
                <w:i/>
                <w:snapToGrid w:val="0"/>
                <w:color w:val="000000" w:themeColor="text1"/>
                <w:kern w:val="44"/>
                <w:sz w:val="21"/>
                <w:szCs w:val="44"/>
              </w:rPr>
            </m:ctrlPr>
          </m:dPr>
          <m:e>
            <m:sSub>
              <m:sSubPr>
                <m:ctrlPr>
                  <w:rPr>
                    <w:rFonts w:ascii="Cambria Math" w:hAnsi="Cambria Math" w:cs="Times New Roman"/>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e>
        </m:d>
      </m:oMath>
      <w:r>
        <w:rPr>
          <w:rFonts w:ascii="Times New Roman" w:hAnsi="Times New Roman" w:cs="Times New Roman"/>
          <w:bCs/>
          <w:snapToGrid w:val="0"/>
          <w:kern w:val="44"/>
          <w:sz w:val="21"/>
          <w:szCs w:val="44"/>
        </w:rPr>
        <w:t xml:space="preserve"> is the regularization term used to control model complexity and reduce the risk of overfitting. To improve computational efficiency, XGBoost exploits first- and second-order derivative information from the loss function, and Eq. (</w:t>
      </w:r>
      <w:r>
        <w:rPr>
          <w:rFonts w:ascii="Times New Roman" w:hAnsi="Times New Roman" w:cs="Times New Roman" w:hint="eastAsia"/>
          <w:bCs/>
          <w:snapToGrid w:val="0"/>
          <w:kern w:val="44"/>
          <w:sz w:val="21"/>
          <w:szCs w:val="44"/>
        </w:rPr>
        <w:t>A</w:t>
      </w:r>
      <w:r>
        <w:rPr>
          <w:rFonts w:ascii="Times New Roman" w:hAnsi="Times New Roman" w:cs="Times New Roman"/>
          <w:bCs/>
          <w:snapToGrid w:val="0"/>
          <w:kern w:val="44"/>
          <w:sz w:val="21"/>
          <w:szCs w:val="44"/>
        </w:rPr>
        <w:t>.7) can be approximated using a second-order Taylor expansion as shown in Eq. (A.8):</w:t>
      </w:r>
    </w:p>
    <w:p w:rsidR="004C4617" w:rsidRDefault="00190974">
      <w:pPr>
        <w:ind w:firstLineChars="200" w:firstLine="420"/>
        <w:jc w:val="both"/>
        <w:rPr>
          <w:rFonts w:ascii="Times New Roman" w:hAnsi="Times New Roman" w:cs="Times New Roman"/>
          <w:bCs/>
          <w:i/>
          <w:snapToGrid w:val="0"/>
          <w:color w:val="000000" w:themeColor="text1"/>
          <w:kern w:val="44"/>
          <w:sz w:val="21"/>
          <w:szCs w:val="44"/>
        </w:rPr>
      </w:pPr>
      <m:oMathPara>
        <m:oMath>
          <m:eqArr>
            <m:eqArrPr>
              <m:maxDist m:val="1"/>
              <m:ctrlPr>
                <w:rPr>
                  <w:rFonts w:ascii="Cambria Math" w:hAnsi="Cambria Math" w:cs="Times New Roman"/>
                  <w:bCs/>
                  <w:i/>
                  <w:snapToGrid w:val="0"/>
                  <w:color w:val="000000" w:themeColor="text1"/>
                  <w:kern w:val="44"/>
                  <w:sz w:val="21"/>
                  <w:szCs w:val="44"/>
                </w:rPr>
              </m:ctrlPr>
            </m:eqArrPr>
            <m:e>
              <m:r>
                <w:rPr>
                  <w:rFonts w:ascii="Cambria Math" w:hAnsi="Cambria Math" w:cs="Times New Roman"/>
                  <w:snapToGrid w:val="0"/>
                  <w:color w:val="000000" w:themeColor="text1"/>
                  <w:kern w:val="44"/>
                  <w:sz w:val="21"/>
                  <w:szCs w:val="44"/>
                </w:rPr>
                <m:t>Ob</m:t>
              </m:r>
              <m:sSup>
                <m:sSupPr>
                  <m:ctrlPr>
                    <w:rPr>
                      <w:rFonts w:ascii="Cambria Math" w:hAnsi="Cambria Math" w:cs="Times New Roman"/>
                      <w:bCs/>
                      <w:i/>
                      <w:snapToGrid w:val="0"/>
                      <w:color w:val="000000" w:themeColor="text1"/>
                      <w:kern w:val="44"/>
                      <w:sz w:val="21"/>
                      <w:szCs w:val="44"/>
                    </w:rPr>
                  </m:ctrlPr>
                </m:sSupPr>
                <m:e>
                  <m:r>
                    <w:rPr>
                      <w:rFonts w:ascii="Cambria Math" w:hAnsi="Cambria Math" w:cs="Times New Roman"/>
                      <w:snapToGrid w:val="0"/>
                      <w:color w:val="000000" w:themeColor="text1"/>
                      <w:kern w:val="44"/>
                      <w:sz w:val="21"/>
                      <w:szCs w:val="44"/>
                    </w:rPr>
                    <m:t>j</m:t>
                  </m:r>
                </m:e>
                <m:sup>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t</m:t>
                      </m:r>
                    </m:e>
                  </m:d>
                </m:sup>
              </m:sSup>
              <m:r>
                <w:rPr>
                  <w:rFonts w:ascii="Cambria Math" w:hAnsi="Cambria Math" w:cs="Times New Roman"/>
                  <w:snapToGrid w:val="0"/>
                  <w:color w:val="000000" w:themeColor="text1"/>
                  <w:kern w:val="44"/>
                  <w:sz w:val="21"/>
                  <w:szCs w:val="44"/>
                </w:rPr>
                <m:t>≈</m:t>
              </m:r>
              <m:nary>
                <m:naryPr>
                  <m:chr m:val="∑"/>
                  <m:ctrlPr>
                    <w:rPr>
                      <w:rFonts w:ascii="Cambria Math" w:hAnsi="Cambria Math" w:cs="Times New Roman"/>
                      <w:bCs/>
                      <w:i/>
                      <w:snapToGrid w:val="0"/>
                      <w:color w:val="000000" w:themeColor="text1"/>
                      <w:kern w:val="44"/>
                      <w:sz w:val="21"/>
                      <w:szCs w:val="44"/>
                    </w:rPr>
                  </m:ctrlPr>
                </m:naryPr>
                <m:sub>
                  <m:r>
                    <w:rPr>
                      <w:rFonts w:ascii="Cambria Math" w:hAnsi="Cambria Math" w:cs="Times New Roman"/>
                      <w:snapToGrid w:val="0"/>
                      <w:color w:val="000000" w:themeColor="text1"/>
                      <w:kern w:val="44"/>
                      <w:sz w:val="21"/>
                      <w:szCs w:val="44"/>
                    </w:rPr>
                    <m:t>i=1</m:t>
                  </m:r>
                </m:sub>
                <m:sup>
                  <m:r>
                    <w:rPr>
                      <w:rFonts w:ascii="Cambria Math" w:hAnsi="Cambria Math" w:cs="Times New Roman"/>
                      <w:snapToGrid w:val="0"/>
                      <w:color w:val="000000" w:themeColor="text1"/>
                      <w:kern w:val="44"/>
                      <w:sz w:val="21"/>
                      <w:szCs w:val="44"/>
                    </w:rPr>
                    <m:t>n</m:t>
                  </m:r>
                </m:sup>
                <m:e>
                  <m:d>
                    <m:dPr>
                      <m:begChr m:val="["/>
                      <m:endChr m:val="]"/>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g</m:t>
                          </m:r>
                        </m:e>
                        <m:sub>
                          <m:r>
                            <w:rPr>
                              <w:rFonts w:ascii="Cambria Math" w:hAnsi="Cambria Math" w:cs="Times New Roman"/>
                              <w:snapToGrid w:val="0"/>
                              <w:color w:val="000000" w:themeColor="text1"/>
                              <w:kern w:val="44"/>
                              <w:sz w:val="21"/>
                              <w:szCs w:val="44"/>
                            </w:rPr>
                            <m:t>i</m:t>
                          </m:r>
                        </m:sub>
                      </m:sSub>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e>
                      </m:d>
                      <m:r>
                        <w:rPr>
                          <w:rFonts w:ascii="Cambria Math" w:hAnsi="Cambria Math" w:cs="Times New Roman"/>
                          <w:snapToGrid w:val="0"/>
                          <w:color w:val="000000" w:themeColor="text1"/>
                          <w:kern w:val="44"/>
                          <w:sz w:val="21"/>
                          <w:szCs w:val="44"/>
                        </w:rPr>
                        <m:t>+</m:t>
                      </m:r>
                      <m:f>
                        <m:fPr>
                          <m:ctrlPr>
                            <w:rPr>
                              <w:rFonts w:ascii="Cambria Math" w:hAnsi="Cambria Math" w:cs="Times New Roman"/>
                              <w:bCs/>
                              <w:i/>
                              <w:snapToGrid w:val="0"/>
                              <w:color w:val="000000" w:themeColor="text1"/>
                              <w:kern w:val="44"/>
                              <w:sz w:val="21"/>
                              <w:szCs w:val="44"/>
                            </w:rPr>
                          </m:ctrlPr>
                        </m:fPr>
                        <m:num>
                          <m:r>
                            <w:rPr>
                              <w:rFonts w:ascii="Cambria Math" w:hAnsi="Cambria Math" w:cs="Times New Roman"/>
                              <w:snapToGrid w:val="0"/>
                              <w:color w:val="000000" w:themeColor="text1"/>
                              <w:kern w:val="44"/>
                              <w:sz w:val="21"/>
                              <w:szCs w:val="44"/>
                            </w:rPr>
                            <m:t>1</m:t>
                          </m:r>
                        </m:num>
                        <m:den>
                          <m:r>
                            <w:rPr>
                              <w:rFonts w:ascii="Cambria Math" w:hAnsi="Cambria Math" w:cs="Times New Roman"/>
                              <w:snapToGrid w:val="0"/>
                              <w:color w:val="000000" w:themeColor="text1"/>
                              <w:kern w:val="44"/>
                              <w:sz w:val="21"/>
                              <w:szCs w:val="44"/>
                            </w:rPr>
                            <m:t>2</m:t>
                          </m:r>
                        </m:den>
                      </m:f>
                      <m:r>
                        <w:rPr>
                          <w:rFonts w:ascii="Cambria Math" w:hAnsi="Cambria Math" w:cs="Times New Roman"/>
                          <w:snapToGrid w:val="0"/>
                          <w:color w:val="000000" w:themeColor="text1"/>
                          <w:kern w:val="44"/>
                          <w:sz w:val="21"/>
                          <w:szCs w:val="44"/>
                        </w:rPr>
                        <m:t xml:space="preserve"> </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h</m:t>
                          </m:r>
                        </m:e>
                        <m:sub>
                          <m:r>
                            <w:rPr>
                              <w:rFonts w:ascii="Cambria Math" w:hAnsi="Cambria Math" w:cs="Times New Roman"/>
                              <w:snapToGrid w:val="0"/>
                              <w:color w:val="000000" w:themeColor="text1"/>
                              <w:kern w:val="44"/>
                              <w:sz w:val="21"/>
                              <w:szCs w:val="44"/>
                            </w:rPr>
                            <m:t>i</m:t>
                          </m:r>
                        </m:sub>
                      </m:sSub>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up>
                          <m:r>
                            <w:rPr>
                              <w:rFonts w:ascii="Cambria Math" w:hAnsi="Cambria Math" w:cs="Times New Roman"/>
                              <w:snapToGrid w:val="0"/>
                              <w:color w:val="000000" w:themeColor="text1"/>
                              <w:kern w:val="44"/>
                              <w:sz w:val="21"/>
                              <w:szCs w:val="44"/>
                            </w:rPr>
                            <m:t>2</m:t>
                          </m:r>
                        </m:sup>
                      </m:sSubSup>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x</m:t>
                              </m:r>
                            </m:e>
                            <m:sub>
                              <m:r>
                                <w:rPr>
                                  <w:rFonts w:ascii="Cambria Math" w:hAnsi="Cambria Math" w:cs="Times New Roman"/>
                                  <w:snapToGrid w:val="0"/>
                                  <w:color w:val="000000" w:themeColor="text1"/>
                                  <w:kern w:val="44"/>
                                  <w:sz w:val="21"/>
                                  <w:szCs w:val="44"/>
                                </w:rPr>
                                <m:t>i</m:t>
                              </m:r>
                            </m:sub>
                          </m:sSub>
                        </m:e>
                      </m:d>
                    </m:e>
                  </m:d>
                </m:e>
              </m:nary>
              <m:r>
                <w:rPr>
                  <w:rFonts w:ascii="Cambria Math" w:hAnsi="Cambria Math" w:cs="Times New Roman"/>
                  <w:snapToGrid w:val="0"/>
                  <w:color w:val="000000" w:themeColor="text1"/>
                  <w:kern w:val="44"/>
                  <w:sz w:val="21"/>
                  <w:szCs w:val="44"/>
                </w:rPr>
                <m:t>+Ω</m:t>
              </m:r>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f</m:t>
                      </m:r>
                    </m:e>
                    <m:sub>
                      <m:r>
                        <w:rPr>
                          <w:rFonts w:ascii="Cambria Math" w:hAnsi="Cambria Math" w:cs="Times New Roman"/>
                          <w:snapToGrid w:val="0"/>
                          <w:color w:val="000000" w:themeColor="text1"/>
                          <w:kern w:val="44"/>
                          <w:sz w:val="21"/>
                          <w:szCs w:val="44"/>
                        </w:rPr>
                        <m:t>t</m:t>
                      </m:r>
                    </m:sub>
                  </m:sSub>
                </m:e>
              </m:d>
              <m:r>
                <w:rPr>
                  <w:rFonts w:ascii="Cambria Math" w:hAnsi="Cambria Math" w:cs="Times New Roman"/>
                  <w:snapToGrid w:val="0"/>
                  <w:color w:val="000000" w:themeColor="text1"/>
                  <w:kern w:val="44"/>
                  <w:sz w:val="21"/>
                  <w:szCs w:val="44"/>
                </w:rPr>
                <m:t>#</m:t>
              </m:r>
              <m:d>
                <m:dPr>
                  <m:ctrlPr>
                    <w:rPr>
                      <w:rFonts w:ascii="Cambria Math" w:hAnsi="Cambria Math" w:cs="Times New Roman"/>
                      <w:i/>
                    </w:rPr>
                  </m:ctrlPr>
                </m:dPr>
                <m:e>
                  <m:r>
                    <m:rPr>
                      <m:sty m:val="p"/>
                    </m:rPr>
                    <w:rPr>
                      <w:rFonts w:ascii="Cambria Math" w:hAnsi="Cambria Math" w:cs="Times New Roman"/>
                    </w:rPr>
                    <m:t>A.8</m:t>
                  </m:r>
                </m:e>
              </m:d>
            </m:e>
          </m:eqArr>
        </m:oMath>
      </m:oMathPara>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where </w:t>
      </w:r>
      <m:oMath>
        <m:sSub>
          <m:sSubPr>
            <m:ctrlPr>
              <w:rPr>
                <w:rFonts w:ascii="Cambria Math" w:hAnsi="Cambria Math" w:cs="Times New Roman"/>
                <w:bCs/>
                <w:snapToGrid w:val="0"/>
                <w:kern w:val="44"/>
                <w:sz w:val="21"/>
                <w:szCs w:val="44"/>
              </w:rPr>
            </m:ctrlPr>
          </m:sSubPr>
          <m:e>
            <m:r>
              <w:rPr>
                <w:rFonts w:ascii="Cambria Math" w:hAnsi="Cambria Math" w:cs="Times New Roman" w:hint="eastAsia"/>
                <w:snapToGrid w:val="0"/>
                <w:kern w:val="44"/>
                <w:sz w:val="21"/>
                <w:szCs w:val="44"/>
              </w:rPr>
              <m:t>g</m:t>
            </m:r>
          </m:e>
          <m:sub>
            <m:r>
              <w:rPr>
                <w:rFonts w:ascii="Cambria Math" w:hAnsi="Cambria Math" w:cs="Times New Roman" w:hint="eastAsia"/>
                <w:snapToGrid w:val="0"/>
                <w:kern w:val="44"/>
                <w:sz w:val="21"/>
                <w:szCs w:val="44"/>
              </w:rPr>
              <m:t>i</m:t>
            </m:r>
          </m:sub>
        </m:sSub>
      </m:oMath>
      <w:r>
        <w:rPr>
          <w:rFonts w:ascii="Times New Roman" w:hAnsi="Times New Roman" w:cs="Times New Roman"/>
          <w:bCs/>
          <w:snapToGrid w:val="0"/>
          <w:kern w:val="44"/>
          <w:sz w:val="21"/>
          <w:szCs w:val="44"/>
        </w:rPr>
        <w:t xml:space="preserve"> and </w:t>
      </w:r>
      <m:oMath>
        <m:sSub>
          <m:sSubPr>
            <m:ctrlPr>
              <w:rPr>
                <w:rFonts w:ascii="Cambria Math" w:hAnsi="Cambria Math" w:cs="Times New Roman"/>
                <w:bCs/>
                <w:snapToGrid w:val="0"/>
                <w:kern w:val="44"/>
                <w:sz w:val="21"/>
                <w:szCs w:val="44"/>
              </w:rPr>
            </m:ctrlPr>
          </m:sSubPr>
          <m:e>
            <m:r>
              <w:rPr>
                <w:rFonts w:ascii="Cambria Math" w:eastAsia="MS Gothic" w:hAnsi="Cambria Math" w:cs="Times New Roman"/>
                <w:snapToGrid w:val="0"/>
                <w:kern w:val="44"/>
                <w:sz w:val="21"/>
                <w:szCs w:val="44"/>
              </w:rPr>
              <m:t>h</m:t>
            </m:r>
          </m:e>
          <m:sub>
            <m:r>
              <w:rPr>
                <w:rFonts w:ascii="Cambria Math" w:hAnsi="Cambria Math" w:cs="Times New Roman" w:hint="eastAsia"/>
                <w:snapToGrid w:val="0"/>
                <w:kern w:val="44"/>
                <w:sz w:val="21"/>
                <w:szCs w:val="44"/>
              </w:rPr>
              <m:t>i</m:t>
            </m:r>
          </m:sub>
        </m:sSub>
      </m:oMath>
      <w:r>
        <w:rPr>
          <w:rFonts w:ascii="Times New Roman" w:hAnsi="Times New Roman" w:cs="Times New Roman"/>
          <w:bCs/>
          <w:snapToGrid w:val="0"/>
          <w:kern w:val="44"/>
          <w:sz w:val="21"/>
          <w:szCs w:val="44"/>
        </w:rPr>
        <w:t xml:space="preserve"> are defined in Eq. (A.9):</w:t>
      </w:r>
    </w:p>
    <w:p w:rsidR="004C4617" w:rsidRDefault="00190974">
      <w:pPr>
        <w:rPr>
          <w:rFonts w:ascii="Cambria Math" w:hAnsi="Cambria Math" w:cs="Times New Roman"/>
          <w:bCs/>
          <w:i/>
          <w:snapToGrid w:val="0"/>
          <w:color w:val="000000" w:themeColor="text1"/>
          <w:kern w:val="44"/>
          <w:sz w:val="21"/>
          <w:szCs w:val="44"/>
        </w:rPr>
      </w:pPr>
      <m:oMathPara>
        <m:oMathParaPr>
          <m:jc m:val="center"/>
        </m:oMathParaPr>
        <m:oMath>
          <m:eqArr>
            <m:eqArrPr>
              <m:maxDist m:val="1"/>
              <m:ctrlPr>
                <w:rPr>
                  <w:rFonts w:ascii="Cambria Math" w:hAnsi="Cambria Math" w:cs="Times New Roman"/>
                  <w:bCs/>
                  <w:i/>
                  <w:snapToGrid w:val="0"/>
                  <w:color w:val="000000" w:themeColor="text1"/>
                  <w:kern w:val="44"/>
                  <w:sz w:val="21"/>
                  <w:szCs w:val="44"/>
                </w:rPr>
              </m:ctrlPr>
            </m:eqArrPr>
            <m:e>
              <m:r>
                <w:rPr>
                  <w:rFonts w:ascii="Cambria Math" w:hAnsi="Cambria Math" w:cs="Times New Roman"/>
                  <w:snapToGrid w:val="0"/>
                  <w:color w:val="000000" w:themeColor="text1"/>
                  <w:kern w:val="44"/>
                  <w:sz w:val="21"/>
                  <w:szCs w:val="44"/>
                </w:rPr>
                <m:t xml:space="preserve"> </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g</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f>
                <m:fPr>
                  <m:ctrlPr>
                    <w:rPr>
                      <w:rFonts w:ascii="Cambria Math" w:hAnsi="Cambria Math" w:cs="Times New Roman"/>
                      <w:bCs/>
                      <w:i/>
                      <w:snapToGrid w:val="0"/>
                      <w:color w:val="000000" w:themeColor="text1"/>
                      <w:kern w:val="44"/>
                      <w:sz w:val="21"/>
                      <w:szCs w:val="44"/>
                    </w:rPr>
                  </m:ctrlPr>
                </m:fPr>
                <m:num>
                  <m:r>
                    <w:rPr>
                      <w:rFonts w:ascii="Cambria Math" w:hAnsi="Cambria Math" w:cs="Times New Roman"/>
                      <w:snapToGrid w:val="0"/>
                      <w:color w:val="000000" w:themeColor="text1"/>
                      <w:kern w:val="44"/>
                      <w:sz w:val="21"/>
                      <w:szCs w:val="44"/>
                    </w:rPr>
                    <m:t>∂l</m:t>
                  </m:r>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y</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ŷ</m:t>
                          </m:r>
                        </m:e>
                        <m:sub>
                          <m:r>
                            <w:rPr>
                              <w:rFonts w:ascii="Cambria Math" w:hAnsi="Cambria Math" w:cs="Times New Roman"/>
                              <w:snapToGrid w:val="0"/>
                              <w:color w:val="000000" w:themeColor="text1"/>
                              <w:kern w:val="44"/>
                              <w:sz w:val="21"/>
                              <w:szCs w:val="44"/>
                            </w:rPr>
                            <m:t>i</m:t>
                          </m:r>
                        </m:sub>
                        <m:sup>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t-1</m:t>
                              </m:r>
                            </m:e>
                          </m:d>
                        </m:sup>
                      </m:sSubSup>
                    </m:e>
                  </m:d>
                </m:num>
                <m:den>
                  <m:r>
                    <w:rPr>
                      <w:rFonts w:ascii="Cambria Math" w:hAnsi="Cambria Math" w:cs="Times New Roman"/>
                      <w:snapToGrid w:val="0"/>
                      <w:color w:val="000000" w:themeColor="text1"/>
                      <w:kern w:val="44"/>
                      <w:sz w:val="21"/>
                      <w:szCs w:val="44"/>
                    </w:rPr>
                    <m:t>∂</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ŷ</m:t>
                      </m:r>
                    </m:e>
                    <m:sub>
                      <m:r>
                        <w:rPr>
                          <w:rFonts w:ascii="Cambria Math" w:hAnsi="Cambria Math" w:cs="Times New Roman"/>
                          <w:snapToGrid w:val="0"/>
                          <w:color w:val="000000" w:themeColor="text1"/>
                          <w:kern w:val="44"/>
                          <w:sz w:val="21"/>
                          <w:szCs w:val="44"/>
                        </w:rPr>
                        <m:t>i</m:t>
                      </m:r>
                    </m:sub>
                    <m:sup>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t-1</m:t>
                          </m:r>
                        </m:e>
                      </m:d>
                    </m:sup>
                  </m:sSubSup>
                </m:den>
              </m:f>
              <m:r>
                <w:rPr>
                  <w:rFonts w:ascii="Cambria Math" w:hAnsi="Cambria Math" w:cs="Times New Roman"/>
                  <w:snapToGrid w:val="0"/>
                  <w:color w:val="000000" w:themeColor="text1"/>
                  <w:kern w:val="44"/>
                  <w:sz w:val="21"/>
                  <w:szCs w:val="44"/>
                </w:rPr>
                <m:t xml:space="preserve">, </m:t>
              </m:r>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h</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f>
                <m:fPr>
                  <m:ctrlPr>
                    <w:rPr>
                      <w:rFonts w:ascii="Cambria Math" w:hAnsi="Cambria Math" w:cs="Times New Roman"/>
                      <w:bCs/>
                      <w:i/>
                      <w:snapToGrid w:val="0"/>
                      <w:color w:val="000000" w:themeColor="text1"/>
                      <w:kern w:val="44"/>
                      <w:sz w:val="21"/>
                      <w:szCs w:val="44"/>
                    </w:rPr>
                  </m:ctrlPr>
                </m:fPr>
                <m:num>
                  <m:sSup>
                    <m:sSupPr>
                      <m:ctrlPr>
                        <w:rPr>
                          <w:rFonts w:ascii="Cambria Math" w:hAnsi="Cambria Math" w:cs="Times New Roman"/>
                          <w:bCs/>
                          <w:i/>
                          <w:snapToGrid w:val="0"/>
                          <w:color w:val="000000" w:themeColor="text1"/>
                          <w:kern w:val="44"/>
                          <w:sz w:val="21"/>
                          <w:szCs w:val="44"/>
                        </w:rPr>
                      </m:ctrlPr>
                    </m:sSupPr>
                    <m:e>
                      <m:r>
                        <w:rPr>
                          <w:rFonts w:ascii="Cambria Math" w:hAnsi="Cambria Math" w:cs="Times New Roman"/>
                          <w:snapToGrid w:val="0"/>
                          <w:color w:val="000000" w:themeColor="text1"/>
                          <w:kern w:val="44"/>
                          <w:sz w:val="21"/>
                          <w:szCs w:val="44"/>
                        </w:rPr>
                        <m:t>∂</m:t>
                      </m:r>
                    </m:e>
                    <m:sup>
                      <m:r>
                        <w:rPr>
                          <w:rFonts w:ascii="Cambria Math" w:hAnsi="Cambria Math" w:cs="Times New Roman"/>
                          <w:snapToGrid w:val="0"/>
                          <w:color w:val="000000" w:themeColor="text1"/>
                          <w:kern w:val="44"/>
                          <w:sz w:val="21"/>
                          <w:szCs w:val="44"/>
                        </w:rPr>
                        <m:t>2</m:t>
                      </m:r>
                    </m:sup>
                  </m:sSup>
                  <m:r>
                    <w:rPr>
                      <w:rFonts w:ascii="Cambria Math" w:hAnsi="Cambria Math" w:cs="Times New Roman"/>
                      <w:snapToGrid w:val="0"/>
                      <w:color w:val="000000" w:themeColor="text1"/>
                      <w:kern w:val="44"/>
                      <w:sz w:val="21"/>
                      <w:szCs w:val="44"/>
                    </w:rPr>
                    <m:t>l</m:t>
                  </m:r>
                  <m:d>
                    <m:dPr>
                      <m:ctrlPr>
                        <w:rPr>
                          <w:rFonts w:ascii="Cambria Math" w:hAnsi="Cambria Math" w:cs="Times New Roman"/>
                          <w:bCs/>
                          <w:i/>
                          <w:snapToGrid w:val="0"/>
                          <w:color w:val="000000" w:themeColor="text1"/>
                          <w:kern w:val="44"/>
                          <w:sz w:val="21"/>
                          <w:szCs w:val="44"/>
                        </w:rPr>
                      </m:ctrlPr>
                    </m:dPr>
                    <m:e>
                      <m:sSub>
                        <m:sSubPr>
                          <m:ctrlPr>
                            <w:rPr>
                              <w:rFonts w:ascii="Cambria Math" w:hAnsi="Cambria Math" w:cs="Times New Roman"/>
                              <w:bCs/>
                              <w:i/>
                              <w:snapToGrid w:val="0"/>
                              <w:color w:val="000000" w:themeColor="text1"/>
                              <w:kern w:val="44"/>
                              <w:sz w:val="21"/>
                              <w:szCs w:val="44"/>
                            </w:rPr>
                          </m:ctrlPr>
                        </m:sSubPr>
                        <m:e>
                          <m:r>
                            <w:rPr>
                              <w:rFonts w:ascii="Cambria Math" w:hAnsi="Cambria Math" w:cs="Times New Roman"/>
                              <w:snapToGrid w:val="0"/>
                              <w:color w:val="000000" w:themeColor="text1"/>
                              <w:kern w:val="44"/>
                              <w:sz w:val="21"/>
                              <w:szCs w:val="44"/>
                            </w:rPr>
                            <m:t>y</m:t>
                          </m:r>
                        </m:e>
                        <m:sub>
                          <m:r>
                            <w:rPr>
                              <w:rFonts w:ascii="Cambria Math" w:hAnsi="Cambria Math" w:cs="Times New Roman"/>
                              <w:snapToGrid w:val="0"/>
                              <w:color w:val="000000" w:themeColor="text1"/>
                              <w:kern w:val="44"/>
                              <w:sz w:val="21"/>
                              <w:szCs w:val="44"/>
                            </w:rPr>
                            <m:t>i</m:t>
                          </m:r>
                        </m:sub>
                      </m:sSub>
                      <m:r>
                        <w:rPr>
                          <w:rFonts w:ascii="Cambria Math" w:hAnsi="Cambria Math" w:cs="Times New Roman"/>
                          <w:snapToGrid w:val="0"/>
                          <w:color w:val="000000" w:themeColor="text1"/>
                          <w:kern w:val="44"/>
                          <w:sz w:val="21"/>
                          <w:szCs w:val="44"/>
                        </w:rPr>
                        <m:t>,</m:t>
                      </m:r>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ŷ</m:t>
                          </m:r>
                        </m:e>
                        <m:sub>
                          <m:r>
                            <w:rPr>
                              <w:rFonts w:ascii="Cambria Math" w:hAnsi="Cambria Math" w:cs="Times New Roman"/>
                              <w:snapToGrid w:val="0"/>
                              <w:color w:val="000000" w:themeColor="text1"/>
                              <w:kern w:val="44"/>
                              <w:sz w:val="21"/>
                              <w:szCs w:val="44"/>
                            </w:rPr>
                            <m:t>i</m:t>
                          </m:r>
                        </m:sub>
                        <m:sup>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t-1</m:t>
                              </m:r>
                            </m:e>
                          </m:d>
                        </m:sup>
                      </m:sSubSup>
                    </m:e>
                  </m:d>
                </m:num>
                <m:den>
                  <m:r>
                    <w:rPr>
                      <w:rFonts w:ascii="Cambria Math" w:hAnsi="Cambria Math" w:cs="Times New Roman"/>
                      <w:snapToGrid w:val="0"/>
                      <w:color w:val="000000" w:themeColor="text1"/>
                      <w:kern w:val="44"/>
                      <w:sz w:val="21"/>
                      <w:szCs w:val="44"/>
                    </w:rPr>
                    <m:t>∂</m:t>
                  </m:r>
                  <m:sSup>
                    <m:sSupPr>
                      <m:ctrlPr>
                        <w:rPr>
                          <w:rFonts w:ascii="Cambria Math" w:hAnsi="Cambria Math" w:cs="Times New Roman"/>
                          <w:bCs/>
                          <w:i/>
                          <w:snapToGrid w:val="0"/>
                          <w:color w:val="000000" w:themeColor="text1"/>
                          <w:kern w:val="44"/>
                          <w:sz w:val="21"/>
                          <w:szCs w:val="44"/>
                        </w:rPr>
                      </m:ctrlPr>
                    </m:sSupPr>
                    <m:e>
                      <m:d>
                        <m:dPr>
                          <m:ctrlPr>
                            <w:rPr>
                              <w:rFonts w:ascii="Cambria Math" w:hAnsi="Cambria Math" w:cs="Times New Roman"/>
                              <w:bCs/>
                              <w:i/>
                              <w:snapToGrid w:val="0"/>
                              <w:color w:val="000000" w:themeColor="text1"/>
                              <w:kern w:val="44"/>
                              <w:sz w:val="21"/>
                              <w:szCs w:val="44"/>
                            </w:rPr>
                          </m:ctrlPr>
                        </m:dPr>
                        <m:e>
                          <m:sSubSup>
                            <m:sSubSupPr>
                              <m:ctrlPr>
                                <w:rPr>
                                  <w:rFonts w:ascii="Cambria Math" w:hAnsi="Cambria Math" w:cs="Times New Roman"/>
                                  <w:bCs/>
                                  <w:i/>
                                  <w:snapToGrid w:val="0"/>
                                  <w:color w:val="000000" w:themeColor="text1"/>
                                  <w:kern w:val="44"/>
                                  <w:sz w:val="21"/>
                                  <w:szCs w:val="44"/>
                                </w:rPr>
                              </m:ctrlPr>
                            </m:sSubSupPr>
                            <m:e>
                              <m:r>
                                <w:rPr>
                                  <w:rFonts w:ascii="Cambria Math" w:hAnsi="Cambria Math" w:cs="Times New Roman"/>
                                  <w:snapToGrid w:val="0"/>
                                  <w:color w:val="000000" w:themeColor="text1"/>
                                  <w:kern w:val="44"/>
                                  <w:sz w:val="21"/>
                                  <w:szCs w:val="44"/>
                                </w:rPr>
                                <m:t>ŷ</m:t>
                              </m:r>
                            </m:e>
                            <m:sub>
                              <m:r>
                                <w:rPr>
                                  <w:rFonts w:ascii="Cambria Math" w:hAnsi="Cambria Math" w:cs="Times New Roman"/>
                                  <w:snapToGrid w:val="0"/>
                                  <w:color w:val="000000" w:themeColor="text1"/>
                                  <w:kern w:val="44"/>
                                  <w:sz w:val="21"/>
                                  <w:szCs w:val="44"/>
                                </w:rPr>
                                <m:t>i</m:t>
                              </m:r>
                            </m:sub>
                            <m:sup>
                              <m:d>
                                <m:dPr>
                                  <m:ctrlPr>
                                    <w:rPr>
                                      <w:rFonts w:ascii="Cambria Math" w:hAnsi="Cambria Math" w:cs="Times New Roman"/>
                                      <w:bCs/>
                                      <w:i/>
                                      <w:snapToGrid w:val="0"/>
                                      <w:color w:val="000000" w:themeColor="text1"/>
                                      <w:kern w:val="44"/>
                                      <w:sz w:val="21"/>
                                      <w:szCs w:val="44"/>
                                    </w:rPr>
                                  </m:ctrlPr>
                                </m:dPr>
                                <m:e>
                                  <m:r>
                                    <w:rPr>
                                      <w:rFonts w:ascii="Cambria Math" w:hAnsi="Cambria Math" w:cs="Times New Roman"/>
                                      <w:snapToGrid w:val="0"/>
                                      <w:color w:val="000000" w:themeColor="text1"/>
                                      <w:kern w:val="44"/>
                                      <w:sz w:val="21"/>
                                      <w:szCs w:val="44"/>
                                    </w:rPr>
                                    <m:t>t-1</m:t>
                                  </m:r>
                                </m:e>
                              </m:d>
                            </m:sup>
                          </m:sSubSup>
                        </m:e>
                      </m:d>
                    </m:e>
                    <m:sup>
                      <m:r>
                        <w:rPr>
                          <w:rFonts w:ascii="Cambria Math" w:hAnsi="Cambria Math" w:cs="Times New Roman"/>
                          <w:snapToGrid w:val="0"/>
                          <w:color w:val="000000" w:themeColor="text1"/>
                          <w:kern w:val="44"/>
                          <w:sz w:val="21"/>
                          <w:szCs w:val="44"/>
                        </w:rPr>
                        <m:t>2</m:t>
                      </m:r>
                    </m:sup>
                  </m:sSup>
                </m:den>
              </m:f>
              <m:r>
                <w:rPr>
                  <w:rFonts w:ascii="Cambria Math" w:hAnsi="Cambria Math" w:cs="Times New Roman"/>
                  <w:snapToGrid w:val="0"/>
                  <w:color w:val="000000" w:themeColor="text1"/>
                  <w:kern w:val="44"/>
                  <w:sz w:val="21"/>
                  <w:szCs w:val="44"/>
                </w:rPr>
                <m:t xml:space="preserve"> #</m:t>
              </m:r>
              <m:d>
                <m:dPr>
                  <m:ctrlPr>
                    <w:rPr>
                      <w:rFonts w:ascii="Cambria Math" w:hAnsi="Cambria Math" w:cs="Times New Roman"/>
                      <w:i/>
                    </w:rPr>
                  </m:ctrlPr>
                </m:dPr>
                <m:e>
                  <m:r>
                    <m:rPr>
                      <m:sty m:val="p"/>
                    </m:rPr>
                    <w:rPr>
                      <w:rFonts w:ascii="Cambria Math" w:hAnsi="Cambria Math" w:cs="Times New Roman"/>
                    </w:rPr>
                    <m:t>A.9</m:t>
                  </m:r>
                </m:e>
              </m:d>
            </m:e>
          </m:eqArr>
        </m:oMath>
      </m:oMathPara>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By exploiting first- and second-order gradient information together with regularization, XGBoost can improve model fit and out-of-sample generalizability while controlling model complexity.</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(7) A neural network (NN) is a machine-learning model that establishes complex mapping relationships by approximating the structure of biological neural networks. A typical NN consists of an input layer, one or more hidden layers, and an output layer. Each layer contains multiple neurons connected through weights and biases. Input features are propagated through successive layers and transformed through nonlinear activation functions, enabling the model to capture complex nonlinear relationships. Common activation functions include the sigmoid function, the rectified linear unit (ReLU), and the hyperbolic tangent (tanh) function.</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During model training, the loss function is calculated by comparing the predicted values with the observed values. The gradients of the model parameters are then computed using backpropagation, after which the weights and biases are iteratively updated using gradient descent, Adam, or related optimization algorithms until the model loss converges. In this study, NN is included as one of the candidate prediction models to examine potential high-dimensional nonlinear predictive relationships among multidimensional </w:t>
      </w:r>
      <w:r w:rsidR="00A0733A" w:rsidRPr="00A0733A">
        <w:rPr>
          <w:rFonts w:ascii="Times New Roman" w:hAnsi="Times New Roman" w:cs="Times New Roman"/>
          <w:bCs/>
          <w:i/>
          <w:iCs/>
          <w:snapToGrid w:val="0"/>
          <w:kern w:val="44"/>
          <w:sz w:val="21"/>
          <w:szCs w:val="44"/>
        </w:rPr>
        <w:t>IE</w:t>
      </w:r>
      <w:r>
        <w:rPr>
          <w:rFonts w:ascii="Times New Roman" w:hAnsi="Times New Roman" w:cs="Times New Roman"/>
          <w:bCs/>
          <w:snapToGrid w:val="0"/>
          <w:kern w:val="44"/>
          <w:sz w:val="21"/>
          <w:szCs w:val="44"/>
        </w:rPr>
        <w:t xml:space="preserve">, enterprise characteristics, and </w:t>
      </w:r>
      <w:r w:rsidR="00A0733A" w:rsidRPr="00A0733A">
        <w:rPr>
          <w:rFonts w:ascii="Times New Roman" w:hAnsi="Times New Roman" w:cs="Times New Roman"/>
          <w:bCs/>
          <w:i/>
          <w:iCs/>
          <w:snapToGrid w:val="0"/>
          <w:kern w:val="44"/>
          <w:sz w:val="21"/>
          <w:szCs w:val="44"/>
        </w:rPr>
        <w:t>EIR</w:t>
      </w:r>
      <w:r>
        <w:rPr>
          <w:rFonts w:ascii="Times New Roman" w:hAnsi="Times New Roman" w:cs="Times New Roman" w:hint="eastAsia"/>
          <w:bCs/>
          <w:snapToGrid w:val="0"/>
          <w:kern w:val="44"/>
          <w:sz w:val="21"/>
          <w:szCs w:val="44"/>
          <w:vertAlign w:val="subscript"/>
        </w:rPr>
        <w:t>t</w:t>
      </w:r>
      <w:r>
        <w:rPr>
          <w:rFonts w:ascii="Times New Roman" w:hAnsi="Times New Roman" w:cs="Times New Roman"/>
          <w:bCs/>
          <w:snapToGrid w:val="0"/>
          <w:kern w:val="44"/>
          <w:sz w:val="21"/>
          <w:szCs w:val="44"/>
          <w:vertAlign w:val="subscript"/>
        </w:rPr>
        <w:t>+1</w:t>
      </w:r>
      <w:r>
        <w:rPr>
          <w:rFonts w:ascii="Times New Roman" w:hAnsi="Times New Roman" w:cs="Times New Roman"/>
          <w:bCs/>
          <w:snapToGrid w:val="0"/>
          <w:kern w:val="44"/>
          <w:sz w:val="21"/>
          <w:szCs w:val="44"/>
        </w:rPr>
        <w:t>.</w:t>
      </w:r>
    </w:p>
    <w:p w:rsidR="004C4617" w:rsidRDefault="005A4606">
      <w:pPr>
        <w:spacing w:line="360" w:lineRule="auto"/>
        <w:jc w:val="both"/>
        <w:outlineLvl w:val="0"/>
        <w:rPr>
          <w:rFonts w:ascii="Times New Roman" w:hAnsi="Times New Roman" w:cs="Times New Roman"/>
          <w:b/>
          <w:bCs/>
          <w:snapToGrid w:val="0"/>
          <w:color w:val="000000" w:themeColor="text1"/>
          <w:kern w:val="44"/>
          <w:sz w:val="21"/>
          <w:szCs w:val="21"/>
        </w:rPr>
      </w:pPr>
      <w:r w:rsidRPr="005A4606">
        <w:rPr>
          <w:rFonts w:ascii="Times New Roman" w:hAnsi="Times New Roman" w:cs="Times New Roman"/>
          <w:b/>
          <w:bCs/>
          <w:snapToGrid w:val="0"/>
          <w:color w:val="000000" w:themeColor="text1"/>
          <w:kern w:val="44"/>
          <w:sz w:val="21"/>
          <w:szCs w:val="21"/>
        </w:rPr>
        <w:t>Supplementary Appendix B. Model training and hyperparameter tuning process (corresponding to Section 3.4)</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This study trains and compares a set of candidate models, including LR, RF, KNN, SVM, DT, XGBoost, NN, and CatBoost. Except for LR and DT, which are used as baseline models and are not subjected to hyperparameter search, all other candidate models are tuned using randomized search combined with five-fold cross-validation. The optimal hyperparameter combination for each model is selected based on its out-of-sample predictive performance.</w:t>
      </w:r>
    </w:p>
    <w:p w:rsidR="004C4617" w:rsidRDefault="00FA4B2D">
      <w:pPr>
        <w:ind w:firstLineChars="200" w:firstLine="360"/>
        <w:jc w:val="center"/>
        <w:rPr>
          <w:rFonts w:ascii="Times New Roman" w:hAnsi="Times New Roman" w:cs="Times New Roman"/>
          <w:bCs/>
          <w:snapToGrid w:val="0"/>
          <w:kern w:val="44"/>
          <w:sz w:val="18"/>
          <w:szCs w:val="18"/>
        </w:rPr>
      </w:pPr>
      <w:r>
        <w:rPr>
          <w:rFonts w:ascii="Times New Roman" w:hAnsi="Times New Roman" w:cs="Times New Roman"/>
          <w:bCs/>
          <w:snapToGrid w:val="0"/>
          <w:kern w:val="44"/>
          <w:sz w:val="18"/>
          <w:szCs w:val="18"/>
        </w:rPr>
        <w:t>Table B.1. Model training and hyperparameter tuning process</w:t>
      </w:r>
    </w:p>
    <w:tbl>
      <w:tblPr>
        <w:tblW w:w="9639" w:type="dxa"/>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307"/>
        <w:gridCol w:w="1385"/>
        <w:gridCol w:w="1303"/>
        <w:gridCol w:w="1322"/>
        <w:gridCol w:w="1330"/>
        <w:gridCol w:w="1297"/>
        <w:gridCol w:w="1695"/>
      </w:tblGrid>
      <w:tr w:rsidR="004C4617">
        <w:trPr>
          <w:cantSplit/>
          <w:trHeight w:val="20"/>
          <w:tblHeader/>
          <w:tblCellSpacing w:w="15" w:type="dxa"/>
        </w:trPr>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bookmarkStart w:id="3" w:name="OLE_LINK10"/>
            <w:r>
              <w:rPr>
                <w:rFonts w:ascii="Times New Roman" w:hAnsi="Times New Roman" w:cs="Times New Roman"/>
                <w:sz w:val="15"/>
                <w:szCs w:val="15"/>
              </w:rPr>
              <w:t>Model</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Hyperparameter</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Search space</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Tuning strategy</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Randomized-search iterations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Cross-validation folds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Selected hyperparameters</w:t>
            </w:r>
          </w:p>
        </w:tc>
      </w:tr>
      <w:tr w:rsidR="004C4617">
        <w:trPr>
          <w:cantSplit/>
          <w:trHeight w:val="20"/>
          <w:tblCellSpacing w:w="15" w:type="dxa"/>
        </w:trPr>
        <w:tc>
          <w:tcPr>
            <w:tcW w:w="1377"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bCs/>
                <w:sz w:val="15"/>
                <w:szCs w:val="15"/>
              </w:rPr>
              <w:t>LR</w:t>
            </w:r>
          </w:p>
        </w:tc>
        <w:tc>
          <w:tcPr>
            <w:tcW w:w="1377"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No tuning; baseline model</w:t>
            </w:r>
          </w:p>
        </w:tc>
        <w:tc>
          <w:tcPr>
            <w:tcW w:w="1377"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No hyperparameter tuning</w:t>
            </w:r>
          </w:p>
        </w:tc>
      </w:tr>
      <w:tr w:rsidR="004C4617">
        <w:trPr>
          <w:cantSplit/>
          <w:trHeight w:val="20"/>
          <w:tblCellSpacing w:w="15" w:type="dxa"/>
        </w:trPr>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bookmarkStart w:id="4" w:name="_Hlk239449013"/>
            <w:r>
              <w:rPr>
                <w:rFonts w:ascii="Times New Roman" w:hAnsi="Times New Roman" w:cs="Times New Roman"/>
                <w:bCs/>
                <w:sz w:val="15"/>
                <w:szCs w:val="15"/>
              </w:rPr>
              <w:t>RF</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n_estimators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[50, 100, 200, 300]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Randomized search + cross-validation</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n_estimators=300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max_depth</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[10, 20, None]</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max_depth=10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min_samples_split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[2, 5, 10]</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min_samples_split=2</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min_samples_leaf</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 2, 4]</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min_samples_leaf=2</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bootstrap</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[True, False]</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bootstrap=True</w:t>
            </w:r>
          </w:p>
        </w:tc>
      </w:tr>
      <w:tr w:rsidR="004C4617">
        <w:trPr>
          <w:cantSplit/>
          <w:trHeight w:val="20"/>
          <w:tblCellSpacing w:w="15" w:type="dxa"/>
        </w:trPr>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bCs/>
                <w:sz w:val="15"/>
                <w:szCs w:val="15"/>
              </w:rPr>
              <w:t>KNN</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n_neighbors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[3, 5, 7, 9]</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Randomized search + cross-validation</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n_neighbors=9</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weights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['uniform', 'distance']</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weights=distance</w:t>
            </w:r>
          </w:p>
        </w:tc>
      </w:tr>
      <w:tr w:rsidR="004C4617">
        <w:trPr>
          <w:cantSplit/>
          <w:trHeight w:val="20"/>
          <w:tblCellSpacing w:w="15" w:type="dxa"/>
        </w:trPr>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bCs/>
                <w:sz w:val="15"/>
                <w:szCs w:val="15"/>
              </w:rPr>
              <w:t>SVM</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C</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[0.01, 0.1, 1, 10, 100]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Randomized search + cross-validation</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C=10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kernel</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['linear', 'rbf', 'poly']</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kernel=poly</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epsilon</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[0.001, 0.01, 0.1, 1]</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epsilon=0.01</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gamma</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['scale', 'auto']</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gamma=scale</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degree</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[3, 4, 5]</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degree=3</w:t>
            </w:r>
          </w:p>
        </w:tc>
      </w:tr>
      <w:tr w:rsidR="004C4617">
        <w:trPr>
          <w:cantSplit/>
          <w:trHeight w:val="20"/>
          <w:tblCellSpacing w:w="15" w:type="dxa"/>
        </w:trPr>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bCs/>
                <w:sz w:val="15"/>
                <w:szCs w:val="15"/>
              </w:rPr>
              <w:t>DT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No tuning; baseline model</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No hyperparameter tuning</w:t>
            </w:r>
          </w:p>
        </w:tc>
      </w:tr>
      <w:tr w:rsidR="004C4617">
        <w:trPr>
          <w:cantSplit/>
          <w:trHeight w:val="20"/>
          <w:tblCellSpacing w:w="15" w:type="dxa"/>
        </w:trPr>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XGBoost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n_estimators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[200, 400, 600, 800, 1200]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Randomized search + cross-validation</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24</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n_estimators=800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learning_rate</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[0.01, 0.02, 0.03, 0.05]</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learning_rate=0.01</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max_depth</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[2, 3, 4, 5, 6]</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max_depth=6</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min_child_weight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[3, 5, 10, 20]</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min_child_weight=10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gamma</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 0.1, 0.3, 1]</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gamma=0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subsample</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[0.6, 0.75, 0.9, 1.0]</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subsample=0.75</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colsample_bytree</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[0.6, 0.75, 0.9, 1.0]</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colsample_bytree=0.9</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reg_alpha</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 0.01, 0.1, 1, 5]</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reg_alpha=1</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reg_lambda</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 3, 5, 10, 20]</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reg_lambda=3</w:t>
            </w:r>
          </w:p>
        </w:tc>
      </w:tr>
      <w:tr w:rsidR="004C4617">
        <w:trPr>
          <w:cantSplit/>
          <w:trHeight w:val="20"/>
          <w:tblCellSpacing w:w="15" w:type="dxa"/>
        </w:trPr>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bCs/>
                <w:sz w:val="15"/>
                <w:szCs w:val="15"/>
              </w:rPr>
              <w:t>NN</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hidden_layer_sizes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[(50,), (100,), (50, 50), (100, 50)]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Randomized search + cross-validation</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hidden_layer_sizes=[100]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activation</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['relu', 'tanh']</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activation=tanh</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alpha</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[0.0001, 0.001, 0.01]</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alpha=0.01</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learning_rate</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['constant', 'adaptive']</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learning_rate=adaptive</w:t>
            </w:r>
          </w:p>
        </w:tc>
      </w:tr>
      <w:tr w:rsidR="004C4617">
        <w:trPr>
          <w:cantSplit/>
          <w:trHeight w:val="20"/>
          <w:tblCellSpacing w:w="15" w:type="dxa"/>
        </w:trPr>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CatBoost</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rsm</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[0.8, 1.0]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Randomized search + cross-validation</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10</w:t>
            </w:r>
          </w:p>
        </w:tc>
        <w:tc>
          <w:tcPr>
            <w:tcW w:w="1377" w:type="dxa"/>
            <w:vMerge w:val="restart"/>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5</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rsm=1.0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learning_rate</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[0.01, 0.05, 0.1]</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learning_rate=0.01</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l2_leaf_reg</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 3, 5, 7, 10]</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l2_leaf_reg=7</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iterations</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[100, 200, 500, 1000]</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iterations=1000</w:t>
            </w:r>
          </w:p>
        </w:tc>
      </w:tr>
      <w:tr w:rsidR="004C4617">
        <w:trPr>
          <w:cantSplit/>
          <w:trHeight w:val="20"/>
          <w:tblCellSpacing w:w="15" w:type="dxa"/>
        </w:trPr>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depth</w:t>
            </w: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[3, 4, 5, 7, 9]</w:t>
            </w: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vMerge/>
            <w:tcMar>
              <w:top w:w="35" w:type="dxa"/>
              <w:left w:w="45" w:type="dxa"/>
              <w:bottom w:w="35" w:type="dxa"/>
              <w:right w:w="45" w:type="dxa"/>
            </w:tcMar>
            <w:vAlign w:val="center"/>
          </w:tcPr>
          <w:p w:rsidR="004C4617" w:rsidRDefault="004C4617">
            <w:pPr>
              <w:rPr>
                <w:rFonts w:ascii="Times New Roman" w:hAnsi="Times New Roman" w:cs="Times New Roman"/>
                <w:sz w:val="15"/>
                <w:szCs w:val="15"/>
              </w:rPr>
            </w:pPr>
          </w:p>
        </w:tc>
        <w:tc>
          <w:tcPr>
            <w:tcW w:w="1377" w:type="dxa"/>
            <w:tcMar>
              <w:top w:w="35" w:type="dxa"/>
              <w:left w:w="45" w:type="dxa"/>
              <w:bottom w:w="35" w:type="dxa"/>
              <w:right w:w="45" w:type="dxa"/>
            </w:tcMar>
            <w:vAlign w:val="center"/>
          </w:tcPr>
          <w:p w:rsidR="004C4617" w:rsidRDefault="00FA4B2D">
            <w:pPr>
              <w:jc w:val="center"/>
              <w:rPr>
                <w:rFonts w:ascii="Times New Roman" w:hAnsi="Times New Roman" w:cs="Times New Roman"/>
                <w:sz w:val="15"/>
                <w:szCs w:val="15"/>
              </w:rPr>
            </w:pPr>
            <w:r>
              <w:rPr>
                <w:rFonts w:ascii="Times New Roman" w:hAnsi="Times New Roman" w:cs="Times New Roman"/>
                <w:sz w:val="15"/>
                <w:szCs w:val="15"/>
              </w:rPr>
              <w:t>depth=7</w:t>
            </w:r>
          </w:p>
        </w:tc>
      </w:tr>
    </w:tbl>
    <w:bookmarkEnd w:id="3"/>
    <w:bookmarkEnd w:id="4"/>
    <w:p w:rsidR="004C4617" w:rsidRDefault="00CA2C23">
      <w:pPr>
        <w:spacing w:line="360" w:lineRule="auto"/>
        <w:jc w:val="both"/>
        <w:outlineLvl w:val="0"/>
        <w:rPr>
          <w:rFonts w:ascii="Times New Roman" w:hAnsi="Times New Roman" w:cs="Times New Roman"/>
          <w:b/>
          <w:bCs/>
          <w:snapToGrid w:val="0"/>
          <w:color w:val="000000" w:themeColor="text1"/>
          <w:kern w:val="44"/>
          <w:sz w:val="21"/>
          <w:szCs w:val="21"/>
        </w:rPr>
      </w:pPr>
      <w:r w:rsidRPr="00CA2C23">
        <w:rPr>
          <w:rFonts w:ascii="Times New Roman" w:hAnsi="Times New Roman" w:cs="Times New Roman"/>
          <w:b/>
          <w:bCs/>
          <w:snapToGrid w:val="0"/>
          <w:color w:val="000000" w:themeColor="text1"/>
          <w:kern w:val="44"/>
          <w:sz w:val="21"/>
          <w:szCs w:val="21"/>
        </w:rPr>
        <w:t>Supplementary Appendix C. Model training and hyperparameter tuning process (corresponding to Section 5.2)</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 xml:space="preserve">After constructing the composite indices for the three categories of </w:t>
      </w:r>
      <w:r w:rsidR="00A0733A" w:rsidRPr="00A0733A">
        <w:rPr>
          <w:rFonts w:ascii="Times New Roman" w:hAnsi="Times New Roman" w:cs="Times New Roman"/>
          <w:bCs/>
          <w:i/>
          <w:iCs/>
          <w:snapToGrid w:val="0"/>
          <w:kern w:val="44"/>
          <w:sz w:val="21"/>
          <w:szCs w:val="44"/>
        </w:rPr>
        <w:t>IE</w:t>
      </w:r>
      <w:r>
        <w:rPr>
          <w:rFonts w:ascii="Times New Roman" w:hAnsi="Times New Roman" w:cs="Times New Roman"/>
          <w:bCs/>
          <w:snapToGrid w:val="0"/>
          <w:kern w:val="44"/>
          <w:sz w:val="21"/>
          <w:szCs w:val="44"/>
        </w:rPr>
        <w:t xml:space="preserve">, this study further uses </w:t>
      </w:r>
      <w:r w:rsidR="00A0733A" w:rsidRPr="00A0733A">
        <w:rPr>
          <w:rFonts w:ascii="Times New Roman" w:hAnsi="Times New Roman" w:cs="Times New Roman"/>
          <w:bCs/>
          <w:i/>
          <w:iCs/>
          <w:snapToGrid w:val="0"/>
          <w:kern w:val="44"/>
          <w:sz w:val="21"/>
          <w:szCs w:val="44"/>
        </w:rPr>
        <w:t>RII</w:t>
      </w:r>
      <w:r>
        <w:rPr>
          <w:rFonts w:ascii="Times New Roman" w:hAnsi="Times New Roman" w:cs="Times New Roman"/>
          <w:bCs/>
          <w:snapToGrid w:val="0"/>
          <w:kern w:val="44"/>
          <w:sz w:val="21"/>
          <w:szCs w:val="44"/>
        </w:rPr>
        <w:t xml:space="preserve">, </w:t>
      </w:r>
      <w:r w:rsidR="00A0733A" w:rsidRPr="00A0733A">
        <w:rPr>
          <w:rFonts w:ascii="Times New Roman" w:hAnsi="Times New Roman" w:cs="Times New Roman"/>
          <w:bCs/>
          <w:i/>
          <w:iCs/>
          <w:snapToGrid w:val="0"/>
          <w:kern w:val="44"/>
          <w:sz w:val="21"/>
          <w:szCs w:val="44"/>
        </w:rPr>
        <w:t>NII</w:t>
      </w:r>
      <w:r>
        <w:rPr>
          <w:rFonts w:ascii="Times New Roman" w:hAnsi="Times New Roman" w:cs="Times New Roman"/>
          <w:bCs/>
          <w:snapToGrid w:val="0"/>
          <w:kern w:val="44"/>
          <w:sz w:val="21"/>
          <w:szCs w:val="44"/>
        </w:rPr>
        <w:t xml:space="preserve">, and </w:t>
      </w:r>
      <w:r w:rsidR="00A0733A" w:rsidRPr="00A0733A">
        <w:rPr>
          <w:rFonts w:ascii="Times New Roman" w:hAnsi="Times New Roman" w:cs="Times New Roman"/>
          <w:bCs/>
          <w:i/>
          <w:iCs/>
          <w:snapToGrid w:val="0"/>
          <w:kern w:val="44"/>
          <w:sz w:val="21"/>
          <w:szCs w:val="44"/>
        </w:rPr>
        <w:t>CII</w:t>
      </w:r>
      <w:r>
        <w:rPr>
          <w:rFonts w:ascii="Times New Roman" w:hAnsi="Times New Roman" w:cs="Times New Roman"/>
          <w:bCs/>
          <w:snapToGrid w:val="0"/>
          <w:kern w:val="44"/>
          <w:sz w:val="21"/>
          <w:szCs w:val="44"/>
        </w:rPr>
        <w:t>, their pairwise interaction terms (</w:t>
      </w:r>
      <w:r w:rsidR="00A0733A" w:rsidRPr="00A0733A">
        <w:rPr>
          <w:rFonts w:ascii="Times New Roman" w:hAnsi="Times New Roman" w:cs="Times New Roman"/>
          <w:bCs/>
          <w:i/>
          <w:iCs/>
          <w:snapToGrid w:val="0"/>
          <w:kern w:val="44"/>
          <w:sz w:val="21"/>
          <w:szCs w:val="44"/>
        </w:rPr>
        <w:t>RII</w:t>
      </w:r>
      <w:r>
        <w:rPr>
          <w:rFonts w:ascii="Times New Roman" w:hAnsi="Times New Roman" w:cs="Times New Roman"/>
          <w:bCs/>
          <w:snapToGrid w:val="0"/>
          <w:kern w:val="44"/>
          <w:sz w:val="21"/>
          <w:szCs w:val="44"/>
        </w:rPr>
        <w:t xml:space="preserve"> × </w:t>
      </w:r>
      <w:r w:rsidR="00A0733A" w:rsidRPr="00A0733A">
        <w:rPr>
          <w:rFonts w:ascii="Times New Roman" w:hAnsi="Times New Roman" w:cs="Times New Roman"/>
          <w:bCs/>
          <w:i/>
          <w:iCs/>
          <w:snapToGrid w:val="0"/>
          <w:kern w:val="44"/>
          <w:sz w:val="21"/>
          <w:szCs w:val="44"/>
        </w:rPr>
        <w:t>NII</w:t>
      </w:r>
      <w:r>
        <w:rPr>
          <w:rFonts w:ascii="Times New Roman" w:hAnsi="Times New Roman" w:cs="Times New Roman"/>
          <w:bCs/>
          <w:snapToGrid w:val="0"/>
          <w:kern w:val="44"/>
          <w:sz w:val="21"/>
          <w:szCs w:val="44"/>
        </w:rPr>
        <w:t xml:space="preserve">, </w:t>
      </w:r>
      <w:r w:rsidR="00A0733A" w:rsidRPr="00A0733A">
        <w:rPr>
          <w:rFonts w:ascii="Times New Roman" w:hAnsi="Times New Roman" w:cs="Times New Roman"/>
          <w:bCs/>
          <w:i/>
          <w:iCs/>
          <w:snapToGrid w:val="0"/>
          <w:kern w:val="44"/>
          <w:sz w:val="21"/>
          <w:szCs w:val="44"/>
        </w:rPr>
        <w:t>RII</w:t>
      </w:r>
      <w:r>
        <w:rPr>
          <w:rFonts w:ascii="Times New Roman" w:hAnsi="Times New Roman" w:cs="Times New Roman"/>
          <w:bCs/>
          <w:snapToGrid w:val="0"/>
          <w:kern w:val="44"/>
          <w:sz w:val="21"/>
          <w:szCs w:val="44"/>
        </w:rPr>
        <w:t xml:space="preserve"> × </w:t>
      </w:r>
      <w:r w:rsidR="00A0733A" w:rsidRPr="00A0733A">
        <w:rPr>
          <w:rFonts w:ascii="Times New Roman" w:hAnsi="Times New Roman" w:cs="Times New Roman"/>
          <w:bCs/>
          <w:i/>
          <w:iCs/>
          <w:snapToGrid w:val="0"/>
          <w:kern w:val="44"/>
          <w:sz w:val="21"/>
          <w:szCs w:val="44"/>
        </w:rPr>
        <w:t>CII</w:t>
      </w:r>
      <w:r>
        <w:rPr>
          <w:rFonts w:ascii="Times New Roman" w:hAnsi="Times New Roman" w:cs="Times New Roman"/>
          <w:bCs/>
          <w:snapToGrid w:val="0"/>
          <w:kern w:val="44"/>
          <w:sz w:val="21"/>
          <w:szCs w:val="44"/>
        </w:rPr>
        <w:t xml:space="preserve">, and </w:t>
      </w:r>
      <w:r w:rsidR="00A0733A" w:rsidRPr="00A0733A">
        <w:rPr>
          <w:rFonts w:ascii="Times New Roman" w:hAnsi="Times New Roman" w:cs="Times New Roman"/>
          <w:bCs/>
          <w:i/>
          <w:iCs/>
          <w:snapToGrid w:val="0"/>
          <w:kern w:val="44"/>
          <w:sz w:val="21"/>
          <w:szCs w:val="44"/>
        </w:rPr>
        <w:t>NII</w:t>
      </w:r>
      <w:r>
        <w:rPr>
          <w:rFonts w:ascii="Times New Roman" w:hAnsi="Times New Roman" w:cs="Times New Roman"/>
          <w:bCs/>
          <w:snapToGrid w:val="0"/>
          <w:kern w:val="44"/>
          <w:sz w:val="21"/>
          <w:szCs w:val="44"/>
        </w:rPr>
        <w:t xml:space="preserve"> × </w:t>
      </w:r>
      <w:r w:rsidR="00A0733A" w:rsidRPr="00A0733A">
        <w:rPr>
          <w:rFonts w:ascii="Times New Roman" w:hAnsi="Times New Roman" w:cs="Times New Roman"/>
          <w:bCs/>
          <w:i/>
          <w:iCs/>
          <w:snapToGrid w:val="0"/>
          <w:kern w:val="44"/>
          <w:sz w:val="21"/>
          <w:szCs w:val="44"/>
        </w:rPr>
        <w:t>CII</w:t>
      </w:r>
      <w:r>
        <w:rPr>
          <w:rFonts w:ascii="Times New Roman" w:hAnsi="Times New Roman" w:cs="Times New Roman"/>
          <w:bCs/>
          <w:snapToGrid w:val="0"/>
          <w:kern w:val="44"/>
          <w:sz w:val="21"/>
          <w:szCs w:val="44"/>
        </w:rPr>
        <w:t>), the three-way interaction term (</w:t>
      </w:r>
      <w:r w:rsidR="00A0733A" w:rsidRPr="00A0733A">
        <w:rPr>
          <w:rFonts w:ascii="Times New Roman" w:hAnsi="Times New Roman" w:cs="Times New Roman"/>
          <w:bCs/>
          <w:i/>
          <w:iCs/>
          <w:snapToGrid w:val="0"/>
          <w:kern w:val="44"/>
          <w:sz w:val="21"/>
          <w:szCs w:val="44"/>
        </w:rPr>
        <w:t>RII</w:t>
      </w:r>
      <w:r>
        <w:rPr>
          <w:rFonts w:ascii="Times New Roman" w:hAnsi="Times New Roman" w:cs="Times New Roman"/>
          <w:bCs/>
          <w:snapToGrid w:val="0"/>
          <w:kern w:val="44"/>
          <w:sz w:val="21"/>
          <w:szCs w:val="44"/>
        </w:rPr>
        <w:t xml:space="preserve"> × </w:t>
      </w:r>
      <w:r w:rsidR="00A0733A" w:rsidRPr="00A0733A">
        <w:rPr>
          <w:rFonts w:ascii="Times New Roman" w:hAnsi="Times New Roman" w:cs="Times New Roman"/>
          <w:bCs/>
          <w:i/>
          <w:iCs/>
          <w:snapToGrid w:val="0"/>
          <w:kern w:val="44"/>
          <w:sz w:val="21"/>
          <w:szCs w:val="44"/>
        </w:rPr>
        <w:t>NII</w:t>
      </w:r>
      <w:r>
        <w:rPr>
          <w:rFonts w:ascii="Times New Roman" w:hAnsi="Times New Roman" w:cs="Times New Roman"/>
          <w:bCs/>
          <w:snapToGrid w:val="0"/>
          <w:kern w:val="44"/>
          <w:sz w:val="21"/>
          <w:szCs w:val="44"/>
        </w:rPr>
        <w:t xml:space="preserve"> × </w:t>
      </w:r>
      <w:r w:rsidR="00A0733A" w:rsidRPr="00A0733A">
        <w:rPr>
          <w:rFonts w:ascii="Times New Roman" w:hAnsi="Times New Roman" w:cs="Times New Roman"/>
          <w:bCs/>
          <w:i/>
          <w:iCs/>
          <w:snapToGrid w:val="0"/>
          <w:kern w:val="44"/>
          <w:sz w:val="21"/>
          <w:szCs w:val="44"/>
        </w:rPr>
        <w:t>CII</w:t>
      </w:r>
      <w:r>
        <w:rPr>
          <w:rFonts w:ascii="Times New Roman" w:hAnsi="Times New Roman" w:cs="Times New Roman"/>
          <w:bCs/>
          <w:snapToGrid w:val="0"/>
          <w:kern w:val="44"/>
          <w:sz w:val="21"/>
          <w:szCs w:val="44"/>
        </w:rPr>
        <w:t>), and the control variables as input features for model retraining and hyperparameter optimization.</w:t>
      </w:r>
    </w:p>
    <w:p w:rsidR="004C4617" w:rsidRDefault="00FA4B2D">
      <w:pPr>
        <w:ind w:firstLineChars="200" w:firstLine="360"/>
        <w:jc w:val="center"/>
        <w:rPr>
          <w:rFonts w:ascii="Times New Roman" w:hAnsi="Times New Roman" w:cs="Times New Roman"/>
          <w:bCs/>
          <w:snapToGrid w:val="0"/>
          <w:kern w:val="44"/>
          <w:sz w:val="18"/>
          <w:szCs w:val="18"/>
        </w:rPr>
      </w:pPr>
      <w:r>
        <w:rPr>
          <w:rFonts w:ascii="Times New Roman" w:hAnsi="Times New Roman" w:cs="Times New Roman"/>
          <w:bCs/>
          <w:snapToGrid w:val="0"/>
          <w:kern w:val="44"/>
          <w:sz w:val="18"/>
          <w:szCs w:val="18"/>
        </w:rPr>
        <w:t>Table C.1. Model training and hyperparameter tuning process</w:t>
      </w:r>
    </w:p>
    <w:tbl>
      <w:tblPr>
        <w:tblW w:w="10206" w:type="dxa"/>
        <w:jc w:val="center"/>
        <w:tblCellSpacing w:w="15" w:type="dxa"/>
        <w:tblBorders>
          <w:top w:val="single" w:sz="12" w:space="0" w:color="auto"/>
          <w:bottom w:val="single" w:sz="12" w:space="0" w:color="auto"/>
        </w:tblBorders>
        <w:tblLayout w:type="fixed"/>
        <w:tblCellMar>
          <w:top w:w="15" w:type="dxa"/>
          <w:left w:w="15" w:type="dxa"/>
          <w:bottom w:w="15" w:type="dxa"/>
          <w:right w:w="15" w:type="dxa"/>
        </w:tblCellMar>
        <w:tblLook w:val="04A0" w:firstRow="1" w:lastRow="0" w:firstColumn="1" w:lastColumn="0" w:noHBand="0" w:noVBand="1"/>
      </w:tblPr>
      <w:tblGrid>
        <w:gridCol w:w="718"/>
        <w:gridCol w:w="1542"/>
        <w:gridCol w:w="1985"/>
        <w:gridCol w:w="1559"/>
        <w:gridCol w:w="1276"/>
        <w:gridCol w:w="1134"/>
        <w:gridCol w:w="1992"/>
      </w:tblGrid>
      <w:tr w:rsidR="004C4617">
        <w:trPr>
          <w:cantSplit/>
          <w:trHeight w:val="20"/>
          <w:tblHeader/>
          <w:tblCellSpacing w:w="15" w:type="dxa"/>
          <w:jc w:val="center"/>
        </w:trPr>
        <w:tc>
          <w:tcPr>
            <w:tcW w:w="673" w:type="dxa"/>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Model</w:t>
            </w:r>
          </w:p>
        </w:tc>
        <w:tc>
          <w:tcPr>
            <w:tcW w:w="1512" w:type="dxa"/>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Hyperparameter</w:t>
            </w:r>
          </w:p>
        </w:tc>
        <w:tc>
          <w:tcPr>
            <w:tcW w:w="1955" w:type="dxa"/>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Search space</w:t>
            </w:r>
          </w:p>
        </w:tc>
        <w:tc>
          <w:tcPr>
            <w:tcW w:w="1529" w:type="dxa"/>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Tuning strategy</w:t>
            </w:r>
          </w:p>
        </w:tc>
        <w:tc>
          <w:tcPr>
            <w:tcW w:w="1246" w:type="dxa"/>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Randomized-search iterations</w:t>
            </w:r>
          </w:p>
        </w:tc>
        <w:tc>
          <w:tcPr>
            <w:tcW w:w="1104" w:type="dxa"/>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Cross-validation folds</w:t>
            </w:r>
          </w:p>
        </w:tc>
        <w:tc>
          <w:tcPr>
            <w:tcW w:w="1947" w:type="dxa"/>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Selected hyperparameters</w:t>
            </w:r>
          </w:p>
        </w:tc>
      </w:tr>
      <w:tr w:rsidR="004C4617">
        <w:trPr>
          <w:cantSplit/>
          <w:trHeight w:val="20"/>
          <w:tblCellSpacing w:w="15" w:type="dxa"/>
          <w:jc w:val="center"/>
        </w:trPr>
        <w:tc>
          <w:tcPr>
            <w:tcW w:w="673"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bCs/>
                <w:sz w:val="15"/>
                <w:szCs w:val="15"/>
              </w:rPr>
              <w:t>LR</w:t>
            </w:r>
          </w:p>
        </w:tc>
        <w:tc>
          <w:tcPr>
            <w:tcW w:w="1512"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955"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529"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No tuning; baseline model</w:t>
            </w:r>
          </w:p>
        </w:tc>
        <w:tc>
          <w:tcPr>
            <w:tcW w:w="1246"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104"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947"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No hyperparameter tuning</w:t>
            </w:r>
          </w:p>
        </w:tc>
      </w:tr>
      <w:tr w:rsidR="004C4617">
        <w:trPr>
          <w:cantSplit/>
          <w:trHeight w:val="20"/>
          <w:tblCellSpacing w:w="15" w:type="dxa"/>
          <w:jc w:val="center"/>
        </w:trPr>
        <w:tc>
          <w:tcPr>
            <w:tcW w:w="673"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bCs/>
                <w:sz w:val="15"/>
                <w:szCs w:val="15"/>
              </w:rPr>
              <w:t>RF</w:t>
            </w:r>
          </w:p>
        </w:tc>
        <w:tc>
          <w:tcPr>
            <w:tcW w:w="1512"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n_estimators;max_depth;min_samples_split;min_samples_leaf;bootstrap</w:t>
            </w:r>
          </w:p>
        </w:tc>
        <w:tc>
          <w:tcPr>
            <w:tcW w:w="1955"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n_estimators=[50, 100, 200, 300];max_depth=[10, 20, None];min_samples_split=[2, 5, 10];min_samples_leaf=[1, 2, 4];bootstrap=[True, False]</w:t>
            </w:r>
          </w:p>
        </w:tc>
        <w:tc>
          <w:tcPr>
            <w:tcW w:w="1529"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1246"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1104"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1947"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n_estimators=300;max_depth=10;min_samples_split=2;min_samples_leaf=2;bootstrap=True</w:t>
            </w:r>
          </w:p>
        </w:tc>
      </w:tr>
      <w:tr w:rsidR="004C4617">
        <w:trPr>
          <w:cantSplit/>
          <w:trHeight w:val="20"/>
          <w:tblCellSpacing w:w="15" w:type="dxa"/>
          <w:jc w:val="center"/>
        </w:trPr>
        <w:tc>
          <w:tcPr>
            <w:tcW w:w="673"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KNN</w:t>
            </w:r>
          </w:p>
        </w:tc>
        <w:tc>
          <w:tcPr>
            <w:tcW w:w="1512"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n_neighbors;weights</w:t>
            </w:r>
          </w:p>
        </w:tc>
        <w:tc>
          <w:tcPr>
            <w:tcW w:w="1955"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n_neighbors=[3, 5, 7, 9];weights=['uniform', 'distance']</w:t>
            </w:r>
          </w:p>
        </w:tc>
        <w:tc>
          <w:tcPr>
            <w:tcW w:w="1529"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1246"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1104"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1947"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n_neighbors=9;weights=distance</w:t>
            </w:r>
          </w:p>
        </w:tc>
      </w:tr>
      <w:tr w:rsidR="004C4617">
        <w:trPr>
          <w:cantSplit/>
          <w:trHeight w:val="20"/>
          <w:tblCellSpacing w:w="15" w:type="dxa"/>
          <w:jc w:val="center"/>
        </w:trPr>
        <w:tc>
          <w:tcPr>
            <w:tcW w:w="673"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SVM</w:t>
            </w:r>
          </w:p>
        </w:tc>
        <w:tc>
          <w:tcPr>
            <w:tcW w:w="1512"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C;kernel;epsilon;gamma;degree</w:t>
            </w:r>
          </w:p>
        </w:tc>
        <w:tc>
          <w:tcPr>
            <w:tcW w:w="1955"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C=[0.01, 0.1, 1, 10, 100];kernel=['linear', 'rbf', 'poly'];epsilon=[0.001, 0.01, 0.1, 1];gamma=['scale', 'auto'];degree=[3, 4, 5]</w:t>
            </w:r>
          </w:p>
        </w:tc>
        <w:tc>
          <w:tcPr>
            <w:tcW w:w="1529"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1246"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1104"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1947"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C=10;kernel=poly;epsilon=0.01;gamma=scale;degree=3</w:t>
            </w:r>
          </w:p>
        </w:tc>
      </w:tr>
      <w:tr w:rsidR="004C4617">
        <w:trPr>
          <w:cantSplit/>
          <w:trHeight w:val="20"/>
          <w:tblCellSpacing w:w="15" w:type="dxa"/>
          <w:jc w:val="center"/>
        </w:trPr>
        <w:tc>
          <w:tcPr>
            <w:tcW w:w="673"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DT</w:t>
            </w:r>
          </w:p>
        </w:tc>
        <w:tc>
          <w:tcPr>
            <w:tcW w:w="1512"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955"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529"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No tuning; baseline model</w:t>
            </w:r>
          </w:p>
        </w:tc>
        <w:tc>
          <w:tcPr>
            <w:tcW w:w="1246"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104"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w:t>
            </w:r>
          </w:p>
        </w:tc>
        <w:tc>
          <w:tcPr>
            <w:tcW w:w="1947"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No hyperparameter tuning</w:t>
            </w:r>
          </w:p>
        </w:tc>
      </w:tr>
      <w:tr w:rsidR="004C4617">
        <w:trPr>
          <w:cantSplit/>
          <w:trHeight w:val="20"/>
          <w:tblCellSpacing w:w="15" w:type="dxa"/>
          <w:jc w:val="center"/>
        </w:trPr>
        <w:tc>
          <w:tcPr>
            <w:tcW w:w="673"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XGBoost</w:t>
            </w:r>
          </w:p>
        </w:tc>
        <w:tc>
          <w:tcPr>
            <w:tcW w:w="1512"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n_estimators;learning_rate;max_depth;min_child_weight;gamma;subsample;colsample_bytree;reg_alpha;reg_lambda</w:t>
            </w:r>
          </w:p>
        </w:tc>
        <w:tc>
          <w:tcPr>
            <w:tcW w:w="1955"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n_estimators=[200, 400, 600, 800, 1200];learning_rate=[0.01, 0.02, 0.03, 0.05];max_depth=[2, 3, 4, 5, 6];min_child_weight=[3, 5, 10, 20];gamma=[0, 0.1, 0.3, 1];subsample=[0.6, 0.75, 0.9, 1.0];colsample_bytree=[0.6, 0.75, 0.9, 1.0];reg_alpha=[0, 0.01, 0.1, 1, 5];reg_lambda=[1, 3, 5, 10, 20]</w:t>
            </w:r>
          </w:p>
        </w:tc>
        <w:tc>
          <w:tcPr>
            <w:tcW w:w="1529"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1246"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24</w:t>
            </w:r>
          </w:p>
        </w:tc>
        <w:tc>
          <w:tcPr>
            <w:tcW w:w="1104"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1947"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n_estimators=800;learning_rate=0.01;max_depth=6;min_child_weight=10;gamma=0;subsample=0.75;colsample_bytree=0.9;reg_alpha=1;reg_lambda=3</w:t>
            </w:r>
          </w:p>
        </w:tc>
      </w:tr>
      <w:tr w:rsidR="004C4617">
        <w:trPr>
          <w:cantSplit/>
          <w:trHeight w:val="20"/>
          <w:tblCellSpacing w:w="15" w:type="dxa"/>
          <w:jc w:val="center"/>
        </w:trPr>
        <w:tc>
          <w:tcPr>
            <w:tcW w:w="673"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lastRenderedPageBreak/>
              <w:t>NN</w:t>
            </w:r>
          </w:p>
        </w:tc>
        <w:tc>
          <w:tcPr>
            <w:tcW w:w="1512"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hidden_layer_sizes;activation;alpha;learning_rate</w:t>
            </w:r>
          </w:p>
        </w:tc>
        <w:tc>
          <w:tcPr>
            <w:tcW w:w="1955"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hidden_layer_sizes=[(50,), (100,), (50, 50), (100, 50)];activation=['relu', 'tanh'];alpha=[0.0001, 0.001, 0.01];learning_rate=['constant', 'adaptive']</w:t>
            </w:r>
          </w:p>
        </w:tc>
        <w:tc>
          <w:tcPr>
            <w:tcW w:w="1529"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1246"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1104"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1947"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hidden_layer_sizes=[50, 50];activation=relu;alpha=0.001;learning_rate=constant</w:t>
            </w:r>
          </w:p>
        </w:tc>
      </w:tr>
      <w:tr w:rsidR="004C4617">
        <w:trPr>
          <w:cantSplit/>
          <w:trHeight w:val="20"/>
          <w:tblCellSpacing w:w="15" w:type="dxa"/>
          <w:jc w:val="center"/>
        </w:trPr>
        <w:tc>
          <w:tcPr>
            <w:tcW w:w="673"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1512"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rsm;learning_rate;l2_leaf_reg;iterations;depth</w:t>
            </w:r>
          </w:p>
        </w:tc>
        <w:tc>
          <w:tcPr>
            <w:tcW w:w="1955"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rsm=[0.8, 1.0];learning_rate=[0.01, 0.05, 0.1];l2_leaf_reg=[1, 3, 5, 7, 10];iterations=[100, 200, 500, 1000];depth=[3, 4, 5, 7, 9]</w:t>
            </w:r>
          </w:p>
        </w:tc>
        <w:tc>
          <w:tcPr>
            <w:tcW w:w="1529"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1246"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1104"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1947" w:type="dxa"/>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rsm=1.0;learning_rate=0.01;l2_leaf_reg=7;iterations=1000;depth=7</w:t>
            </w:r>
          </w:p>
        </w:tc>
      </w:tr>
    </w:tbl>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Table C.2. Comparison of model performance</w:t>
      </w:r>
    </w:p>
    <w:tbl>
      <w:tblPr>
        <w:tblW w:w="10206" w:type="dxa"/>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458"/>
        <w:gridCol w:w="1458"/>
        <w:gridCol w:w="1458"/>
        <w:gridCol w:w="1458"/>
        <w:gridCol w:w="1458"/>
        <w:gridCol w:w="1458"/>
        <w:gridCol w:w="1458"/>
      </w:tblGrid>
      <w:tr w:rsidR="004C4617">
        <w:trPr>
          <w:cantSplit/>
          <w:trHeight w:val="20"/>
          <w:tblHeader/>
          <w:tblCellSpacing w:w="15" w:type="dxa"/>
          <w:jc w:val="center"/>
        </w:trPr>
        <w:tc>
          <w:tcPr>
            <w:tcW w:w="1413" w:type="dxa"/>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Model</w:t>
            </w:r>
          </w:p>
        </w:tc>
        <w:tc>
          <w:tcPr>
            <w:tcW w:w="1428" w:type="dxa"/>
            <w:vAlign w:val="center"/>
          </w:tcPr>
          <w:p w:rsidR="004C4617" w:rsidRDefault="00190974">
            <w:pPr>
              <w:jc w:val="center"/>
              <w:rPr>
                <w:rFonts w:ascii="Times New Roman" w:hAnsi="Times New Roman" w:cs="Times New Roman"/>
                <w:bCs/>
                <w:snapToGrid w:val="0"/>
                <w:color w:val="000000" w:themeColor="text1"/>
                <w:kern w:val="44"/>
                <w:sz w:val="18"/>
                <w:szCs w:val="18"/>
              </w:rPr>
            </w:pPr>
            <m:oMath>
              <m:sSubSup>
                <m:sSubSupPr>
                  <m:ctrlPr>
                    <w:rPr>
                      <w:rFonts w:ascii="Cambria Math" w:hAnsi="Cambria Math" w:cs="Times New Roman"/>
                      <w:bCs/>
                      <w:snapToGrid w:val="0"/>
                      <w:color w:val="000000" w:themeColor="text1"/>
                      <w:kern w:val="44"/>
                      <w:sz w:val="18"/>
                      <w:szCs w:val="18"/>
                    </w:rPr>
                  </m:ctrlPr>
                </m:sSubSupPr>
                <m:e>
                  <m:r>
                    <w:rPr>
                      <w:rFonts w:ascii="Cambria Math" w:hAnsi="Cambria Math" w:cs="Times New Roman"/>
                      <w:snapToGrid w:val="0"/>
                      <w:color w:val="000000" w:themeColor="text1"/>
                      <w:kern w:val="44"/>
                      <w:sz w:val="18"/>
                      <w:szCs w:val="18"/>
                    </w:rPr>
                    <m:t>R</m:t>
                  </m:r>
                </m:e>
                <m:sub>
                  <m:r>
                    <w:rPr>
                      <w:rFonts w:ascii="Cambria Math" w:hAnsi="Cambria Math" w:cs="Times New Roman"/>
                      <w:snapToGrid w:val="0"/>
                      <w:color w:val="000000" w:themeColor="text1"/>
                      <w:kern w:val="44"/>
                      <w:sz w:val="18"/>
                      <w:szCs w:val="18"/>
                    </w:rPr>
                    <m:t>is</m:t>
                  </m:r>
                </m:sub>
                <m:sup>
                  <m:r>
                    <w:rPr>
                      <w:rFonts w:ascii="Cambria Math" w:hAnsi="Cambria Math" w:cs="Times New Roman"/>
                      <w:snapToGrid w:val="0"/>
                      <w:color w:val="000000" w:themeColor="text1"/>
                      <w:kern w:val="44"/>
                      <w:sz w:val="18"/>
                      <w:szCs w:val="18"/>
                    </w:rPr>
                    <m:t>2</m:t>
                  </m:r>
                </m:sup>
              </m:sSubSup>
            </m:oMath>
            <w:r w:rsidR="00FA4B2D">
              <w:rPr>
                <w:rFonts w:ascii="Times New Roman" w:hAnsi="Times New Roman" w:cs="Times New Roman"/>
                <w:bCs/>
                <w:snapToGrid w:val="0"/>
                <w:color w:val="000000" w:themeColor="text1"/>
                <w:kern w:val="44"/>
                <w:sz w:val="18"/>
                <w:szCs w:val="18"/>
              </w:rPr>
              <w:t>%</w:t>
            </w:r>
          </w:p>
        </w:tc>
        <w:tc>
          <w:tcPr>
            <w:tcW w:w="1428" w:type="dxa"/>
            <w:vAlign w:val="center"/>
          </w:tcPr>
          <w:p w:rsidR="004C4617" w:rsidRDefault="00190974">
            <w:pPr>
              <w:jc w:val="center"/>
              <w:rPr>
                <w:rFonts w:ascii="Times New Roman" w:hAnsi="Times New Roman" w:cs="Times New Roman"/>
                <w:bCs/>
                <w:snapToGrid w:val="0"/>
                <w:color w:val="000000" w:themeColor="text1"/>
                <w:kern w:val="44"/>
                <w:sz w:val="18"/>
                <w:szCs w:val="18"/>
              </w:rPr>
            </w:pPr>
            <m:oMathPara>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MSE</m:t>
                    </m:r>
                  </m:e>
                  <m:sub>
                    <m:r>
                      <w:rPr>
                        <w:rFonts w:ascii="Cambria Math" w:hAnsi="Cambria Math" w:cs="Times New Roman"/>
                        <w:snapToGrid w:val="0"/>
                        <w:color w:val="000000" w:themeColor="text1"/>
                        <w:kern w:val="44"/>
                        <w:sz w:val="18"/>
                        <w:szCs w:val="18"/>
                      </w:rPr>
                      <m:t>is</m:t>
                    </m:r>
                  </m:sub>
                </m:sSub>
              </m:oMath>
            </m:oMathPara>
          </w:p>
        </w:tc>
        <w:tc>
          <w:tcPr>
            <w:tcW w:w="1428" w:type="dxa"/>
            <w:vAlign w:val="center"/>
          </w:tcPr>
          <w:p w:rsidR="004C4617" w:rsidRDefault="00190974">
            <w:pPr>
              <w:jc w:val="center"/>
              <w:rPr>
                <w:rFonts w:ascii="Times New Roman" w:hAnsi="Times New Roman" w:cs="Times New Roman"/>
                <w:bCs/>
                <w:snapToGrid w:val="0"/>
                <w:color w:val="000000" w:themeColor="text1"/>
                <w:kern w:val="44"/>
                <w:sz w:val="18"/>
                <w:szCs w:val="18"/>
              </w:rPr>
            </w:pPr>
            <m:oMathPara>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MAE</m:t>
                    </m:r>
                  </m:e>
                  <m:sub>
                    <m:r>
                      <w:rPr>
                        <w:rFonts w:ascii="Cambria Math" w:hAnsi="Cambria Math" w:cs="Times New Roman"/>
                        <w:snapToGrid w:val="0"/>
                        <w:color w:val="000000" w:themeColor="text1"/>
                        <w:kern w:val="44"/>
                        <w:sz w:val="18"/>
                        <w:szCs w:val="18"/>
                      </w:rPr>
                      <m:t>is</m:t>
                    </m:r>
                  </m:sub>
                </m:sSub>
              </m:oMath>
            </m:oMathPara>
          </w:p>
        </w:tc>
        <w:tc>
          <w:tcPr>
            <w:tcW w:w="1428" w:type="dxa"/>
            <w:vAlign w:val="center"/>
          </w:tcPr>
          <w:p w:rsidR="004C4617" w:rsidRDefault="00190974">
            <w:pPr>
              <w:jc w:val="center"/>
              <w:rPr>
                <w:rFonts w:ascii="Times New Roman" w:hAnsi="Times New Roman" w:cs="Times New Roman"/>
                <w:bCs/>
                <w:snapToGrid w:val="0"/>
                <w:color w:val="000000" w:themeColor="text1"/>
                <w:kern w:val="44"/>
                <w:sz w:val="18"/>
                <w:szCs w:val="18"/>
              </w:rPr>
            </w:pPr>
            <m:oMath>
              <m:sSubSup>
                <m:sSubSupPr>
                  <m:ctrlPr>
                    <w:rPr>
                      <w:rFonts w:ascii="Cambria Math" w:hAnsi="Cambria Math" w:cs="Times New Roman"/>
                      <w:bCs/>
                      <w:snapToGrid w:val="0"/>
                      <w:color w:val="000000" w:themeColor="text1"/>
                      <w:kern w:val="44"/>
                      <w:sz w:val="18"/>
                      <w:szCs w:val="18"/>
                    </w:rPr>
                  </m:ctrlPr>
                </m:sSubSupPr>
                <m:e>
                  <m:r>
                    <w:rPr>
                      <w:rFonts w:ascii="Cambria Math" w:hAnsi="Cambria Math" w:cs="Times New Roman"/>
                      <w:snapToGrid w:val="0"/>
                      <w:color w:val="000000" w:themeColor="text1"/>
                      <w:kern w:val="44"/>
                      <w:sz w:val="18"/>
                      <w:szCs w:val="18"/>
                    </w:rPr>
                    <m:t>R</m:t>
                  </m:r>
                </m:e>
                <m:sub>
                  <m:r>
                    <w:rPr>
                      <w:rFonts w:ascii="Cambria Math" w:hAnsi="Cambria Math" w:cs="Times New Roman"/>
                      <w:snapToGrid w:val="0"/>
                      <w:color w:val="000000" w:themeColor="text1"/>
                      <w:kern w:val="44"/>
                      <w:sz w:val="18"/>
                      <w:szCs w:val="18"/>
                    </w:rPr>
                    <m:t>oos</m:t>
                  </m:r>
                </m:sub>
                <m:sup>
                  <m:r>
                    <w:rPr>
                      <w:rFonts w:ascii="Cambria Math" w:hAnsi="Cambria Math" w:cs="Times New Roman"/>
                      <w:snapToGrid w:val="0"/>
                      <w:color w:val="000000" w:themeColor="text1"/>
                      <w:kern w:val="44"/>
                      <w:sz w:val="18"/>
                      <w:szCs w:val="18"/>
                    </w:rPr>
                    <m:t>2</m:t>
                  </m:r>
                </m:sup>
              </m:sSubSup>
            </m:oMath>
            <w:r w:rsidR="00FA4B2D">
              <w:rPr>
                <w:rFonts w:ascii="Times New Roman" w:hAnsi="Times New Roman" w:cs="Times New Roman"/>
                <w:bCs/>
                <w:snapToGrid w:val="0"/>
                <w:color w:val="000000" w:themeColor="text1"/>
                <w:kern w:val="44"/>
                <w:sz w:val="18"/>
                <w:szCs w:val="18"/>
              </w:rPr>
              <w:t xml:space="preserve"> (%)</w:t>
            </w:r>
          </w:p>
        </w:tc>
        <w:tc>
          <w:tcPr>
            <w:tcW w:w="1428" w:type="dxa"/>
            <w:vAlign w:val="center"/>
          </w:tcPr>
          <w:p w:rsidR="004C4617" w:rsidRDefault="00190974">
            <w:pPr>
              <w:jc w:val="center"/>
              <w:rPr>
                <w:rFonts w:ascii="Times New Roman" w:hAnsi="Times New Roman" w:cs="Times New Roman"/>
                <w:bCs/>
                <w:snapToGrid w:val="0"/>
                <w:color w:val="000000" w:themeColor="text1"/>
                <w:kern w:val="44"/>
                <w:sz w:val="18"/>
                <w:szCs w:val="18"/>
              </w:rPr>
            </w:pPr>
            <m:oMathPara>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MSE</m:t>
                    </m:r>
                  </m:e>
                  <m:sub>
                    <m:r>
                      <w:rPr>
                        <w:rFonts w:ascii="Cambria Math" w:hAnsi="Cambria Math" w:cs="Times New Roman"/>
                        <w:snapToGrid w:val="0"/>
                        <w:color w:val="000000" w:themeColor="text1"/>
                        <w:kern w:val="44"/>
                        <w:sz w:val="18"/>
                        <w:szCs w:val="18"/>
                      </w:rPr>
                      <m:t>oos</m:t>
                    </m:r>
                  </m:sub>
                </m:sSub>
              </m:oMath>
            </m:oMathPara>
          </w:p>
        </w:tc>
        <w:tc>
          <w:tcPr>
            <w:tcW w:w="1413" w:type="dxa"/>
            <w:vAlign w:val="center"/>
          </w:tcPr>
          <w:p w:rsidR="004C4617" w:rsidRDefault="00190974">
            <w:pPr>
              <w:jc w:val="center"/>
              <w:rPr>
                <w:rFonts w:ascii="Times New Roman" w:hAnsi="Times New Roman" w:cs="Times New Roman"/>
                <w:bCs/>
                <w:snapToGrid w:val="0"/>
                <w:color w:val="000000" w:themeColor="text1"/>
                <w:kern w:val="44"/>
                <w:sz w:val="18"/>
                <w:szCs w:val="18"/>
              </w:rPr>
            </w:pPr>
            <m:oMathPara>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MAE</m:t>
                    </m:r>
                  </m:e>
                  <m:sub>
                    <m:r>
                      <w:rPr>
                        <w:rFonts w:ascii="Cambria Math" w:hAnsi="Cambria Math" w:cs="Times New Roman"/>
                        <w:snapToGrid w:val="0"/>
                        <w:color w:val="000000" w:themeColor="text1"/>
                        <w:kern w:val="44"/>
                        <w:sz w:val="18"/>
                        <w:szCs w:val="18"/>
                      </w:rPr>
                      <m:t>oos</m:t>
                    </m:r>
                  </m:sub>
                </m:sSub>
              </m:oMath>
            </m:oMathPara>
          </w:p>
        </w:tc>
      </w:tr>
      <w:tr w:rsidR="004C4617">
        <w:trPr>
          <w:cantSplit/>
          <w:trHeight w:val="20"/>
          <w:tblCellSpacing w:w="15" w:type="dxa"/>
          <w:jc w:val="center"/>
        </w:trPr>
        <w:tc>
          <w:tcPr>
            <w:tcW w:w="1413" w:type="dxa"/>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LR</w:t>
            </w:r>
          </w:p>
        </w:tc>
        <w:tc>
          <w:tcPr>
            <w:tcW w:w="1428"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23.0882</w:t>
            </w:r>
          </w:p>
        </w:tc>
        <w:tc>
          <w:tcPr>
            <w:tcW w:w="1428"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502.2691</w:t>
            </w:r>
          </w:p>
        </w:tc>
        <w:tc>
          <w:tcPr>
            <w:tcW w:w="1428"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8.4295</w:t>
            </w:r>
          </w:p>
        </w:tc>
        <w:tc>
          <w:tcPr>
            <w:tcW w:w="1428"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28.7949</w:t>
            </w:r>
          </w:p>
        </w:tc>
        <w:tc>
          <w:tcPr>
            <w:tcW w:w="1428"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401.7984</w:t>
            </w:r>
          </w:p>
        </w:tc>
        <w:tc>
          <w:tcPr>
            <w:tcW w:w="1413" w:type="dxa"/>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8.1118</w:t>
            </w:r>
          </w:p>
        </w:tc>
      </w:tr>
      <w:tr w:rsidR="004C4617">
        <w:trPr>
          <w:cantSplit/>
          <w:trHeight w:val="20"/>
          <w:tblCellSpacing w:w="15" w:type="dxa"/>
          <w:jc w:val="center"/>
        </w:trPr>
        <w:tc>
          <w:tcPr>
            <w:tcW w:w="1413" w:type="dxa"/>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RF</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57.6804</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276.3663</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6.0860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40.4228</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336.1843</w:t>
            </w:r>
          </w:p>
        </w:tc>
        <w:tc>
          <w:tcPr>
            <w:tcW w:w="1413"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7.0822</w:t>
            </w:r>
          </w:p>
        </w:tc>
      </w:tr>
      <w:tr w:rsidR="004C4617">
        <w:trPr>
          <w:cantSplit/>
          <w:trHeight w:val="20"/>
          <w:tblCellSpacing w:w="15" w:type="dxa"/>
          <w:jc w:val="center"/>
        </w:trPr>
        <w:tc>
          <w:tcPr>
            <w:tcW w:w="1413" w:type="dxa"/>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KNN</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100.0000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0.0000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0.0000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31.4456</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386.8411</w:t>
            </w:r>
          </w:p>
        </w:tc>
        <w:tc>
          <w:tcPr>
            <w:tcW w:w="1413"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8.4406</w:t>
            </w:r>
          </w:p>
        </w:tc>
      </w:tr>
      <w:tr w:rsidR="004C4617">
        <w:trPr>
          <w:cantSplit/>
          <w:trHeight w:val="20"/>
          <w:tblCellSpacing w:w="15" w:type="dxa"/>
          <w:jc w:val="center"/>
        </w:trPr>
        <w:tc>
          <w:tcPr>
            <w:tcW w:w="1413" w:type="dxa"/>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SVM</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24.9485</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490.1204</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7.0329</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27.4700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409.2749</w:t>
            </w:r>
          </w:p>
        </w:tc>
        <w:tc>
          <w:tcPr>
            <w:tcW w:w="1413"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6.8939</w:t>
            </w:r>
          </w:p>
        </w:tc>
      </w:tr>
      <w:tr w:rsidR="004C4617">
        <w:trPr>
          <w:cantSplit/>
          <w:trHeight w:val="20"/>
          <w:tblCellSpacing w:w="15" w:type="dxa"/>
          <w:jc w:val="center"/>
        </w:trPr>
        <w:tc>
          <w:tcPr>
            <w:tcW w:w="1413" w:type="dxa"/>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DT</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100.0000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0.0000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0.0000</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-48.9256</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840.3623</w:t>
            </w:r>
          </w:p>
        </w:tc>
        <w:tc>
          <w:tcPr>
            <w:tcW w:w="1413"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10.7148</w:t>
            </w:r>
          </w:p>
        </w:tc>
      </w:tr>
      <w:tr w:rsidR="004C4617">
        <w:trPr>
          <w:cantSplit/>
          <w:trHeight w:val="20"/>
          <w:tblCellSpacing w:w="15" w:type="dxa"/>
          <w:jc w:val="center"/>
        </w:trPr>
        <w:tc>
          <w:tcPr>
            <w:tcW w:w="1413" w:type="dxa"/>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XGBoost</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60.8858</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255.4334</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5.9392</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41.6161</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329.4509</w:t>
            </w:r>
          </w:p>
        </w:tc>
        <w:tc>
          <w:tcPr>
            <w:tcW w:w="1413"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7.1524</w:t>
            </w:r>
          </w:p>
        </w:tc>
      </w:tr>
      <w:tr w:rsidR="004C4617">
        <w:trPr>
          <w:cantSplit/>
          <w:trHeight w:val="20"/>
          <w:tblCellSpacing w:w="15" w:type="dxa"/>
          <w:jc w:val="center"/>
        </w:trPr>
        <w:tc>
          <w:tcPr>
            <w:tcW w:w="1413" w:type="dxa"/>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NN</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32.5367</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440.5658</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8.0533</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30.9883</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389.4218</w:t>
            </w:r>
          </w:p>
        </w:tc>
        <w:tc>
          <w:tcPr>
            <w:tcW w:w="1413"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8.0812</w:t>
            </w:r>
          </w:p>
        </w:tc>
      </w:tr>
      <w:tr w:rsidR="004C4617">
        <w:trPr>
          <w:cantSplit/>
          <w:trHeight w:val="20"/>
          <w:tblCellSpacing w:w="15" w:type="dxa"/>
          <w:jc w:val="center"/>
        </w:trPr>
        <w:tc>
          <w:tcPr>
            <w:tcW w:w="1413" w:type="dxa"/>
            <w:tcMar>
              <w:top w:w="35" w:type="dxa"/>
              <w:left w:w="45" w:type="dxa"/>
              <w:bottom w:w="35" w:type="dxa"/>
              <w:right w:w="45" w:type="dxa"/>
            </w:tcMar>
            <w:vAlign w:val="center"/>
          </w:tcPr>
          <w:p w:rsidR="004C4617" w:rsidRDefault="00FA4B2D">
            <w:pPr>
              <w:jc w:val="center"/>
              <w:rPr>
                <w:rFonts w:ascii="Times New Roman" w:hAnsi="Times New Roman" w:cs="Times New Roman"/>
                <w:bCs/>
                <w:snapToGrid w:val="0"/>
                <w:color w:val="000000" w:themeColor="text1"/>
                <w:kern w:val="44"/>
                <w:sz w:val="18"/>
                <w:szCs w:val="18"/>
              </w:rPr>
            </w:pPr>
            <w:r>
              <w:rPr>
                <w:rFonts w:ascii="Times New Roman" w:hAnsi="Times New Roman" w:cs="Times New Roman"/>
                <w:bCs/>
                <w:snapToGrid w:val="0"/>
                <w:color w:val="000000" w:themeColor="text1"/>
                <w:kern w:val="44"/>
                <w:sz w:val="18"/>
                <w:szCs w:val="18"/>
              </w:rPr>
              <w:t>CatBoost</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49.9815</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326.6438</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6.6818</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42.6236</w:t>
            </w:r>
          </w:p>
        </w:tc>
        <w:tc>
          <w:tcPr>
            <w:tcW w:w="1428"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323.7657</w:t>
            </w:r>
          </w:p>
        </w:tc>
        <w:tc>
          <w:tcPr>
            <w:tcW w:w="1413" w:type="dxa"/>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7.1417</w:t>
            </w:r>
          </w:p>
        </w:tc>
      </w:tr>
    </w:tbl>
    <w:p w:rsidR="004C4617" w:rsidRDefault="004B4770">
      <w:pPr>
        <w:spacing w:line="360" w:lineRule="auto"/>
        <w:jc w:val="both"/>
        <w:outlineLvl w:val="0"/>
        <w:rPr>
          <w:rFonts w:ascii="Times New Roman" w:hAnsi="Times New Roman" w:cs="Times New Roman"/>
          <w:b/>
          <w:bCs/>
          <w:snapToGrid w:val="0"/>
          <w:color w:val="000000" w:themeColor="text1"/>
          <w:kern w:val="44"/>
          <w:sz w:val="21"/>
          <w:szCs w:val="21"/>
        </w:rPr>
      </w:pPr>
      <w:r w:rsidRPr="004B4770">
        <w:rPr>
          <w:rFonts w:ascii="Times New Roman" w:hAnsi="Times New Roman" w:cs="Times New Roman"/>
          <w:b/>
          <w:bCs/>
          <w:snapToGrid w:val="0"/>
          <w:color w:val="000000" w:themeColor="text1"/>
          <w:kern w:val="44"/>
          <w:sz w:val="21"/>
          <w:szCs w:val="21"/>
        </w:rPr>
        <w:t>Supplementary Appendix D. Model training and hyperparameter tuning process (corresponding to Section 5.3)</w:t>
      </w:r>
    </w:p>
    <w:p w:rsidR="004C4617" w:rsidRDefault="00FA4B2D">
      <w:pPr>
        <w:pStyle w:val="SCI"/>
        <w:ind w:firstLine="420"/>
      </w:pPr>
      <w:r>
        <w:t>For the between-group heterogeneity analysis, this study separately conducts model training and hyperparameter tuning for subsamples defined by region, ownership type, enterprise size, and enterprise type. For each subsample, the same machine-learning training, hyperparameter tuning, and model evaluation procedures as those used in the main analysis are followed, and the best-performing model for each subgroup is selected based on its out-of-sample predictive performance.</w:t>
      </w:r>
    </w:p>
    <w:p w:rsidR="004C4617" w:rsidRDefault="00FA4B2D">
      <w:pPr>
        <w:ind w:firstLineChars="200" w:firstLine="360"/>
        <w:jc w:val="center"/>
        <w:rPr>
          <w:rFonts w:ascii="Times New Roman" w:hAnsi="Times New Roman" w:cs="Times New Roman"/>
          <w:bCs/>
          <w:snapToGrid w:val="0"/>
          <w:kern w:val="44"/>
          <w:sz w:val="18"/>
          <w:szCs w:val="18"/>
        </w:rPr>
      </w:pPr>
      <w:r>
        <w:rPr>
          <w:rFonts w:ascii="Times New Roman" w:hAnsi="Times New Roman" w:cs="Times New Roman"/>
          <w:bCs/>
          <w:snapToGrid w:val="0"/>
          <w:kern w:val="44"/>
          <w:sz w:val="18"/>
          <w:szCs w:val="18"/>
        </w:rPr>
        <w:t>Table D.1. Machine-learning model training and hyperparameter tuning across subgroups</w:t>
      </w:r>
    </w:p>
    <w:tbl>
      <w:tblPr>
        <w:tblW w:w="10206" w:type="dxa"/>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619"/>
        <w:gridCol w:w="522"/>
        <w:gridCol w:w="616"/>
        <w:gridCol w:w="609"/>
        <w:gridCol w:w="473"/>
        <w:gridCol w:w="6344"/>
        <w:gridCol w:w="488"/>
        <w:gridCol w:w="535"/>
      </w:tblGrid>
      <w:tr w:rsidR="004C4617">
        <w:trPr>
          <w:cantSplit/>
          <w:trHeight w:val="113"/>
          <w:tblHeader/>
          <w:tblCellSpacing w:w="15" w:type="dxa"/>
          <w:jc w:val="center"/>
        </w:trPr>
        <w:tc>
          <w:tcPr>
            <w:tcW w:w="0" w:type="auto"/>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Subgroup</w:t>
            </w:r>
          </w:p>
        </w:tc>
        <w:tc>
          <w:tcPr>
            <w:tcW w:w="0" w:type="auto"/>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Best-performing model</w:t>
            </w:r>
          </w:p>
        </w:tc>
        <w:tc>
          <w:tcPr>
            <w:tcW w:w="0" w:type="auto"/>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Tuning strategy</w:t>
            </w:r>
          </w:p>
        </w:tc>
        <w:tc>
          <w:tcPr>
            <w:tcW w:w="0" w:type="auto"/>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Randomized-search iterations</w:t>
            </w:r>
          </w:p>
        </w:tc>
        <w:tc>
          <w:tcPr>
            <w:tcW w:w="0" w:type="auto"/>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Cross-validation folds</w:t>
            </w:r>
          </w:p>
        </w:tc>
        <w:tc>
          <w:tcPr>
            <w:tcW w:w="0" w:type="auto"/>
            <w:vAlign w:val="center"/>
          </w:tcPr>
          <w:p w:rsidR="004C4617" w:rsidRDefault="00FA4B2D">
            <w:pPr>
              <w:jc w:val="center"/>
              <w:rPr>
                <w:rFonts w:ascii="Times New Roman" w:hAnsi="Times New Roman" w:cs="Times New Roman"/>
                <w:bCs/>
                <w:snapToGrid w:val="0"/>
                <w:color w:val="000000" w:themeColor="text1"/>
                <w:kern w:val="44"/>
                <w:sz w:val="15"/>
                <w:szCs w:val="15"/>
              </w:rPr>
            </w:pPr>
            <w:r>
              <w:rPr>
                <w:rFonts w:ascii="Times New Roman" w:hAnsi="Times New Roman" w:cs="Times New Roman"/>
                <w:bCs/>
                <w:snapToGrid w:val="0"/>
                <w:color w:val="000000" w:themeColor="text1"/>
                <w:kern w:val="44"/>
                <w:sz w:val="15"/>
                <w:szCs w:val="15"/>
              </w:rPr>
              <w:t>Optimal hyperparameters</w:t>
            </w:r>
          </w:p>
        </w:tc>
        <w:tc>
          <w:tcPr>
            <w:tcW w:w="0" w:type="auto"/>
            <w:vAlign w:val="center"/>
          </w:tcPr>
          <w:p w:rsidR="004C4617" w:rsidRDefault="00190974">
            <w:pPr>
              <w:jc w:val="center"/>
              <w:rPr>
                <w:rFonts w:ascii="Times New Roman" w:hAnsi="Times New Roman" w:cs="Times New Roman"/>
                <w:bCs/>
                <w:snapToGrid w:val="0"/>
                <w:color w:val="000000" w:themeColor="text1"/>
                <w:kern w:val="44"/>
                <w:sz w:val="15"/>
                <w:szCs w:val="15"/>
              </w:rPr>
            </w:pPr>
            <m:oMathPara>
              <m:oMath>
                <m:sSub>
                  <m:sSubPr>
                    <m:ctrlPr>
                      <w:rPr>
                        <w:rFonts w:ascii="Cambria Math" w:hAnsi="Cambria Math" w:cs="Times New Roman"/>
                        <w:bCs/>
                        <w:snapToGrid w:val="0"/>
                        <w:color w:val="000000" w:themeColor="text1"/>
                        <w:kern w:val="44"/>
                        <w:sz w:val="15"/>
                        <w:szCs w:val="15"/>
                      </w:rPr>
                    </m:ctrlPr>
                  </m:sSubPr>
                  <m:e>
                    <m:r>
                      <w:rPr>
                        <w:rFonts w:ascii="Cambria Math" w:hAnsi="Cambria Math" w:cs="Times New Roman"/>
                        <w:snapToGrid w:val="0"/>
                        <w:color w:val="000000" w:themeColor="text1"/>
                        <w:kern w:val="44"/>
                        <w:sz w:val="15"/>
                        <w:szCs w:val="15"/>
                      </w:rPr>
                      <m:t>MSE</m:t>
                    </m:r>
                  </m:e>
                  <m:sub>
                    <m:r>
                      <w:rPr>
                        <w:rFonts w:ascii="Cambria Math" w:hAnsi="Cambria Math" w:cs="Times New Roman"/>
                        <w:snapToGrid w:val="0"/>
                        <w:color w:val="000000" w:themeColor="text1"/>
                        <w:kern w:val="44"/>
                        <w:sz w:val="15"/>
                        <w:szCs w:val="15"/>
                      </w:rPr>
                      <m:t>oos</m:t>
                    </m:r>
                  </m:sub>
                </m:sSub>
              </m:oMath>
            </m:oMathPara>
          </w:p>
        </w:tc>
        <w:tc>
          <w:tcPr>
            <w:tcW w:w="0" w:type="auto"/>
            <w:vAlign w:val="center"/>
          </w:tcPr>
          <w:p w:rsidR="004C4617" w:rsidRDefault="00190974">
            <w:pPr>
              <w:jc w:val="center"/>
              <w:rPr>
                <w:rFonts w:ascii="Times New Roman" w:hAnsi="Times New Roman" w:cs="Times New Roman"/>
                <w:bCs/>
                <w:snapToGrid w:val="0"/>
                <w:color w:val="000000" w:themeColor="text1"/>
                <w:kern w:val="44"/>
                <w:sz w:val="15"/>
                <w:szCs w:val="15"/>
              </w:rPr>
            </w:pPr>
            <m:oMath>
              <m:sSubSup>
                <m:sSubSupPr>
                  <m:ctrlPr>
                    <w:rPr>
                      <w:rFonts w:ascii="Cambria Math" w:hAnsi="Cambria Math" w:cs="Times New Roman"/>
                      <w:bCs/>
                      <w:snapToGrid w:val="0"/>
                      <w:color w:val="000000" w:themeColor="text1"/>
                      <w:kern w:val="44"/>
                      <w:sz w:val="15"/>
                      <w:szCs w:val="15"/>
                    </w:rPr>
                  </m:ctrlPr>
                </m:sSubSupPr>
                <m:e>
                  <m:r>
                    <w:rPr>
                      <w:rFonts w:ascii="Cambria Math" w:hAnsi="Cambria Math" w:cs="Times New Roman"/>
                      <w:snapToGrid w:val="0"/>
                      <w:color w:val="000000" w:themeColor="text1"/>
                      <w:kern w:val="44"/>
                      <w:sz w:val="15"/>
                      <w:szCs w:val="15"/>
                    </w:rPr>
                    <m:t>R</m:t>
                  </m:r>
                </m:e>
                <m:sub>
                  <m:r>
                    <w:rPr>
                      <w:rFonts w:ascii="Cambria Math" w:hAnsi="Cambria Math" w:cs="Times New Roman"/>
                      <w:snapToGrid w:val="0"/>
                      <w:color w:val="000000" w:themeColor="text1"/>
                      <w:kern w:val="44"/>
                      <w:sz w:val="15"/>
                      <w:szCs w:val="15"/>
                    </w:rPr>
                    <m:t>oos</m:t>
                  </m:r>
                </m:sub>
                <m:sup>
                  <m:r>
                    <w:rPr>
                      <w:rFonts w:ascii="Cambria Math" w:hAnsi="Cambria Math" w:cs="Times New Roman"/>
                      <w:snapToGrid w:val="0"/>
                      <w:color w:val="000000" w:themeColor="text1"/>
                      <w:kern w:val="44"/>
                      <w:sz w:val="15"/>
                      <w:szCs w:val="15"/>
                    </w:rPr>
                    <m:t>2</m:t>
                  </m:r>
                </m:sup>
              </m:sSubSup>
            </m:oMath>
            <w:r w:rsidR="00FA4B2D">
              <w:rPr>
                <w:rFonts w:ascii="Times New Roman" w:hAnsi="Times New Roman" w:cs="Times New Roman"/>
                <w:bCs/>
                <w:snapToGrid w:val="0"/>
                <w:color w:val="000000" w:themeColor="text1"/>
                <w:kern w:val="44"/>
                <w:sz w:val="15"/>
                <w:szCs w:val="15"/>
              </w:rPr>
              <w:t xml:space="preserve"> (%)</w:t>
            </w:r>
          </w:p>
        </w:tc>
      </w:tr>
      <w:tr w:rsidR="004C4617">
        <w:trPr>
          <w:cantSplit/>
          <w:trHeight w:val="113"/>
          <w:tblCellSpacing w:w="15" w:type="dxa"/>
          <w:jc w:val="center"/>
        </w:trPr>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P1 Eastern region</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depth=7;iterations=200;l2_leaf_reg=10;learning_rate=0.1;rsm=1.0</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370.9057</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38.5992%</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P2 Central region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XGBoost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24</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colsample_bytree=1.0;gamma=0.1;learning_rate=0.01;max_depth=2;min_child_weight=10;n_estimators=1200;reg_alpha=0.01;reg_lambda=5;subsample=0.9</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288.7354</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4.4009%</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P3 Western region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depth=5;iterations=200;l2_leaf_reg=5;learning_rate=0.05;rsm=0.8</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802.9000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35.7364%</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P4 State-owned enterprises</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depth=7;iterations=1000;l2_leaf_reg=7;learning_rate=0.01;rsm=1.0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315.9959</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50.1043%</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lastRenderedPageBreak/>
              <w:t>P5 Non-state-owned enterprises</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depth=7;iterations=1000;l2_leaf_reg=7;learning_rate=0.01;rsm=1.0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423.1664</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32.3196%</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P6 Large enterprises</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XGBoost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24</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colsample_bytree=0.9;gamma=0.1;learning_rate=0.01;max_depth=4;min_child_weight=20;n_estimators=800;reg_alpha=0.01;reg_lambda=20;subsample=0.9</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489.0797</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26.9861%</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P7 Small enterprises</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depth=7;iterations=1000;l2_leaf_reg=7;learning_rate=0.01;rsm=1.0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397.5194</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38.2845%</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P8 Agriculture-related enterprises</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depth=7;iterations=200;l2_leaf_reg=10;learning_rate=0.1;rsm=1.0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394.1116</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39.1027%</w:t>
            </w:r>
          </w:p>
        </w:tc>
      </w:tr>
      <w:tr w:rsidR="004C4617">
        <w:trPr>
          <w:cantSplit/>
          <w:trHeight w:val="113"/>
          <w:tblCellSpacing w:w="15" w:type="dxa"/>
          <w:jc w:val="center"/>
        </w:trPr>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P9 Forestry-related enterprises</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CatBoost</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Randomized search + cross-validation</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5</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depth=7;iterations=1000;l2_leaf_reg=7;learning_rate=0.01;rsm=1.0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381.0720</w:t>
            </w:r>
          </w:p>
        </w:tc>
        <w:tc>
          <w:tcPr>
            <w:tcW w:w="0" w:type="auto"/>
            <w:tcMar>
              <w:top w:w="35" w:type="dxa"/>
              <w:left w:w="45" w:type="dxa"/>
              <w:bottom w:w="35" w:type="dxa"/>
              <w:right w:w="45" w:type="dxa"/>
            </w:tcMar>
            <w:vAlign w:val="center"/>
          </w:tcPr>
          <w:p w:rsidR="004C4617" w:rsidRDefault="00FA4B2D">
            <w:pPr>
              <w:jc w:val="center"/>
              <w:rPr>
                <w:sz w:val="15"/>
                <w:szCs w:val="15"/>
              </w:rPr>
            </w:pPr>
            <w:r>
              <w:rPr>
                <w:rFonts w:ascii="Times New Roman" w:hAnsi="Times New Roman"/>
                <w:sz w:val="15"/>
                <w:szCs w:val="15"/>
              </w:rPr>
              <w:t>29.3441%</w:t>
            </w:r>
          </w:p>
        </w:tc>
      </w:tr>
    </w:tbl>
    <w:p w:rsidR="004C4617" w:rsidRDefault="00FA4B2D">
      <w:pPr>
        <w:widowControl w:val="0"/>
        <w:jc w:val="both"/>
        <w:rPr>
          <w:rFonts w:ascii="Times New Roman" w:hAnsi="Times New Roman" w:cs="Times New Roman"/>
          <w:sz w:val="15"/>
          <w:szCs w:val="15"/>
        </w:rPr>
      </w:pPr>
      <w:r>
        <w:rPr>
          <w:rFonts w:ascii="Times New Roman" w:hAnsi="Times New Roman" w:cs="Times New Roman"/>
          <w:b/>
          <w:bCs/>
          <w:snapToGrid w:val="0"/>
          <w:kern w:val="44"/>
          <w:sz w:val="15"/>
          <w:szCs w:val="15"/>
        </w:rPr>
        <w:t>Note:</w:t>
      </w:r>
      <w:r>
        <w:rPr>
          <w:rFonts w:ascii="Times New Roman" w:hAnsi="Times New Roman" w:cs="Times New Roman"/>
          <w:bCs/>
          <w:snapToGrid w:val="0"/>
          <w:kern w:val="44"/>
          <w:sz w:val="15"/>
          <w:szCs w:val="15"/>
        </w:rPr>
        <w:t xml:space="preserve"> In the state-owned and non-state-owned enterprise subsample analyses, </w:t>
      </w:r>
      <w:r>
        <w:rPr>
          <w:rFonts w:ascii="Times New Roman" w:hAnsi="Times New Roman" w:cs="Times New Roman"/>
          <w:bCs/>
          <w:i/>
          <w:iCs/>
          <w:snapToGrid w:val="0"/>
          <w:kern w:val="44"/>
          <w:sz w:val="15"/>
          <w:szCs w:val="15"/>
        </w:rPr>
        <w:t>SOE</w:t>
      </w:r>
      <w:r>
        <w:rPr>
          <w:rFonts w:ascii="Times New Roman" w:hAnsi="Times New Roman" w:cs="Times New Roman"/>
          <w:bCs/>
          <w:snapToGrid w:val="0"/>
          <w:kern w:val="44"/>
          <w:sz w:val="15"/>
          <w:szCs w:val="15"/>
        </w:rPr>
        <w:t xml:space="preserve">, which serves as the grouping variable, is excluded from the model inputs. Accordingly, </w:t>
      </w:r>
      <w:r>
        <w:rPr>
          <w:rFonts w:ascii="Times New Roman" w:hAnsi="Times New Roman" w:cs="Times New Roman"/>
          <w:bCs/>
          <w:i/>
          <w:iCs/>
          <w:snapToGrid w:val="0"/>
          <w:kern w:val="44"/>
          <w:sz w:val="15"/>
          <w:szCs w:val="15"/>
        </w:rPr>
        <w:t>SOE</w:t>
      </w:r>
      <w:r>
        <w:rPr>
          <w:rFonts w:ascii="Times New Roman" w:hAnsi="Times New Roman" w:cs="Times New Roman"/>
          <w:bCs/>
          <w:snapToGrid w:val="0"/>
          <w:kern w:val="44"/>
          <w:sz w:val="15"/>
          <w:szCs w:val="15"/>
        </w:rPr>
        <w:t xml:space="preserve"> is also excluded when constructing the corresponding composite index of regulative </w:t>
      </w:r>
      <w:r w:rsidR="00A0733A" w:rsidRPr="00A0733A">
        <w:rPr>
          <w:rFonts w:ascii="Times New Roman" w:hAnsi="Times New Roman" w:cs="Times New Roman" w:hint="eastAsia"/>
          <w:bCs/>
          <w:i/>
          <w:snapToGrid w:val="0"/>
          <w:kern w:val="44"/>
          <w:sz w:val="15"/>
          <w:szCs w:val="15"/>
        </w:rPr>
        <w:t>IE</w:t>
      </w:r>
      <w:r>
        <w:rPr>
          <w:rFonts w:ascii="Times New Roman" w:hAnsi="Times New Roman" w:cs="Times New Roman"/>
          <w:bCs/>
          <w:snapToGrid w:val="0"/>
          <w:kern w:val="44"/>
          <w:sz w:val="15"/>
          <w:szCs w:val="15"/>
        </w:rPr>
        <w:t xml:space="preserve">, and </w:t>
      </w:r>
      <w:r w:rsidR="00A0733A" w:rsidRPr="00A0733A">
        <w:rPr>
          <w:rFonts w:ascii="Times New Roman" w:hAnsi="Times New Roman" w:cs="Times New Roman"/>
          <w:bCs/>
          <w:i/>
          <w:iCs/>
          <w:snapToGrid w:val="0"/>
          <w:kern w:val="44"/>
          <w:sz w:val="15"/>
          <w:szCs w:val="15"/>
        </w:rPr>
        <w:t>RII</w:t>
      </w:r>
      <w:r>
        <w:rPr>
          <w:rFonts w:ascii="Times New Roman" w:hAnsi="Times New Roman" w:cs="Times New Roman"/>
          <w:bCs/>
          <w:snapToGrid w:val="0"/>
          <w:kern w:val="44"/>
          <w:sz w:val="15"/>
          <w:szCs w:val="15"/>
        </w:rPr>
        <w:t xml:space="preserve"> is recalculated using the remaining regulative </w:t>
      </w:r>
      <w:r w:rsidR="00A0733A" w:rsidRPr="00A0733A">
        <w:rPr>
          <w:rFonts w:ascii="Times New Roman" w:hAnsi="Times New Roman" w:cs="Times New Roman" w:hint="eastAsia"/>
          <w:bCs/>
          <w:i/>
          <w:snapToGrid w:val="0"/>
          <w:kern w:val="44"/>
          <w:sz w:val="15"/>
          <w:szCs w:val="15"/>
        </w:rPr>
        <w:t>IE</w:t>
      </w:r>
      <w:r>
        <w:rPr>
          <w:rFonts w:ascii="Times New Roman" w:hAnsi="Times New Roman" w:cs="Times New Roman"/>
          <w:bCs/>
          <w:snapToGrid w:val="0"/>
          <w:kern w:val="44"/>
          <w:sz w:val="15"/>
          <w:szCs w:val="15"/>
        </w:rPr>
        <w:t>.</w:t>
      </w:r>
    </w:p>
    <w:p w:rsidR="004C4617" w:rsidRDefault="00CC6B3B">
      <w:pPr>
        <w:spacing w:line="360" w:lineRule="auto"/>
        <w:jc w:val="both"/>
        <w:outlineLvl w:val="0"/>
        <w:rPr>
          <w:rFonts w:ascii="Times New Roman" w:hAnsi="Times New Roman" w:cs="Times New Roman"/>
          <w:b/>
          <w:bCs/>
          <w:snapToGrid w:val="0"/>
          <w:color w:val="000000" w:themeColor="text1"/>
          <w:kern w:val="44"/>
          <w:sz w:val="21"/>
          <w:szCs w:val="21"/>
        </w:rPr>
      </w:pPr>
      <w:r w:rsidRPr="00CC6B3B">
        <w:rPr>
          <w:rFonts w:ascii="Times New Roman" w:hAnsi="Times New Roman" w:cs="Times New Roman"/>
          <w:b/>
          <w:bCs/>
          <w:snapToGrid w:val="0"/>
          <w:color w:val="000000" w:themeColor="text1"/>
          <w:kern w:val="44"/>
          <w:sz w:val="21"/>
          <w:szCs w:val="21"/>
        </w:rPr>
        <w:t>Supplementary Appendix E. Robustness and sensitivity analysis</w:t>
      </w:r>
    </w:p>
    <w:p w:rsidR="004C4617" w:rsidRDefault="00FA4B2D">
      <w:pPr>
        <w:ind w:firstLineChars="200" w:firstLine="420"/>
        <w:jc w:val="both"/>
        <w:rPr>
          <w:rFonts w:ascii="Times New Roman" w:hAnsi="Times New Roman" w:cs="Times New Roman"/>
          <w:bCs/>
          <w:snapToGrid w:val="0"/>
          <w:kern w:val="44"/>
          <w:sz w:val="21"/>
          <w:szCs w:val="44"/>
        </w:rPr>
      </w:pPr>
      <w:r>
        <w:rPr>
          <w:rFonts w:ascii="Times New Roman" w:hAnsi="Times New Roman" w:cs="Times New Roman"/>
          <w:bCs/>
          <w:snapToGrid w:val="0"/>
          <w:kern w:val="44"/>
          <w:sz w:val="21"/>
          <w:szCs w:val="44"/>
        </w:rPr>
        <w:t>This study further conducts robustness and sensitivity analyses from three perspectives: replacing the GBDT implementation, adjusting the core hyperparameters, and changing the sample time window. Model performance under these alternative settings is then compared with that of the baseline model.</w:t>
      </w:r>
    </w:p>
    <w:p w:rsidR="004C4617" w:rsidRDefault="00FA4B2D">
      <w:pPr>
        <w:ind w:firstLineChars="200" w:firstLine="360"/>
        <w:jc w:val="center"/>
        <w:rPr>
          <w:rFonts w:ascii="Times New Roman" w:hAnsi="Times New Roman" w:cs="Times New Roman"/>
          <w:bCs/>
          <w:snapToGrid w:val="0"/>
          <w:kern w:val="44"/>
          <w:sz w:val="18"/>
          <w:szCs w:val="18"/>
        </w:rPr>
      </w:pPr>
      <w:r>
        <w:rPr>
          <w:rFonts w:ascii="Times New Roman" w:hAnsi="Times New Roman" w:cs="Times New Roman"/>
          <w:bCs/>
          <w:snapToGrid w:val="0"/>
          <w:kern w:val="44"/>
          <w:sz w:val="18"/>
          <w:szCs w:val="18"/>
        </w:rPr>
        <w:t>Table E.1. Results of robustness and sensitivity analyses</w:t>
      </w:r>
    </w:p>
    <w:tbl>
      <w:tblPr>
        <w:tblW w:w="10206" w:type="dxa"/>
        <w:jc w:val="center"/>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114"/>
        <w:gridCol w:w="3805"/>
        <w:gridCol w:w="705"/>
        <w:gridCol w:w="795"/>
        <w:gridCol w:w="615"/>
        <w:gridCol w:w="705"/>
        <w:gridCol w:w="795"/>
        <w:gridCol w:w="672"/>
      </w:tblGrid>
      <w:tr w:rsidR="004C4617">
        <w:trPr>
          <w:cantSplit/>
          <w:tblHeader/>
          <w:tblCellSpacing w:w="15" w:type="dxa"/>
          <w:jc w:val="center"/>
        </w:trPr>
        <w:tc>
          <w:tcPr>
            <w:tcW w:w="0" w:type="auto"/>
            <w:vAlign w:val="center"/>
          </w:tcPr>
          <w:p w:rsidR="004C4617" w:rsidRDefault="00FA4B2D">
            <w:pPr>
              <w:jc w:val="center"/>
              <w:rPr>
                <w:rFonts w:ascii="Times New Roman" w:hAnsi="Times New Roman" w:cs="Times New Roman"/>
                <w:bCs/>
                <w:sz w:val="18"/>
                <w:szCs w:val="18"/>
              </w:rPr>
            </w:pPr>
            <w:r>
              <w:rPr>
                <w:rFonts w:ascii="Times New Roman" w:hAnsi="Times New Roman" w:cs="Times New Roman"/>
                <w:bCs/>
                <w:sz w:val="18"/>
                <w:szCs w:val="18"/>
              </w:rPr>
              <w:t>Test setting</w:t>
            </w:r>
          </w:p>
        </w:tc>
        <w:tc>
          <w:tcPr>
            <w:tcW w:w="0" w:type="auto"/>
            <w:vAlign w:val="center"/>
          </w:tcPr>
          <w:p w:rsidR="004C4617" w:rsidRDefault="00FA4B2D">
            <w:pPr>
              <w:jc w:val="center"/>
              <w:rPr>
                <w:rFonts w:ascii="Times New Roman" w:hAnsi="Times New Roman" w:cs="Times New Roman"/>
                <w:bCs/>
                <w:sz w:val="18"/>
                <w:szCs w:val="18"/>
              </w:rPr>
            </w:pPr>
            <w:r>
              <w:rPr>
                <w:rFonts w:ascii="Times New Roman" w:hAnsi="Times New Roman" w:cs="Times New Roman"/>
                <w:bCs/>
                <w:sz w:val="18"/>
                <w:szCs w:val="18"/>
              </w:rPr>
              <w:t>Specification</w:t>
            </w:r>
          </w:p>
        </w:tc>
        <w:tc>
          <w:tcPr>
            <w:tcW w:w="0" w:type="auto"/>
            <w:vAlign w:val="center"/>
          </w:tcPr>
          <w:p w:rsidR="004C4617" w:rsidRDefault="00190974">
            <w:pPr>
              <w:jc w:val="center"/>
              <w:rPr>
                <w:rFonts w:ascii="Times New Roman" w:hAnsi="Times New Roman" w:cs="Times New Roman"/>
                <w:bCs/>
                <w:sz w:val="18"/>
                <w:szCs w:val="18"/>
              </w:rPr>
            </w:pPr>
            <m:oMath>
              <m:sSubSup>
                <m:sSubSupPr>
                  <m:ctrlPr>
                    <w:rPr>
                      <w:rFonts w:ascii="Cambria Math" w:hAnsi="Cambria Math" w:cs="Times New Roman"/>
                      <w:bCs/>
                      <w:snapToGrid w:val="0"/>
                      <w:color w:val="000000" w:themeColor="text1"/>
                      <w:kern w:val="44"/>
                      <w:sz w:val="18"/>
                      <w:szCs w:val="18"/>
                    </w:rPr>
                  </m:ctrlPr>
                </m:sSubSupPr>
                <m:e>
                  <m:r>
                    <w:rPr>
                      <w:rFonts w:ascii="Cambria Math" w:hAnsi="Cambria Math" w:cs="Times New Roman"/>
                      <w:snapToGrid w:val="0"/>
                      <w:color w:val="000000" w:themeColor="text1"/>
                      <w:kern w:val="44"/>
                      <w:sz w:val="18"/>
                      <w:szCs w:val="18"/>
                    </w:rPr>
                    <m:t>R</m:t>
                  </m:r>
                </m:e>
                <m:sub>
                  <m:r>
                    <w:rPr>
                      <w:rFonts w:ascii="Cambria Math" w:hAnsi="Cambria Math" w:cs="Times New Roman" w:hint="eastAsia"/>
                      <w:snapToGrid w:val="0"/>
                      <w:color w:val="000000" w:themeColor="text1"/>
                      <w:kern w:val="44"/>
                      <w:sz w:val="18"/>
                      <w:szCs w:val="18"/>
                    </w:rPr>
                    <m:t>is</m:t>
                  </m:r>
                </m:sub>
                <m:sup>
                  <m:r>
                    <m:rPr>
                      <m:sty m:val="p"/>
                    </m:rPr>
                    <w:rPr>
                      <w:rFonts w:ascii="Cambria Math" w:hAnsi="Cambria Math" w:cs="Times New Roman"/>
                      <w:snapToGrid w:val="0"/>
                      <w:color w:val="000000" w:themeColor="text1"/>
                      <w:kern w:val="44"/>
                      <w:sz w:val="18"/>
                      <w:szCs w:val="18"/>
                    </w:rPr>
                    <m:t>2</m:t>
                  </m:r>
                </m:sup>
              </m:sSubSup>
            </m:oMath>
            <w:r w:rsidR="00FA4B2D">
              <w:rPr>
                <w:rFonts w:ascii="Times New Roman" w:hAnsi="Times New Roman" w:cs="Times New Roman"/>
                <w:bCs/>
                <w:snapToGrid w:val="0"/>
                <w:color w:val="000000" w:themeColor="text1"/>
                <w:kern w:val="44"/>
                <w:sz w:val="18"/>
                <w:szCs w:val="18"/>
              </w:rPr>
              <w:t>(%)</w:t>
            </w:r>
          </w:p>
        </w:tc>
        <w:tc>
          <w:tcPr>
            <w:tcW w:w="0" w:type="auto"/>
            <w:vAlign w:val="center"/>
          </w:tcPr>
          <w:p w:rsidR="004C4617" w:rsidRDefault="00190974">
            <w:pPr>
              <w:jc w:val="center"/>
              <w:rPr>
                <w:rFonts w:ascii="Times New Roman" w:hAnsi="Times New Roman" w:cs="Times New Roman"/>
                <w:bCs/>
                <w:sz w:val="18"/>
                <w:szCs w:val="18"/>
              </w:rPr>
            </w:pPr>
            <m:oMathPara>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MSE</m:t>
                    </m:r>
                  </m:e>
                  <m:sub>
                    <m:r>
                      <w:rPr>
                        <w:rFonts w:ascii="Cambria Math" w:hAnsi="Cambria Math" w:cs="Times New Roman"/>
                        <w:snapToGrid w:val="0"/>
                        <w:color w:val="000000" w:themeColor="text1"/>
                        <w:kern w:val="44"/>
                        <w:sz w:val="18"/>
                        <w:szCs w:val="18"/>
                      </w:rPr>
                      <m:t>is</m:t>
                    </m:r>
                  </m:sub>
                </m:sSub>
              </m:oMath>
            </m:oMathPara>
          </w:p>
        </w:tc>
        <w:tc>
          <w:tcPr>
            <w:tcW w:w="0" w:type="auto"/>
            <w:vAlign w:val="center"/>
          </w:tcPr>
          <w:p w:rsidR="004C4617" w:rsidRDefault="00190974">
            <w:pPr>
              <w:jc w:val="center"/>
              <w:rPr>
                <w:rFonts w:ascii="Times New Roman" w:hAnsi="Times New Roman" w:cs="Times New Roman"/>
                <w:bCs/>
                <w:sz w:val="18"/>
                <w:szCs w:val="18"/>
              </w:rPr>
            </w:pPr>
            <m:oMathPara>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MAE</m:t>
                    </m:r>
                  </m:e>
                  <m:sub>
                    <m:r>
                      <w:rPr>
                        <w:rFonts w:ascii="Cambria Math" w:hAnsi="Cambria Math" w:cs="Times New Roman"/>
                        <w:snapToGrid w:val="0"/>
                        <w:color w:val="000000" w:themeColor="text1"/>
                        <w:kern w:val="44"/>
                        <w:sz w:val="18"/>
                        <w:szCs w:val="18"/>
                      </w:rPr>
                      <m:t>is</m:t>
                    </m:r>
                  </m:sub>
                </m:sSub>
              </m:oMath>
            </m:oMathPara>
          </w:p>
        </w:tc>
        <w:tc>
          <w:tcPr>
            <w:tcW w:w="0" w:type="auto"/>
            <w:vAlign w:val="center"/>
          </w:tcPr>
          <w:p w:rsidR="004C4617" w:rsidRDefault="00190974">
            <w:pPr>
              <w:jc w:val="center"/>
              <w:rPr>
                <w:rFonts w:ascii="Times New Roman" w:hAnsi="Times New Roman" w:cs="Times New Roman"/>
                <w:bCs/>
                <w:snapToGrid w:val="0"/>
                <w:color w:val="000000" w:themeColor="text1"/>
                <w:kern w:val="44"/>
                <w:sz w:val="18"/>
                <w:szCs w:val="18"/>
              </w:rPr>
            </w:pPr>
            <m:oMath>
              <m:sSubSup>
                <m:sSubSupPr>
                  <m:ctrlPr>
                    <w:rPr>
                      <w:rFonts w:ascii="Cambria Math" w:hAnsi="Cambria Math" w:cs="Times New Roman"/>
                      <w:bCs/>
                      <w:snapToGrid w:val="0"/>
                      <w:color w:val="000000" w:themeColor="text1"/>
                      <w:kern w:val="44"/>
                      <w:sz w:val="18"/>
                      <w:szCs w:val="18"/>
                    </w:rPr>
                  </m:ctrlPr>
                </m:sSubSupPr>
                <m:e>
                  <m:r>
                    <w:rPr>
                      <w:rFonts w:ascii="Cambria Math" w:hAnsi="Cambria Math" w:cs="Times New Roman"/>
                      <w:snapToGrid w:val="0"/>
                      <w:color w:val="000000" w:themeColor="text1"/>
                      <w:kern w:val="44"/>
                      <w:sz w:val="18"/>
                      <w:szCs w:val="18"/>
                    </w:rPr>
                    <m:t>R</m:t>
                  </m:r>
                </m:e>
                <m:sub>
                  <m:r>
                    <w:rPr>
                      <w:rFonts w:ascii="Cambria Math" w:hAnsi="Cambria Math" w:cs="Times New Roman"/>
                      <w:snapToGrid w:val="0"/>
                      <w:color w:val="000000" w:themeColor="text1"/>
                      <w:kern w:val="44"/>
                      <w:sz w:val="18"/>
                      <w:szCs w:val="18"/>
                    </w:rPr>
                    <m:t>oos</m:t>
                  </m:r>
                </m:sub>
                <m:sup>
                  <m:r>
                    <m:rPr>
                      <m:sty m:val="p"/>
                    </m:rPr>
                    <w:rPr>
                      <w:rFonts w:ascii="Cambria Math" w:hAnsi="Cambria Math" w:cs="Times New Roman"/>
                      <w:snapToGrid w:val="0"/>
                      <w:color w:val="000000" w:themeColor="text1"/>
                      <w:kern w:val="44"/>
                      <w:sz w:val="18"/>
                      <w:szCs w:val="18"/>
                    </w:rPr>
                    <m:t>2</m:t>
                  </m:r>
                </m:sup>
              </m:sSubSup>
            </m:oMath>
            <w:r w:rsidR="00FA4B2D">
              <w:rPr>
                <w:rFonts w:ascii="Times New Roman" w:hAnsi="Times New Roman" w:cs="Times New Roman"/>
                <w:bCs/>
                <w:snapToGrid w:val="0"/>
                <w:color w:val="000000" w:themeColor="text1"/>
                <w:kern w:val="44"/>
                <w:sz w:val="18"/>
                <w:szCs w:val="18"/>
              </w:rPr>
              <w:t>(%)</w:t>
            </w:r>
          </w:p>
        </w:tc>
        <w:tc>
          <w:tcPr>
            <w:tcW w:w="0" w:type="auto"/>
            <w:vAlign w:val="center"/>
          </w:tcPr>
          <w:p w:rsidR="004C4617" w:rsidRDefault="00190974">
            <w:pPr>
              <w:rPr>
                <w:rFonts w:ascii="Times New Roman" w:hAnsi="Times New Roman" w:cs="Times New Roman"/>
                <w:bCs/>
                <w:sz w:val="18"/>
                <w:szCs w:val="18"/>
              </w:rPr>
            </w:pPr>
            <m:oMathPara>
              <m:oMathParaPr>
                <m:jc m:val="center"/>
              </m:oMathParaPr>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MSE</m:t>
                    </m:r>
                  </m:e>
                  <m:sub>
                    <m:r>
                      <w:rPr>
                        <w:rFonts w:ascii="Cambria Math" w:hAnsi="Cambria Math" w:cs="Times New Roman"/>
                        <w:snapToGrid w:val="0"/>
                        <w:color w:val="000000" w:themeColor="text1"/>
                        <w:kern w:val="44"/>
                        <w:sz w:val="18"/>
                        <w:szCs w:val="18"/>
                      </w:rPr>
                      <m:t>oos</m:t>
                    </m:r>
                  </m:sub>
                </m:sSub>
              </m:oMath>
            </m:oMathPara>
          </w:p>
        </w:tc>
        <w:tc>
          <w:tcPr>
            <w:tcW w:w="0" w:type="auto"/>
            <w:vAlign w:val="center"/>
          </w:tcPr>
          <w:p w:rsidR="004C4617" w:rsidRDefault="00190974">
            <w:pPr>
              <w:jc w:val="center"/>
              <w:rPr>
                <w:rFonts w:ascii="Times New Roman" w:hAnsi="Times New Roman" w:cs="Times New Roman"/>
                <w:bCs/>
                <w:sz w:val="18"/>
                <w:szCs w:val="18"/>
              </w:rPr>
            </w:pPr>
            <m:oMathPara>
              <m:oMath>
                <m:sSub>
                  <m:sSubPr>
                    <m:ctrlPr>
                      <w:rPr>
                        <w:rFonts w:ascii="Cambria Math" w:hAnsi="Cambria Math" w:cs="Times New Roman"/>
                        <w:bCs/>
                        <w:snapToGrid w:val="0"/>
                        <w:color w:val="000000" w:themeColor="text1"/>
                        <w:kern w:val="44"/>
                        <w:sz w:val="18"/>
                        <w:szCs w:val="18"/>
                      </w:rPr>
                    </m:ctrlPr>
                  </m:sSubPr>
                  <m:e>
                    <m:r>
                      <w:rPr>
                        <w:rFonts w:ascii="Cambria Math" w:hAnsi="Cambria Math" w:cs="Times New Roman"/>
                        <w:snapToGrid w:val="0"/>
                        <w:color w:val="000000" w:themeColor="text1"/>
                        <w:kern w:val="44"/>
                        <w:sz w:val="18"/>
                        <w:szCs w:val="18"/>
                      </w:rPr>
                      <m:t>MAE</m:t>
                    </m:r>
                  </m:e>
                  <m:sub>
                    <m:r>
                      <w:rPr>
                        <w:rFonts w:ascii="Cambria Math" w:hAnsi="Cambria Math" w:cs="Times New Roman"/>
                        <w:snapToGrid w:val="0"/>
                        <w:color w:val="000000" w:themeColor="text1"/>
                        <w:kern w:val="44"/>
                        <w:sz w:val="18"/>
                        <w:szCs w:val="18"/>
                      </w:rPr>
                      <m:t>oos</m:t>
                    </m:r>
                  </m:sub>
                </m:sSub>
              </m:oMath>
            </m:oMathPara>
          </w:p>
        </w:tc>
      </w:tr>
      <w:tr w:rsidR="004C4617">
        <w:trPr>
          <w:cantSplit/>
          <w:tblCellSpacing w:w="15" w:type="dxa"/>
          <w:jc w:val="center"/>
        </w:trPr>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rFonts w:ascii="Times New Roman" w:hAnsi="Times New Roman" w:cs="Times New Roman"/>
                <w:sz w:val="18"/>
                <w:szCs w:val="18"/>
              </w:rPr>
            </w:pPr>
            <w:r>
              <w:rPr>
                <w:rFonts w:ascii="Times New Roman" w:hAnsi="Times New Roman" w:cs="Times New Roman"/>
                <w:sz w:val="18"/>
                <w:szCs w:val="18"/>
              </w:rPr>
              <w:t>Panel A Baseline model</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CatBoost baseline model(iterations=1000,learning_rate=0.01)</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52.0597</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313.0719</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6.5234</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43.6747</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317.8345</w:t>
            </w:r>
          </w:p>
        </w:tc>
        <w:tc>
          <w:tcPr>
            <w:tcW w:w="0" w:type="auto"/>
            <w:tcBorders>
              <w:top w:val="single" w:sz="6" w:space="0" w:color="auto"/>
              <w:bottom w:val="nil"/>
            </w:tcBorders>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7.0670</w:t>
            </w:r>
          </w:p>
        </w:tc>
      </w:tr>
      <w:tr w:rsidR="004C4617">
        <w:trPr>
          <w:cantSplit/>
          <w:tblCellSpacing w:w="15" w:type="dxa"/>
          <w:jc w:val="center"/>
        </w:trPr>
        <w:tc>
          <w:tcPr>
            <w:tcW w:w="0" w:type="auto"/>
            <w:tcMar>
              <w:top w:w="35" w:type="dxa"/>
              <w:left w:w="45" w:type="dxa"/>
              <w:bottom w:w="35" w:type="dxa"/>
              <w:right w:w="45" w:type="dxa"/>
            </w:tcMar>
            <w:vAlign w:val="center"/>
          </w:tcPr>
          <w:p w:rsidR="004C4617" w:rsidRDefault="00FA4B2D">
            <w:pPr>
              <w:jc w:val="center"/>
              <w:rPr>
                <w:rFonts w:ascii="Times New Roman" w:hAnsi="Times New Roman" w:cs="Times New Roman"/>
                <w:sz w:val="18"/>
                <w:szCs w:val="18"/>
              </w:rPr>
            </w:pPr>
            <w:r>
              <w:rPr>
                <w:rFonts w:ascii="Times New Roman" w:hAnsi="Times New Roman" w:cs="Times New Roman"/>
                <w:sz w:val="18"/>
                <w:szCs w:val="18"/>
              </w:rPr>
              <w:t>Panel B Alternative GBDT implementation</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XGBoost</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62.7949</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242.9662</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5.7999</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43.0946</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321.1076</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7.1403</w:t>
            </w:r>
          </w:p>
        </w:tc>
      </w:tr>
      <w:tr w:rsidR="004C4617">
        <w:trPr>
          <w:cantSplit/>
          <w:tblCellSpacing w:w="15" w:type="dxa"/>
          <w:jc w:val="center"/>
        </w:trPr>
        <w:tc>
          <w:tcPr>
            <w:tcW w:w="0" w:type="auto"/>
            <w:tcMar>
              <w:top w:w="35" w:type="dxa"/>
              <w:left w:w="45" w:type="dxa"/>
              <w:bottom w:w="35" w:type="dxa"/>
              <w:right w:w="45" w:type="dxa"/>
            </w:tcMar>
            <w:vAlign w:val="center"/>
          </w:tcPr>
          <w:p w:rsidR="004C4617" w:rsidRDefault="00FA4B2D">
            <w:pPr>
              <w:jc w:val="center"/>
              <w:rPr>
                <w:rFonts w:ascii="Times New Roman" w:hAnsi="Times New Roman" w:cs="Times New Roman"/>
                <w:sz w:val="18"/>
                <w:szCs w:val="18"/>
              </w:rPr>
            </w:pPr>
            <w:r>
              <w:rPr>
                <w:rFonts w:ascii="Times New Roman" w:hAnsi="Times New Roman" w:cs="Times New Roman"/>
                <w:sz w:val="18"/>
                <w:szCs w:val="18"/>
              </w:rPr>
              <w:t>Panel C Core hyperparameter adjustment</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iterations=200,learning_rate=0.01</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33.7678</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432.5265</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7.8672</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35.5069</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363.9239</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7.7703</w:t>
            </w:r>
          </w:p>
        </w:tc>
      </w:tr>
      <w:tr w:rsidR="004C4617">
        <w:trPr>
          <w:cantSplit/>
          <w:tblCellSpacing w:w="15" w:type="dxa"/>
          <w:jc w:val="center"/>
        </w:trPr>
        <w:tc>
          <w:tcPr>
            <w:tcW w:w="0" w:type="auto"/>
            <w:tcMar>
              <w:top w:w="35" w:type="dxa"/>
              <w:left w:w="45" w:type="dxa"/>
              <w:bottom w:w="35" w:type="dxa"/>
              <w:right w:w="45" w:type="dxa"/>
            </w:tcMar>
            <w:vAlign w:val="center"/>
          </w:tcPr>
          <w:p w:rsidR="004C4617" w:rsidRDefault="004C4617">
            <w:pPr>
              <w:jc w:val="center"/>
              <w:rPr>
                <w:rFonts w:ascii="Times New Roman" w:hAnsi="Times New Roman" w:cs="Times New Roman"/>
                <w:sz w:val="18"/>
                <w:szCs w:val="18"/>
              </w:rPr>
            </w:pP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iterations=200,learning_rate=0.05</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51.8830</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314.2257</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6.5740</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42.9925</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321.6836</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7.1338</w:t>
            </w:r>
          </w:p>
        </w:tc>
      </w:tr>
      <w:tr w:rsidR="004C4617">
        <w:trPr>
          <w:cantSplit/>
          <w:tblCellSpacing w:w="15" w:type="dxa"/>
          <w:jc w:val="center"/>
        </w:trPr>
        <w:tc>
          <w:tcPr>
            <w:tcW w:w="0" w:type="auto"/>
            <w:tcMar>
              <w:top w:w="35" w:type="dxa"/>
              <w:left w:w="45" w:type="dxa"/>
              <w:bottom w:w="35" w:type="dxa"/>
              <w:right w:w="45" w:type="dxa"/>
            </w:tcMar>
            <w:vAlign w:val="center"/>
          </w:tcPr>
          <w:p w:rsidR="004C4617" w:rsidRDefault="004C4617">
            <w:pPr>
              <w:jc w:val="center"/>
              <w:rPr>
                <w:rFonts w:ascii="Times New Roman" w:hAnsi="Times New Roman" w:cs="Times New Roman"/>
                <w:sz w:val="18"/>
                <w:szCs w:val="18"/>
              </w:rPr>
            </w:pP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iterations=1000,learning_rate=0.01</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52.0597</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313.0719</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6.5234</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43.6747</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317.8345</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7.0670</w:t>
            </w:r>
          </w:p>
        </w:tc>
      </w:tr>
      <w:tr w:rsidR="004C4617">
        <w:trPr>
          <w:cantSplit/>
          <w:tblCellSpacing w:w="15" w:type="dxa"/>
          <w:jc w:val="center"/>
        </w:trPr>
        <w:tc>
          <w:tcPr>
            <w:tcW w:w="0" w:type="auto"/>
            <w:tcMar>
              <w:top w:w="35" w:type="dxa"/>
              <w:left w:w="45" w:type="dxa"/>
              <w:bottom w:w="35" w:type="dxa"/>
              <w:right w:w="45" w:type="dxa"/>
            </w:tcMar>
            <w:vAlign w:val="center"/>
          </w:tcPr>
          <w:p w:rsidR="004C4617" w:rsidRDefault="004C4617">
            <w:pPr>
              <w:jc w:val="center"/>
              <w:rPr>
                <w:rFonts w:ascii="Times New Roman" w:hAnsi="Times New Roman" w:cs="Times New Roman"/>
                <w:sz w:val="18"/>
                <w:szCs w:val="18"/>
              </w:rPr>
            </w:pP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iterations=1000,learning_rate=0.05</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72.5457</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179.2893</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5.4855</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43.5952</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318.2827</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7.3220</w:t>
            </w:r>
          </w:p>
        </w:tc>
      </w:tr>
      <w:tr w:rsidR="004C4617">
        <w:trPr>
          <w:cantSplit/>
          <w:tblCellSpacing w:w="15" w:type="dxa"/>
          <w:jc w:val="center"/>
        </w:trPr>
        <w:tc>
          <w:tcPr>
            <w:tcW w:w="0" w:type="auto"/>
            <w:tcMar>
              <w:top w:w="35" w:type="dxa"/>
              <w:left w:w="45" w:type="dxa"/>
              <w:bottom w:w="35" w:type="dxa"/>
              <w:right w:w="45" w:type="dxa"/>
            </w:tcMar>
            <w:vAlign w:val="center"/>
          </w:tcPr>
          <w:p w:rsidR="004C4617" w:rsidRDefault="00FA4B2D">
            <w:pPr>
              <w:jc w:val="center"/>
              <w:rPr>
                <w:rFonts w:ascii="Times New Roman" w:hAnsi="Times New Roman" w:cs="Times New Roman"/>
                <w:sz w:val="18"/>
                <w:szCs w:val="18"/>
              </w:rPr>
            </w:pPr>
            <w:r>
              <w:rPr>
                <w:rFonts w:ascii="Times New Roman" w:hAnsi="Times New Roman" w:cs="Times New Roman"/>
                <w:sz w:val="18"/>
                <w:szCs w:val="18"/>
              </w:rPr>
              <w:t>Panel D Sample-window adjustment</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2008-2025</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51.4064</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285.7116</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6.3106</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30.9451</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476.6978</w:t>
            </w:r>
          </w:p>
        </w:tc>
        <w:tc>
          <w:tcPr>
            <w:tcW w:w="0" w:type="auto"/>
            <w:tcMar>
              <w:top w:w="35" w:type="dxa"/>
              <w:left w:w="45" w:type="dxa"/>
              <w:bottom w:w="35" w:type="dxa"/>
              <w:right w:w="45" w:type="dxa"/>
            </w:tcMar>
            <w:vAlign w:val="center"/>
          </w:tcPr>
          <w:p w:rsidR="004C4617" w:rsidRDefault="00FA4B2D">
            <w:pPr>
              <w:jc w:val="center"/>
              <w:rPr>
                <w:sz w:val="18"/>
                <w:szCs w:val="18"/>
              </w:rPr>
            </w:pPr>
            <w:r>
              <w:rPr>
                <w:rFonts w:ascii="Times New Roman" w:hAnsi="Times New Roman"/>
                <w:sz w:val="18"/>
                <w:szCs w:val="18"/>
              </w:rPr>
              <w:t>7.6783</w:t>
            </w:r>
          </w:p>
        </w:tc>
      </w:tr>
    </w:tbl>
    <w:p w:rsidR="00570F39" w:rsidRPr="00570F39" w:rsidRDefault="00570F39" w:rsidP="00570F39">
      <w:pPr>
        <w:spacing w:line="360" w:lineRule="auto"/>
        <w:jc w:val="both"/>
        <w:outlineLvl w:val="0"/>
        <w:rPr>
          <w:rFonts w:ascii="Times New Roman" w:hAnsi="Times New Roman" w:cs="Times New Roman"/>
          <w:b/>
          <w:bCs/>
          <w:snapToGrid w:val="0"/>
          <w:color w:val="000000" w:themeColor="text1"/>
          <w:kern w:val="44"/>
          <w:sz w:val="21"/>
          <w:szCs w:val="21"/>
        </w:rPr>
      </w:pPr>
      <w:r w:rsidRPr="00570F39">
        <w:rPr>
          <w:rFonts w:ascii="Times New Roman" w:hAnsi="Times New Roman" w:cs="Times New Roman"/>
          <w:b/>
          <w:bCs/>
          <w:snapToGrid w:val="0"/>
          <w:color w:val="000000" w:themeColor="text1"/>
          <w:kern w:val="44"/>
          <w:sz w:val="21"/>
          <w:szCs w:val="21"/>
        </w:rPr>
        <w:t>Supplementary References</w:t>
      </w:r>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Athey, S., &amp; Imbens, G. W. (2019). Machine learning methods that economists should know about. </w:t>
      </w:r>
      <w:r w:rsidRPr="00435904">
        <w:rPr>
          <w:rFonts w:ascii="Times New Roman" w:hAnsi="Times New Roman" w:cs="Times New Roman"/>
          <w:bCs/>
          <w:i/>
          <w:iCs/>
          <w:sz w:val="21"/>
          <w:szCs w:val="21"/>
        </w:rPr>
        <w:t>Annual Review of Economics, 11</w:t>
      </w:r>
      <w:r w:rsidRPr="00435904">
        <w:rPr>
          <w:rFonts w:ascii="Times New Roman" w:hAnsi="Times New Roman" w:cs="Times New Roman"/>
          <w:bCs/>
          <w:sz w:val="21"/>
          <w:szCs w:val="21"/>
        </w:rPr>
        <w:t xml:space="preserve">, 685–725. </w:t>
      </w:r>
      <w:hyperlink r:id="rId8" w:tgtFrame="_new" w:history="1">
        <w:r w:rsidRPr="00D625D8">
          <w:rPr>
            <w:rStyle w:val="af9"/>
            <w:rFonts w:ascii="Times New Roman" w:hAnsi="Times New Roman" w:cs="Times New Roman"/>
            <w:sz w:val="21"/>
            <w:szCs w:val="21"/>
          </w:rPr>
          <w:t>https://doi.org/10.1146/annurev-economics-080217-053433</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Barredo Arrieta, A., Díaz-Rodríguez, N., Del Ser, J., Bennetot, A., Tabik, S., Barbado, A., Garcia, S., Gil-Lopez, S., Molina, D., Benjamins, R., Chatila, R., &amp; Herrera, F. (2020). Explainable Artificial Intelligence (XAI): Concepts, taxonomies, </w:t>
      </w:r>
      <w:r w:rsidRPr="00435904">
        <w:rPr>
          <w:rFonts w:ascii="Times New Roman" w:hAnsi="Times New Roman" w:cs="Times New Roman"/>
          <w:bCs/>
          <w:sz w:val="21"/>
          <w:szCs w:val="21"/>
        </w:rPr>
        <w:lastRenderedPageBreak/>
        <w:t xml:space="preserve">opportunities and challenges toward responsible AI. </w:t>
      </w:r>
      <w:r w:rsidRPr="00435904">
        <w:rPr>
          <w:rFonts w:ascii="Times New Roman" w:hAnsi="Times New Roman" w:cs="Times New Roman"/>
          <w:bCs/>
          <w:i/>
          <w:iCs/>
          <w:sz w:val="21"/>
          <w:szCs w:val="21"/>
        </w:rPr>
        <w:t>Information Fusion, 58</w:t>
      </w:r>
      <w:r w:rsidRPr="00435904">
        <w:rPr>
          <w:rFonts w:ascii="Times New Roman" w:hAnsi="Times New Roman" w:cs="Times New Roman"/>
          <w:bCs/>
          <w:sz w:val="21"/>
          <w:szCs w:val="21"/>
        </w:rPr>
        <w:t xml:space="preserve">, 82–115. </w:t>
      </w:r>
      <w:hyperlink r:id="rId9" w:tgtFrame="_new" w:history="1">
        <w:r w:rsidRPr="00D625D8">
          <w:rPr>
            <w:rStyle w:val="af9"/>
            <w:rFonts w:ascii="Times New Roman" w:hAnsi="Times New Roman"/>
            <w:sz w:val="21"/>
          </w:rPr>
          <w:t>https://doi.org/10.1016/j.inffus.2019.12.012</w:t>
        </w:r>
      </w:hyperlink>
    </w:p>
    <w:p w:rsidR="00570F39" w:rsidRDefault="00570F39" w:rsidP="00570F39">
      <w:pPr>
        <w:widowControl w:val="0"/>
        <w:ind w:left="420" w:hangingChars="200" w:hanging="420"/>
        <w:jc w:val="both"/>
        <w:rPr>
          <w:rFonts w:ascii="Times New Roman" w:hAnsi="Times New Roman"/>
          <w:sz w:val="21"/>
          <w:u w:val="single"/>
        </w:rPr>
      </w:pPr>
      <w:r w:rsidRPr="00435904">
        <w:rPr>
          <w:rFonts w:ascii="Times New Roman" w:hAnsi="Times New Roman" w:cs="Times New Roman"/>
          <w:bCs/>
          <w:sz w:val="21"/>
          <w:szCs w:val="21"/>
        </w:rPr>
        <w:t xml:space="preserve">Bellstam, G., Bhagat, S., &amp; Cookson, J. A. (2021). A text-based analysis of corporate innovation. Management Science, 67(7), 4004–4031. </w:t>
      </w:r>
      <w:hyperlink r:id="rId10" w:history="1">
        <w:r w:rsidR="002266F6" w:rsidRPr="000E096F">
          <w:rPr>
            <w:rStyle w:val="af9"/>
            <w:rFonts w:ascii="Times New Roman" w:hAnsi="Times New Roman"/>
            <w:sz w:val="21"/>
          </w:rPr>
          <w:t>https://doi.org/10.1287/mnsc.2020.3682</w:t>
        </w:r>
      </w:hyperlink>
    </w:p>
    <w:p w:rsidR="002266F6" w:rsidRPr="00435904" w:rsidRDefault="002266F6" w:rsidP="002266F6">
      <w:pPr>
        <w:widowControl w:val="0"/>
        <w:ind w:left="420" w:hangingChars="200" w:hanging="420"/>
        <w:jc w:val="both"/>
        <w:rPr>
          <w:rFonts w:ascii="Times New Roman" w:hAnsi="Times New Roman" w:cs="Times New Roman"/>
          <w:bCs/>
          <w:sz w:val="21"/>
          <w:szCs w:val="21"/>
        </w:rPr>
      </w:pPr>
      <w:r w:rsidRPr="002266F6">
        <w:rPr>
          <w:rFonts w:ascii="Times New Roman" w:hAnsi="Times New Roman" w:cs="Times New Roman"/>
          <w:bCs/>
          <w:sz w:val="21"/>
          <w:szCs w:val="21"/>
        </w:rPr>
        <w:t xml:space="preserve">Bentéjac, C., Csörgő, A., &amp; Martínez-Muñoz, G. (2021). A comparative analysis of gradient boosting algorithms. Artificial Intelligence Review, 54(3), 1937–1967. </w:t>
      </w:r>
      <w:hyperlink r:id="rId11" w:history="1">
        <w:r w:rsidRPr="002266F6">
          <w:rPr>
            <w:rStyle w:val="af9"/>
            <w:rFonts w:ascii="Times New Roman" w:hAnsi="Times New Roman" w:cs="Times New Roman"/>
            <w:bCs/>
            <w:sz w:val="21"/>
            <w:szCs w:val="21"/>
          </w:rPr>
          <w:t>https://doi.org/10.1007/s10462-020-09896-5</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Breiman, L. (2001). Statistical modeling: The two cultures. </w:t>
      </w:r>
      <w:r w:rsidRPr="00435904">
        <w:rPr>
          <w:rFonts w:ascii="Times New Roman" w:hAnsi="Times New Roman" w:cs="Times New Roman"/>
          <w:bCs/>
          <w:i/>
          <w:iCs/>
          <w:sz w:val="21"/>
          <w:szCs w:val="21"/>
        </w:rPr>
        <w:t>Statistical Science, 16</w:t>
      </w:r>
      <w:r w:rsidRPr="00435904">
        <w:rPr>
          <w:rFonts w:ascii="Times New Roman" w:hAnsi="Times New Roman" w:cs="Times New Roman"/>
          <w:bCs/>
          <w:sz w:val="21"/>
          <w:szCs w:val="21"/>
        </w:rPr>
        <w:t xml:space="preserve">(3), 199–231. </w:t>
      </w:r>
      <w:hyperlink r:id="rId12" w:tgtFrame="_new" w:history="1">
        <w:r w:rsidRPr="00D625D8">
          <w:rPr>
            <w:rStyle w:val="af9"/>
            <w:rFonts w:ascii="Times New Roman" w:hAnsi="Times New Roman" w:cs="Times New Roman"/>
            <w:sz w:val="21"/>
            <w:szCs w:val="21"/>
          </w:rPr>
          <w:t>https://doi.org/10.1214/ss/1009213726</w:t>
        </w:r>
      </w:hyperlink>
    </w:p>
    <w:p w:rsidR="00570F39" w:rsidRDefault="00570F39" w:rsidP="00570F39">
      <w:pPr>
        <w:widowControl w:val="0"/>
        <w:ind w:left="420" w:hangingChars="200" w:hanging="420"/>
        <w:jc w:val="both"/>
        <w:rPr>
          <w:rFonts w:ascii="Times New Roman" w:hAnsi="Times New Roman"/>
          <w:sz w:val="21"/>
          <w:u w:val="single"/>
        </w:rPr>
      </w:pPr>
      <w:r w:rsidRPr="00435904">
        <w:rPr>
          <w:rFonts w:ascii="Times New Roman" w:hAnsi="Times New Roman" w:cs="Times New Roman"/>
          <w:bCs/>
          <w:sz w:val="21"/>
          <w:szCs w:val="21"/>
        </w:rPr>
        <w:t xml:space="preserve">Bzdok, D., Altman, N., &amp; Krzywinski, M. (2018). Statistics versus machine learning. </w:t>
      </w:r>
      <w:r w:rsidRPr="00435904">
        <w:rPr>
          <w:rFonts w:ascii="Times New Roman" w:hAnsi="Times New Roman" w:cs="Times New Roman"/>
          <w:bCs/>
          <w:i/>
          <w:iCs/>
          <w:sz w:val="21"/>
          <w:szCs w:val="21"/>
        </w:rPr>
        <w:t>Nature Methods, 15</w:t>
      </w:r>
      <w:r w:rsidRPr="00435904">
        <w:rPr>
          <w:rFonts w:ascii="Times New Roman" w:hAnsi="Times New Roman" w:cs="Times New Roman"/>
          <w:bCs/>
          <w:sz w:val="21"/>
          <w:szCs w:val="21"/>
        </w:rPr>
        <w:t xml:space="preserve">(4), 233–234. </w:t>
      </w:r>
      <w:hyperlink r:id="rId13" w:history="1">
        <w:r w:rsidRPr="00D625D8">
          <w:rPr>
            <w:rStyle w:val="af9"/>
            <w:rFonts w:ascii="Times New Roman" w:hAnsi="Times New Roman" w:cs="Times New Roman"/>
            <w:sz w:val="21"/>
            <w:szCs w:val="21"/>
          </w:rPr>
          <w:t>https://doi.org/10.1038/nmeth.4642</w:t>
        </w:r>
      </w:hyperlink>
    </w:p>
    <w:p w:rsidR="004B0A4A" w:rsidRPr="00435904" w:rsidRDefault="004B0A4A" w:rsidP="004B0A4A">
      <w:pPr>
        <w:widowControl w:val="0"/>
        <w:ind w:left="420" w:hangingChars="200" w:hanging="420"/>
        <w:jc w:val="both"/>
        <w:rPr>
          <w:rFonts w:ascii="Times New Roman" w:hAnsi="Times New Roman" w:cs="Times New Roman"/>
          <w:bCs/>
          <w:sz w:val="21"/>
          <w:szCs w:val="21"/>
        </w:rPr>
      </w:pPr>
      <w:r w:rsidRPr="004B0A4A">
        <w:rPr>
          <w:rFonts w:ascii="Times New Roman" w:hAnsi="Times New Roman" w:cs="Times New Roman"/>
          <w:bCs/>
          <w:sz w:val="21"/>
          <w:szCs w:val="21"/>
        </w:rPr>
        <w:t xml:space="preserve">Chen, H., Covert, I. C., Lundberg, S. M., &amp; Lee, S.-I. (2023). Algorithms to estimate Shapley value feature attributions. Nature Machine Intelligence, 5(6), 590–601. </w:t>
      </w:r>
      <w:r w:rsidRPr="00D625D8">
        <w:rPr>
          <w:rStyle w:val="af9"/>
          <w:rFonts w:ascii="Times New Roman" w:hAnsi="Times New Roman" w:cs="Times New Roman"/>
          <w:sz w:val="21"/>
          <w:szCs w:val="21"/>
        </w:rPr>
        <w:t>https://doi.org/10.1038/s42256-023-00657-x</w:t>
      </w:r>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Chen, Z., Hajiheydari, N., Zhang, M., &amp; Lin, Y.-E. (2026). Corporate digital transformation attention and innovation: Strategic commitment or symbolic signalling? </w:t>
      </w:r>
      <w:r w:rsidRPr="00435904">
        <w:rPr>
          <w:rFonts w:ascii="Times New Roman" w:hAnsi="Times New Roman" w:cs="Times New Roman"/>
          <w:bCs/>
          <w:i/>
          <w:iCs/>
          <w:sz w:val="21"/>
          <w:szCs w:val="21"/>
        </w:rPr>
        <w:t>The Journal of Strategic Information Systems, 35</w:t>
      </w:r>
      <w:r w:rsidRPr="00435904">
        <w:rPr>
          <w:rFonts w:ascii="Times New Roman" w:hAnsi="Times New Roman" w:cs="Times New Roman"/>
          <w:bCs/>
          <w:sz w:val="21"/>
          <w:szCs w:val="21"/>
        </w:rPr>
        <w:t xml:space="preserve">(2), 101971. </w:t>
      </w:r>
      <w:hyperlink r:id="rId14" w:history="1">
        <w:r w:rsidRPr="00D625D8">
          <w:rPr>
            <w:rStyle w:val="af9"/>
            <w:rFonts w:ascii="Times New Roman" w:hAnsi="Times New Roman" w:cs="Times New Roman"/>
            <w:sz w:val="21"/>
            <w:szCs w:val="21"/>
          </w:rPr>
          <w:t>https://doi.org/10.1016/j.jsis.2026.101971</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González, S., García, S., Del Ser, J., Rokach, L., &amp; Herrera, F. (2020). A practical tutorial on bagging and boosting based ensembles for machine learning: Algorithms, software tools, performance study, practical perspectives and opportunities. Information Fusion, 64, 205–237. </w:t>
      </w:r>
      <w:r w:rsidRPr="00D625D8">
        <w:rPr>
          <w:rStyle w:val="af9"/>
          <w:rFonts w:ascii="Times New Roman" w:hAnsi="Times New Roman" w:cs="Times New Roman"/>
          <w:sz w:val="21"/>
          <w:szCs w:val="21"/>
        </w:rPr>
        <w:t>https://doi.org/10.1016/j.inffus.2020.07.007</w:t>
      </w:r>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Guo, Y., Zhao, C., Pang, M., &amp; He, D. (2026). Market orientation and green innovation: Empirical evidence from double machine learning. </w:t>
      </w:r>
      <w:r w:rsidRPr="00435904">
        <w:rPr>
          <w:rFonts w:ascii="Times New Roman" w:hAnsi="Times New Roman" w:cs="Times New Roman"/>
          <w:bCs/>
          <w:i/>
          <w:iCs/>
          <w:sz w:val="21"/>
          <w:szCs w:val="21"/>
        </w:rPr>
        <w:t>Journal of Innovation &amp; Knowledge, 13</w:t>
      </w:r>
      <w:r w:rsidRPr="00435904">
        <w:rPr>
          <w:rFonts w:ascii="Times New Roman" w:hAnsi="Times New Roman" w:cs="Times New Roman"/>
          <w:bCs/>
          <w:sz w:val="21"/>
          <w:szCs w:val="21"/>
        </w:rPr>
        <w:t xml:space="preserve">, 100933. </w:t>
      </w:r>
      <w:hyperlink r:id="rId15" w:tgtFrame="_new" w:history="1">
        <w:r w:rsidRPr="00D625D8">
          <w:rPr>
            <w:rStyle w:val="af9"/>
            <w:rFonts w:ascii="Times New Roman" w:hAnsi="Times New Roman" w:cs="Times New Roman"/>
            <w:sz w:val="21"/>
            <w:szCs w:val="21"/>
          </w:rPr>
          <w:t>https://doi.org/10.1016/j.jik.2025.100933</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Li, D., Zhi, B., Schoenherr, T., &amp; Wang, X. (2023). Developing capabilities for supply chain resilience in a post-COVID world: A machine learning-based thematic analysis. </w:t>
      </w:r>
      <w:r w:rsidRPr="00435904">
        <w:rPr>
          <w:rFonts w:ascii="Times New Roman" w:hAnsi="Times New Roman" w:cs="Times New Roman"/>
          <w:bCs/>
          <w:i/>
          <w:iCs/>
          <w:sz w:val="21"/>
          <w:szCs w:val="21"/>
        </w:rPr>
        <w:t>IISE Transactions, 55</w:t>
      </w:r>
      <w:r w:rsidRPr="00435904">
        <w:rPr>
          <w:rFonts w:ascii="Times New Roman" w:hAnsi="Times New Roman" w:cs="Times New Roman"/>
          <w:bCs/>
          <w:sz w:val="21"/>
          <w:szCs w:val="21"/>
        </w:rPr>
        <w:t xml:space="preserve">(12), 1256–1276. </w:t>
      </w:r>
      <w:hyperlink r:id="rId16" w:tgtFrame="_new" w:history="1">
        <w:r w:rsidRPr="00D625D8">
          <w:rPr>
            <w:rStyle w:val="af9"/>
            <w:rFonts w:ascii="Times New Roman" w:hAnsi="Times New Roman" w:cs="Times New Roman"/>
            <w:sz w:val="21"/>
            <w:szCs w:val="21"/>
          </w:rPr>
          <w:t>https://doi.org/10.1080/24725854.2023.2176951</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Li, Y., Wang, X., Chen, C., Jing, C., &amp; Wu, T. (2020). Exploring firms’ innovation capabilities through learning systems. </w:t>
      </w:r>
      <w:r w:rsidRPr="00435904">
        <w:rPr>
          <w:rFonts w:ascii="Times New Roman" w:hAnsi="Times New Roman" w:cs="Times New Roman"/>
          <w:bCs/>
          <w:i/>
          <w:iCs/>
          <w:sz w:val="21"/>
          <w:szCs w:val="21"/>
        </w:rPr>
        <w:t>Neurocomputing, 409</w:t>
      </w:r>
      <w:r w:rsidRPr="00435904">
        <w:rPr>
          <w:rFonts w:ascii="Times New Roman" w:hAnsi="Times New Roman" w:cs="Times New Roman"/>
          <w:bCs/>
          <w:sz w:val="21"/>
          <w:szCs w:val="21"/>
        </w:rPr>
        <w:t xml:space="preserve">, 27–34. </w:t>
      </w:r>
      <w:hyperlink r:id="rId17" w:history="1">
        <w:r w:rsidRPr="00D625D8">
          <w:rPr>
            <w:rStyle w:val="af9"/>
            <w:rFonts w:ascii="Times New Roman" w:hAnsi="Times New Roman" w:cs="Times New Roman"/>
            <w:sz w:val="21"/>
            <w:szCs w:val="21"/>
          </w:rPr>
          <w:t>https://doi.org/10.1016/j.neucom.2020.03.100</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Liang, Y., Xu, J., &amp; Liu, Y. (2024). Do environmental courts drive corporate green innovation? A study based on double machine learning. </w:t>
      </w:r>
      <w:r w:rsidRPr="00435904">
        <w:rPr>
          <w:rFonts w:ascii="Times New Roman" w:hAnsi="Times New Roman" w:cs="Times New Roman"/>
          <w:bCs/>
          <w:i/>
          <w:iCs/>
          <w:sz w:val="21"/>
          <w:szCs w:val="21"/>
        </w:rPr>
        <w:t>Managerial and Decision Economics, 45</w:t>
      </w:r>
      <w:r w:rsidRPr="00435904">
        <w:rPr>
          <w:rFonts w:ascii="Times New Roman" w:hAnsi="Times New Roman" w:cs="Times New Roman"/>
          <w:bCs/>
          <w:sz w:val="21"/>
          <w:szCs w:val="21"/>
        </w:rPr>
        <w:t xml:space="preserve">(7), 4673–4686. </w:t>
      </w:r>
      <w:hyperlink r:id="rId18" w:history="1">
        <w:r w:rsidRPr="00D625D8">
          <w:rPr>
            <w:rStyle w:val="af9"/>
            <w:rFonts w:ascii="Times New Roman" w:hAnsi="Times New Roman" w:cs="Times New Roman"/>
            <w:sz w:val="21"/>
            <w:szCs w:val="21"/>
          </w:rPr>
          <w:t>https://doi.org/10.1002/mde.4292</w:t>
        </w:r>
      </w:hyperlink>
    </w:p>
    <w:p w:rsidR="00570F39" w:rsidRDefault="00570F39" w:rsidP="00570F39">
      <w:pPr>
        <w:widowControl w:val="0"/>
        <w:ind w:left="420" w:hangingChars="200" w:hanging="420"/>
        <w:jc w:val="both"/>
        <w:rPr>
          <w:rFonts w:ascii="Times New Roman" w:hAnsi="Times New Roman"/>
          <w:sz w:val="21"/>
          <w:u w:val="single"/>
        </w:rPr>
      </w:pPr>
      <w:r w:rsidRPr="00435904">
        <w:rPr>
          <w:rFonts w:ascii="Times New Roman" w:hAnsi="Times New Roman" w:cs="Times New Roman"/>
          <w:bCs/>
          <w:sz w:val="21"/>
          <w:szCs w:val="21"/>
        </w:rPr>
        <w:t xml:space="preserve">Liu, F., Wang, R., &amp; Fang, M. (2024). Mapping green innovation with machine learning: Evidence from China. Technological Forecasting and Social Change, 200, 123107. </w:t>
      </w:r>
      <w:hyperlink r:id="rId19" w:history="1">
        <w:r w:rsidR="00461D0A" w:rsidRPr="000E096F">
          <w:rPr>
            <w:rStyle w:val="af9"/>
            <w:rFonts w:ascii="Times New Roman" w:hAnsi="Times New Roman"/>
            <w:sz w:val="21"/>
          </w:rPr>
          <w:t>https://doi.org/10.1016/j.techfore.2023.123107</w:t>
        </w:r>
      </w:hyperlink>
    </w:p>
    <w:p w:rsidR="00461D0A" w:rsidRPr="00435904" w:rsidRDefault="00461D0A" w:rsidP="00461D0A">
      <w:pPr>
        <w:widowControl w:val="0"/>
        <w:ind w:left="420" w:hangingChars="200" w:hanging="420"/>
        <w:jc w:val="both"/>
        <w:rPr>
          <w:rFonts w:ascii="Times New Roman" w:hAnsi="Times New Roman" w:cs="Times New Roman"/>
          <w:bCs/>
          <w:sz w:val="21"/>
          <w:szCs w:val="21"/>
        </w:rPr>
      </w:pPr>
      <w:r w:rsidRPr="00461D0A">
        <w:rPr>
          <w:rFonts w:ascii="Times New Roman" w:hAnsi="Times New Roman" w:cs="Times New Roman"/>
          <w:bCs/>
          <w:sz w:val="21"/>
          <w:szCs w:val="21"/>
        </w:rPr>
        <w:t xml:space="preserve">Lundberg, S. M., Erion, G., Chen, H., DeGrave, A., Prutkin, J. M., Nair, B., Katz, R., Himmelfarb, J., Bansal, N., &amp; Lee, S.-I. (2020). From local explanations to global understanding with explainable AI for trees. </w:t>
      </w:r>
      <w:r w:rsidRPr="00461D0A">
        <w:rPr>
          <w:rFonts w:ascii="Times New Roman" w:hAnsi="Times New Roman" w:cs="Times New Roman"/>
          <w:bCs/>
          <w:i/>
          <w:iCs/>
          <w:sz w:val="21"/>
          <w:szCs w:val="21"/>
        </w:rPr>
        <w:t>Nature Machine Intelligence, 2</w:t>
      </w:r>
      <w:r w:rsidRPr="00461D0A">
        <w:rPr>
          <w:rFonts w:ascii="Times New Roman" w:hAnsi="Times New Roman" w:cs="Times New Roman"/>
          <w:bCs/>
          <w:sz w:val="21"/>
          <w:szCs w:val="21"/>
        </w:rPr>
        <w:t xml:space="preserve">, 56–67. </w:t>
      </w:r>
      <w:hyperlink r:id="rId20" w:tgtFrame="_blank" w:history="1">
        <w:r w:rsidRPr="00461D0A">
          <w:rPr>
            <w:rStyle w:val="af9"/>
            <w:rFonts w:ascii="Times New Roman" w:hAnsi="Times New Roman" w:cs="Times New Roman"/>
            <w:bCs/>
            <w:sz w:val="21"/>
            <w:szCs w:val="21"/>
          </w:rPr>
          <w:t>https://doi.org/10.1038/s42256-019-0138-9</w:t>
        </w:r>
      </w:hyperlink>
    </w:p>
    <w:p w:rsidR="00570F39" w:rsidRDefault="00570F39" w:rsidP="00570F39">
      <w:pPr>
        <w:widowControl w:val="0"/>
        <w:ind w:left="420" w:hangingChars="200" w:hanging="420"/>
        <w:jc w:val="both"/>
        <w:rPr>
          <w:rFonts w:ascii="Times New Roman" w:hAnsi="Times New Roman"/>
          <w:sz w:val="21"/>
          <w:u w:val="single"/>
        </w:rPr>
      </w:pPr>
      <w:r w:rsidRPr="00435904">
        <w:rPr>
          <w:rFonts w:ascii="Times New Roman" w:hAnsi="Times New Roman" w:cs="Times New Roman"/>
          <w:bCs/>
          <w:sz w:val="21"/>
          <w:szCs w:val="21"/>
        </w:rPr>
        <w:t xml:space="preserve">Luo, S., Xiong, Z., &amp; Liu, J. (2024). How does supply chain digitization affect green innovation? Evidence from a quasi-natural experiment in China. </w:t>
      </w:r>
      <w:r w:rsidRPr="00435904">
        <w:rPr>
          <w:rFonts w:ascii="Times New Roman" w:hAnsi="Times New Roman" w:cs="Times New Roman"/>
          <w:bCs/>
          <w:i/>
          <w:iCs/>
          <w:sz w:val="21"/>
          <w:szCs w:val="21"/>
        </w:rPr>
        <w:t>Energy Economics, 136</w:t>
      </w:r>
      <w:r w:rsidRPr="00435904">
        <w:rPr>
          <w:rFonts w:ascii="Times New Roman" w:hAnsi="Times New Roman" w:cs="Times New Roman"/>
          <w:bCs/>
          <w:sz w:val="21"/>
          <w:szCs w:val="21"/>
        </w:rPr>
        <w:t xml:space="preserve">, 107745. </w:t>
      </w:r>
      <w:hyperlink r:id="rId21" w:history="1">
        <w:r w:rsidRPr="00D625D8">
          <w:rPr>
            <w:rStyle w:val="af9"/>
            <w:rFonts w:ascii="Times New Roman" w:hAnsi="Times New Roman" w:cs="Times New Roman"/>
            <w:sz w:val="21"/>
            <w:szCs w:val="21"/>
          </w:rPr>
          <w:t>https://doi.org/10.1016/j.eneco.2024.107745</w:t>
        </w:r>
      </w:hyperlink>
    </w:p>
    <w:p w:rsidR="00E01562" w:rsidRPr="00435904" w:rsidRDefault="00E01562" w:rsidP="00E01562">
      <w:pPr>
        <w:widowControl w:val="0"/>
        <w:ind w:left="420" w:hangingChars="200" w:hanging="420"/>
        <w:jc w:val="both"/>
        <w:rPr>
          <w:rFonts w:ascii="Times New Roman" w:hAnsi="Times New Roman" w:cs="Times New Roman"/>
          <w:bCs/>
          <w:sz w:val="21"/>
          <w:szCs w:val="21"/>
        </w:rPr>
      </w:pPr>
      <w:r w:rsidRPr="00E01562">
        <w:rPr>
          <w:rFonts w:ascii="Times New Roman" w:hAnsi="Times New Roman" w:cs="Times New Roman"/>
          <w:bCs/>
          <w:sz w:val="21"/>
          <w:szCs w:val="21"/>
        </w:rPr>
        <w:t xml:space="preserve">Mullainathan, S., &amp; Spiess, J. (2017). Machine learning: An applied econometric approach. </w:t>
      </w:r>
      <w:r w:rsidRPr="00E01562">
        <w:rPr>
          <w:rFonts w:ascii="Times New Roman" w:hAnsi="Times New Roman" w:cs="Times New Roman"/>
          <w:bCs/>
          <w:i/>
          <w:iCs/>
          <w:sz w:val="21"/>
          <w:szCs w:val="21"/>
        </w:rPr>
        <w:t>Journal of Economic Perspectives, 31</w:t>
      </w:r>
      <w:r w:rsidRPr="00E01562">
        <w:rPr>
          <w:rFonts w:ascii="Times New Roman" w:hAnsi="Times New Roman" w:cs="Times New Roman"/>
          <w:bCs/>
          <w:sz w:val="21"/>
          <w:szCs w:val="21"/>
        </w:rPr>
        <w:t xml:space="preserve">(2), 87–106. </w:t>
      </w:r>
      <w:hyperlink r:id="rId22" w:tgtFrame="_new" w:history="1">
        <w:r w:rsidRPr="00E01562">
          <w:rPr>
            <w:rStyle w:val="af9"/>
            <w:rFonts w:ascii="Times New Roman" w:hAnsi="Times New Roman" w:cs="Times New Roman"/>
            <w:bCs/>
            <w:sz w:val="21"/>
            <w:szCs w:val="21"/>
          </w:rPr>
          <w:t>https://doi.org/10.1257/jep.31.2.87</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Murdoch, W. J., Singh, C., Kumbier, K., Abbasi-Asl, R., &amp; Yu, B. (2019). Definitions, methods, and applications in interpretable machine learning. </w:t>
      </w:r>
      <w:r w:rsidRPr="00435904">
        <w:rPr>
          <w:rFonts w:ascii="Times New Roman" w:hAnsi="Times New Roman" w:cs="Times New Roman"/>
          <w:bCs/>
          <w:i/>
          <w:iCs/>
          <w:sz w:val="21"/>
          <w:szCs w:val="21"/>
        </w:rPr>
        <w:t>Proceedings of the National Academy of Sciences, 116</w:t>
      </w:r>
      <w:r w:rsidRPr="00435904">
        <w:rPr>
          <w:rFonts w:ascii="Times New Roman" w:hAnsi="Times New Roman" w:cs="Times New Roman"/>
          <w:bCs/>
          <w:sz w:val="21"/>
          <w:szCs w:val="21"/>
        </w:rPr>
        <w:t xml:space="preserve">(44), 22071–22080. </w:t>
      </w:r>
      <w:hyperlink r:id="rId23" w:tgtFrame="_new" w:history="1">
        <w:r w:rsidRPr="00D625D8">
          <w:rPr>
            <w:rStyle w:val="af9"/>
            <w:rFonts w:ascii="Times New Roman" w:hAnsi="Times New Roman" w:cs="Times New Roman"/>
            <w:sz w:val="21"/>
            <w:szCs w:val="21"/>
          </w:rPr>
          <w:t>https://doi.org/10.1073/pnas.1900654116</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Peiró-Signes, Á., Segarra-Oña, M., Trull-Domínguez, Ó., &amp; Sánchez-Planelles, J. (2022). Exposing the ideal combination of endogenous–exogenous drivers for companies’ ecoinnovative orientation: Results from machine-learning methods. </w:t>
      </w:r>
      <w:r w:rsidRPr="00435904">
        <w:rPr>
          <w:rFonts w:ascii="Times New Roman" w:hAnsi="Times New Roman" w:cs="Times New Roman"/>
          <w:bCs/>
          <w:i/>
          <w:iCs/>
          <w:sz w:val="21"/>
          <w:szCs w:val="21"/>
        </w:rPr>
        <w:t>Socio-Economic Planning Sciences, 79</w:t>
      </w:r>
      <w:r w:rsidRPr="00435904">
        <w:rPr>
          <w:rFonts w:ascii="Times New Roman" w:hAnsi="Times New Roman" w:cs="Times New Roman"/>
          <w:bCs/>
          <w:sz w:val="21"/>
          <w:szCs w:val="21"/>
        </w:rPr>
        <w:t xml:space="preserve">, 101145. </w:t>
      </w:r>
      <w:hyperlink r:id="rId24" w:tgtFrame="_new" w:history="1">
        <w:r w:rsidRPr="00D625D8">
          <w:rPr>
            <w:rStyle w:val="af9"/>
            <w:rFonts w:ascii="Times New Roman" w:hAnsi="Times New Roman" w:cs="Times New Roman"/>
            <w:sz w:val="21"/>
            <w:szCs w:val="21"/>
          </w:rPr>
          <w:t>https://doi.org/10.1016/j.seps.2021.101145</w:t>
        </w:r>
      </w:hyperlink>
    </w:p>
    <w:p w:rsidR="00570F39" w:rsidRPr="00435904" w:rsidRDefault="00570F39" w:rsidP="00570F39">
      <w:pPr>
        <w:widowControl w:val="0"/>
        <w:ind w:left="420" w:hangingChars="200" w:hanging="420"/>
        <w:jc w:val="both"/>
        <w:rPr>
          <w:rFonts w:ascii="Times New Roman" w:hAnsi="Times New Roman" w:cs="Times New Roman"/>
          <w:bCs/>
          <w:sz w:val="21"/>
          <w:szCs w:val="21"/>
          <w:u w:val="single"/>
        </w:rPr>
      </w:pPr>
      <w:r w:rsidRPr="00435904">
        <w:rPr>
          <w:rFonts w:ascii="Times New Roman" w:hAnsi="Times New Roman" w:cs="Times New Roman"/>
          <w:bCs/>
          <w:sz w:val="21"/>
          <w:szCs w:val="21"/>
        </w:rPr>
        <w:t xml:space="preserve">Shmueli, G. (2010). To explain or to predict? Statistical Science, 25(3), 289–310. </w:t>
      </w:r>
      <w:r w:rsidRPr="00D625D8">
        <w:rPr>
          <w:rStyle w:val="af9"/>
          <w:rFonts w:ascii="Times New Roman" w:hAnsi="Times New Roman" w:cs="Times New Roman"/>
          <w:sz w:val="21"/>
          <w:szCs w:val="21"/>
        </w:rPr>
        <w:t>https://doi.org/10.1214/10-STS330</w:t>
      </w:r>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Varian, H. R. (2014). Big data: New tricks for econometrics. </w:t>
      </w:r>
      <w:r w:rsidRPr="00435904">
        <w:rPr>
          <w:rFonts w:ascii="Times New Roman" w:hAnsi="Times New Roman" w:cs="Times New Roman"/>
          <w:bCs/>
          <w:i/>
          <w:iCs/>
          <w:sz w:val="21"/>
          <w:szCs w:val="21"/>
        </w:rPr>
        <w:t>Journal of Economic Perspectives, 28</w:t>
      </w:r>
      <w:r w:rsidRPr="00435904">
        <w:rPr>
          <w:rFonts w:ascii="Times New Roman" w:hAnsi="Times New Roman" w:cs="Times New Roman"/>
          <w:bCs/>
          <w:sz w:val="21"/>
          <w:szCs w:val="21"/>
        </w:rPr>
        <w:t xml:space="preserve">(2), 3–28. </w:t>
      </w:r>
      <w:hyperlink r:id="rId25" w:tgtFrame="_new" w:history="1">
        <w:r w:rsidRPr="00D625D8">
          <w:rPr>
            <w:rStyle w:val="af9"/>
            <w:rFonts w:ascii="Times New Roman" w:hAnsi="Times New Roman" w:cs="Times New Roman"/>
            <w:sz w:val="21"/>
            <w:szCs w:val="21"/>
          </w:rPr>
          <w:t>https://doi.org/10.1257/jep.28.2.3</w:t>
        </w:r>
      </w:hyperlink>
    </w:p>
    <w:p w:rsidR="00570F39" w:rsidRPr="00435904" w:rsidRDefault="00570F39" w:rsidP="00570F39">
      <w:pPr>
        <w:widowControl w:val="0"/>
        <w:ind w:left="420" w:hangingChars="200" w:hanging="420"/>
        <w:jc w:val="both"/>
        <w:rPr>
          <w:rFonts w:ascii="Times New Roman" w:hAnsi="Times New Roman" w:cs="Times New Roman"/>
          <w:bCs/>
          <w:sz w:val="21"/>
          <w:szCs w:val="21"/>
        </w:rPr>
      </w:pPr>
      <w:r w:rsidRPr="00435904">
        <w:rPr>
          <w:rFonts w:ascii="Times New Roman" w:hAnsi="Times New Roman" w:cs="Times New Roman"/>
          <w:bCs/>
          <w:sz w:val="21"/>
          <w:szCs w:val="21"/>
        </w:rPr>
        <w:t xml:space="preserve">Yang, R., Wang, P., Li, L., &amp; Yong, S. (2025). An explainable SSA-CatBoost machine learning model and application in corporate credit rating: Evidence from China. </w:t>
      </w:r>
      <w:r w:rsidRPr="00435904">
        <w:rPr>
          <w:rFonts w:ascii="Times New Roman" w:hAnsi="Times New Roman" w:cs="Times New Roman"/>
          <w:bCs/>
          <w:i/>
          <w:iCs/>
          <w:sz w:val="21"/>
          <w:szCs w:val="21"/>
        </w:rPr>
        <w:t>Annals of Operations Research, 354</w:t>
      </w:r>
      <w:r w:rsidRPr="00435904">
        <w:rPr>
          <w:rFonts w:ascii="Times New Roman" w:hAnsi="Times New Roman" w:cs="Times New Roman"/>
          <w:bCs/>
          <w:sz w:val="21"/>
          <w:szCs w:val="21"/>
        </w:rPr>
        <w:t xml:space="preserve">(1), 273–307. </w:t>
      </w:r>
      <w:r w:rsidRPr="00D625D8">
        <w:rPr>
          <w:rStyle w:val="af9"/>
          <w:rFonts w:ascii="Times New Roman" w:hAnsi="Times New Roman" w:cs="Times New Roman"/>
          <w:sz w:val="21"/>
          <w:szCs w:val="21"/>
        </w:rPr>
        <w:t>https://doi.org/10.1007/s10479-025-06513-y</w:t>
      </w:r>
    </w:p>
    <w:sectPr w:rsidR="00570F39" w:rsidRPr="00435904">
      <w:headerReference w:type="even" r:id="rId26"/>
      <w:headerReference w:type="default" r:id="rId27"/>
      <w:footerReference w:type="even" r:id="rId28"/>
      <w:footerReference w:type="default" r:id="rId29"/>
      <w:headerReference w:type="first" r:id="rId30"/>
      <w:footerReference w:type="first" r:id="rId31"/>
      <w:pgSz w:w="12474" w:h="16840"/>
      <w:pgMar w:top="1134" w:right="1134" w:bottom="1134" w:left="113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974" w:rsidRDefault="00190974">
      <w:r>
        <w:separator/>
      </w:r>
    </w:p>
  </w:endnote>
  <w:endnote w:type="continuationSeparator" w:id="0">
    <w:p w:rsidR="00190974" w:rsidRDefault="00190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Times New Roman (正文 CS 字体)">
    <w:altName w:val="宋体"/>
    <w:charset w:val="86"/>
    <w:family w:val="roman"/>
    <w:pitch w:val="default"/>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10" w:rsidRDefault="008C0610">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10" w:rsidRDefault="008C0610">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10" w:rsidRDefault="008C0610">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974" w:rsidRDefault="00190974">
      <w:r>
        <w:separator/>
      </w:r>
    </w:p>
  </w:footnote>
  <w:footnote w:type="continuationSeparator" w:id="0">
    <w:p w:rsidR="00190974" w:rsidRDefault="00190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10" w:rsidRDefault="008C0610">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10" w:rsidRDefault="008C0610">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10" w:rsidRDefault="008C0610">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48A8"/>
    <w:multiLevelType w:val="multilevel"/>
    <w:tmpl w:val="0CD80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E554F"/>
    <w:multiLevelType w:val="hybridMultilevel"/>
    <w:tmpl w:val="0526BED6"/>
    <w:lvl w:ilvl="0" w:tplc="C50251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F44210C"/>
    <w:multiLevelType w:val="multilevel"/>
    <w:tmpl w:val="F7EE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09AF"/>
    <w:multiLevelType w:val="multilevel"/>
    <w:tmpl w:val="5840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A51DDF"/>
    <w:multiLevelType w:val="multilevel"/>
    <w:tmpl w:val="70CEF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8A60D0"/>
    <w:multiLevelType w:val="multilevel"/>
    <w:tmpl w:val="2C8A60D0"/>
    <w:lvl w:ilvl="0">
      <w:start w:val="1"/>
      <w:numFmt w:val="decimal"/>
      <w:lvlText w:val="[%1]"/>
      <w:lvlJc w:val="left"/>
      <w:pPr>
        <w:ind w:left="284" w:hanging="284"/>
      </w:pPr>
      <w:rPr>
        <w:rFonts w:hint="eastAsia"/>
        <w:b w:val="0"/>
        <w:i w:val="0"/>
        <w:spacing w:val="-12"/>
        <w:w w:val="100"/>
        <w:kern w:val="1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32924B12"/>
    <w:multiLevelType w:val="multilevel"/>
    <w:tmpl w:val="32924B12"/>
    <w:lvl w:ilvl="0">
      <w:start w:val="1"/>
      <w:numFmt w:val="decimal"/>
      <w:lvlText w:val="[%1]"/>
      <w:lvlJc w:val="left"/>
      <w:pPr>
        <w:ind w:left="840" w:hanging="420"/>
      </w:pPr>
      <w:rPr>
        <w:rFonts w:hint="eastAsia"/>
        <w:color w:val="auto"/>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37B2618A"/>
    <w:multiLevelType w:val="hybridMultilevel"/>
    <w:tmpl w:val="726AB1A6"/>
    <w:lvl w:ilvl="0" w:tplc="C50251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F0E48B1"/>
    <w:multiLevelType w:val="multilevel"/>
    <w:tmpl w:val="BFCEB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4A34DB"/>
    <w:multiLevelType w:val="multilevel"/>
    <w:tmpl w:val="DE36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110194"/>
    <w:multiLevelType w:val="multilevel"/>
    <w:tmpl w:val="95EC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1F6C22"/>
    <w:multiLevelType w:val="hybridMultilevel"/>
    <w:tmpl w:val="DFFEC40C"/>
    <w:lvl w:ilvl="0" w:tplc="C4A81996">
      <w:start w:val="1"/>
      <w:numFmt w:val="upp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7F0B26F6"/>
    <w:multiLevelType w:val="hybridMultilevel"/>
    <w:tmpl w:val="BB0AF096"/>
    <w:lvl w:ilvl="0" w:tplc="C50251F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F1C378C"/>
    <w:multiLevelType w:val="hybridMultilevel"/>
    <w:tmpl w:val="2EE67854"/>
    <w:lvl w:ilvl="0" w:tplc="E386141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6"/>
  </w:num>
  <w:num w:numId="2">
    <w:abstractNumId w:val="5"/>
  </w:num>
  <w:num w:numId="3">
    <w:abstractNumId w:val="0"/>
  </w:num>
  <w:num w:numId="4">
    <w:abstractNumId w:val="4"/>
  </w:num>
  <w:num w:numId="5">
    <w:abstractNumId w:val="3"/>
  </w:num>
  <w:num w:numId="6">
    <w:abstractNumId w:val="8"/>
  </w:num>
  <w:num w:numId="7">
    <w:abstractNumId w:val="9"/>
  </w:num>
  <w:num w:numId="8">
    <w:abstractNumId w:val="2"/>
  </w:num>
  <w:num w:numId="9">
    <w:abstractNumId w:val="10"/>
  </w:num>
  <w:num w:numId="10">
    <w:abstractNumId w:val="1"/>
  </w:num>
  <w:num w:numId="11">
    <w:abstractNumId w:val="11"/>
  </w:num>
  <w:num w:numId="12">
    <w:abstractNumId w:val="7"/>
  </w:num>
  <w:num w:numId="13">
    <w:abstractNumId w:val="12"/>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BAD"/>
    <w:rsid w:val="B7EAB15A"/>
    <w:rsid w:val="FCCBE74E"/>
    <w:rsid w:val="0000125E"/>
    <w:rsid w:val="00001961"/>
    <w:rsid w:val="00001A29"/>
    <w:rsid w:val="000023EB"/>
    <w:rsid w:val="000045C8"/>
    <w:rsid w:val="000049AF"/>
    <w:rsid w:val="00004B05"/>
    <w:rsid w:val="000059CE"/>
    <w:rsid w:val="00005DE4"/>
    <w:rsid w:val="00006A40"/>
    <w:rsid w:val="00006DE9"/>
    <w:rsid w:val="00010D47"/>
    <w:rsid w:val="0001191E"/>
    <w:rsid w:val="00011A05"/>
    <w:rsid w:val="000129B1"/>
    <w:rsid w:val="00012B67"/>
    <w:rsid w:val="00013612"/>
    <w:rsid w:val="000137E0"/>
    <w:rsid w:val="00013E23"/>
    <w:rsid w:val="0001465B"/>
    <w:rsid w:val="00014BF7"/>
    <w:rsid w:val="00014C13"/>
    <w:rsid w:val="00014CC5"/>
    <w:rsid w:val="00015D36"/>
    <w:rsid w:val="00016980"/>
    <w:rsid w:val="00016ECC"/>
    <w:rsid w:val="000171DF"/>
    <w:rsid w:val="000179BD"/>
    <w:rsid w:val="000203F2"/>
    <w:rsid w:val="00020600"/>
    <w:rsid w:val="00020643"/>
    <w:rsid w:val="00020715"/>
    <w:rsid w:val="00021AE1"/>
    <w:rsid w:val="00023499"/>
    <w:rsid w:val="00023516"/>
    <w:rsid w:val="0002362F"/>
    <w:rsid w:val="00023845"/>
    <w:rsid w:val="00024422"/>
    <w:rsid w:val="00024531"/>
    <w:rsid w:val="00024710"/>
    <w:rsid w:val="00024D41"/>
    <w:rsid w:val="00025FC6"/>
    <w:rsid w:val="00026A42"/>
    <w:rsid w:val="00026EE4"/>
    <w:rsid w:val="00026F59"/>
    <w:rsid w:val="00027E28"/>
    <w:rsid w:val="00030529"/>
    <w:rsid w:val="000308EB"/>
    <w:rsid w:val="00030CB1"/>
    <w:rsid w:val="00031130"/>
    <w:rsid w:val="00032825"/>
    <w:rsid w:val="0003362B"/>
    <w:rsid w:val="0003385F"/>
    <w:rsid w:val="000351DC"/>
    <w:rsid w:val="000357F9"/>
    <w:rsid w:val="00036B3A"/>
    <w:rsid w:val="00042FE2"/>
    <w:rsid w:val="00043404"/>
    <w:rsid w:val="00043EF3"/>
    <w:rsid w:val="00044794"/>
    <w:rsid w:val="00045231"/>
    <w:rsid w:val="00045FBC"/>
    <w:rsid w:val="000471C7"/>
    <w:rsid w:val="000474CB"/>
    <w:rsid w:val="00047EFE"/>
    <w:rsid w:val="0005085A"/>
    <w:rsid w:val="00051BBA"/>
    <w:rsid w:val="00052C5B"/>
    <w:rsid w:val="00054868"/>
    <w:rsid w:val="000548C0"/>
    <w:rsid w:val="00054B50"/>
    <w:rsid w:val="00054CA2"/>
    <w:rsid w:val="00055843"/>
    <w:rsid w:val="00056176"/>
    <w:rsid w:val="000561BD"/>
    <w:rsid w:val="0005670D"/>
    <w:rsid w:val="00056854"/>
    <w:rsid w:val="000568FB"/>
    <w:rsid w:val="0005719C"/>
    <w:rsid w:val="00061222"/>
    <w:rsid w:val="00061807"/>
    <w:rsid w:val="00062188"/>
    <w:rsid w:val="00062A18"/>
    <w:rsid w:val="00063376"/>
    <w:rsid w:val="0006339F"/>
    <w:rsid w:val="00064054"/>
    <w:rsid w:val="00064983"/>
    <w:rsid w:val="00064B1E"/>
    <w:rsid w:val="00066668"/>
    <w:rsid w:val="0006672E"/>
    <w:rsid w:val="000669CE"/>
    <w:rsid w:val="00067567"/>
    <w:rsid w:val="00070CB4"/>
    <w:rsid w:val="00071247"/>
    <w:rsid w:val="00072AEB"/>
    <w:rsid w:val="000739DD"/>
    <w:rsid w:val="00073A0E"/>
    <w:rsid w:val="00074B6F"/>
    <w:rsid w:val="0007582A"/>
    <w:rsid w:val="00075864"/>
    <w:rsid w:val="0007651F"/>
    <w:rsid w:val="00076E33"/>
    <w:rsid w:val="00077B71"/>
    <w:rsid w:val="0008040D"/>
    <w:rsid w:val="0008128C"/>
    <w:rsid w:val="00081F48"/>
    <w:rsid w:val="00082B53"/>
    <w:rsid w:val="000835D0"/>
    <w:rsid w:val="0008419C"/>
    <w:rsid w:val="0008592E"/>
    <w:rsid w:val="00085E70"/>
    <w:rsid w:val="00086153"/>
    <w:rsid w:val="000866BF"/>
    <w:rsid w:val="00086BAE"/>
    <w:rsid w:val="00087B25"/>
    <w:rsid w:val="00087C11"/>
    <w:rsid w:val="000900DC"/>
    <w:rsid w:val="000908EE"/>
    <w:rsid w:val="0009146A"/>
    <w:rsid w:val="00092589"/>
    <w:rsid w:val="00092AEE"/>
    <w:rsid w:val="00093DD9"/>
    <w:rsid w:val="00094B93"/>
    <w:rsid w:val="00094BA6"/>
    <w:rsid w:val="00094BB8"/>
    <w:rsid w:val="00094C57"/>
    <w:rsid w:val="00094C81"/>
    <w:rsid w:val="00095088"/>
    <w:rsid w:val="00095ABC"/>
    <w:rsid w:val="000963C7"/>
    <w:rsid w:val="00096D98"/>
    <w:rsid w:val="00097898"/>
    <w:rsid w:val="000A1902"/>
    <w:rsid w:val="000A2290"/>
    <w:rsid w:val="000A2E2A"/>
    <w:rsid w:val="000A392D"/>
    <w:rsid w:val="000A43DF"/>
    <w:rsid w:val="000A4680"/>
    <w:rsid w:val="000A4781"/>
    <w:rsid w:val="000A4B46"/>
    <w:rsid w:val="000A4BC8"/>
    <w:rsid w:val="000A5942"/>
    <w:rsid w:val="000A64AD"/>
    <w:rsid w:val="000A68B8"/>
    <w:rsid w:val="000A6A10"/>
    <w:rsid w:val="000A6C28"/>
    <w:rsid w:val="000A6DDE"/>
    <w:rsid w:val="000A6F59"/>
    <w:rsid w:val="000A74C3"/>
    <w:rsid w:val="000A7C0D"/>
    <w:rsid w:val="000A7C51"/>
    <w:rsid w:val="000B0238"/>
    <w:rsid w:val="000B167F"/>
    <w:rsid w:val="000B1D5A"/>
    <w:rsid w:val="000B1E17"/>
    <w:rsid w:val="000B2D09"/>
    <w:rsid w:val="000B3BBB"/>
    <w:rsid w:val="000B3DB4"/>
    <w:rsid w:val="000B3E23"/>
    <w:rsid w:val="000B3EFC"/>
    <w:rsid w:val="000B42BC"/>
    <w:rsid w:val="000B4D48"/>
    <w:rsid w:val="000B5033"/>
    <w:rsid w:val="000B5E13"/>
    <w:rsid w:val="000B5F60"/>
    <w:rsid w:val="000B604E"/>
    <w:rsid w:val="000B6A6A"/>
    <w:rsid w:val="000B6B9B"/>
    <w:rsid w:val="000B708D"/>
    <w:rsid w:val="000B7189"/>
    <w:rsid w:val="000B74F0"/>
    <w:rsid w:val="000B7EE8"/>
    <w:rsid w:val="000C033B"/>
    <w:rsid w:val="000C08B7"/>
    <w:rsid w:val="000C0BC7"/>
    <w:rsid w:val="000C0C96"/>
    <w:rsid w:val="000C0E06"/>
    <w:rsid w:val="000C1B24"/>
    <w:rsid w:val="000C2D47"/>
    <w:rsid w:val="000C3FDD"/>
    <w:rsid w:val="000C4142"/>
    <w:rsid w:val="000C4397"/>
    <w:rsid w:val="000C5C51"/>
    <w:rsid w:val="000C6DE2"/>
    <w:rsid w:val="000C7BB4"/>
    <w:rsid w:val="000C7FCF"/>
    <w:rsid w:val="000D03CB"/>
    <w:rsid w:val="000D0582"/>
    <w:rsid w:val="000D0E51"/>
    <w:rsid w:val="000D15BC"/>
    <w:rsid w:val="000D212E"/>
    <w:rsid w:val="000D2518"/>
    <w:rsid w:val="000D27A3"/>
    <w:rsid w:val="000D28B8"/>
    <w:rsid w:val="000D3E55"/>
    <w:rsid w:val="000D4412"/>
    <w:rsid w:val="000D4488"/>
    <w:rsid w:val="000D49CF"/>
    <w:rsid w:val="000D4D01"/>
    <w:rsid w:val="000D51ED"/>
    <w:rsid w:val="000D5968"/>
    <w:rsid w:val="000D5A68"/>
    <w:rsid w:val="000D60FB"/>
    <w:rsid w:val="000D6553"/>
    <w:rsid w:val="000D65D1"/>
    <w:rsid w:val="000D7C6E"/>
    <w:rsid w:val="000E0618"/>
    <w:rsid w:val="000E1A3F"/>
    <w:rsid w:val="000E231A"/>
    <w:rsid w:val="000E27C4"/>
    <w:rsid w:val="000E28CF"/>
    <w:rsid w:val="000E32E1"/>
    <w:rsid w:val="000E3C9D"/>
    <w:rsid w:val="000E3EC8"/>
    <w:rsid w:val="000E49C8"/>
    <w:rsid w:val="000E50E0"/>
    <w:rsid w:val="000E5703"/>
    <w:rsid w:val="000E5E0F"/>
    <w:rsid w:val="000E6358"/>
    <w:rsid w:val="000E6545"/>
    <w:rsid w:val="000E6C70"/>
    <w:rsid w:val="000E7BFA"/>
    <w:rsid w:val="000F06B3"/>
    <w:rsid w:val="000F0933"/>
    <w:rsid w:val="000F14D9"/>
    <w:rsid w:val="000F195D"/>
    <w:rsid w:val="000F20B5"/>
    <w:rsid w:val="000F2382"/>
    <w:rsid w:val="000F2C6C"/>
    <w:rsid w:val="000F522D"/>
    <w:rsid w:val="000F546B"/>
    <w:rsid w:val="000F5CD3"/>
    <w:rsid w:val="000F5DB0"/>
    <w:rsid w:val="000F6D02"/>
    <w:rsid w:val="000F7697"/>
    <w:rsid w:val="000F7753"/>
    <w:rsid w:val="000F7C63"/>
    <w:rsid w:val="0010123A"/>
    <w:rsid w:val="001016BB"/>
    <w:rsid w:val="0010251C"/>
    <w:rsid w:val="00103CDA"/>
    <w:rsid w:val="00104FEA"/>
    <w:rsid w:val="0010521A"/>
    <w:rsid w:val="0010661D"/>
    <w:rsid w:val="0010772C"/>
    <w:rsid w:val="00107BFD"/>
    <w:rsid w:val="00110D5F"/>
    <w:rsid w:val="00110FAA"/>
    <w:rsid w:val="00111486"/>
    <w:rsid w:val="001120CE"/>
    <w:rsid w:val="0011215A"/>
    <w:rsid w:val="0011359B"/>
    <w:rsid w:val="00113ACF"/>
    <w:rsid w:val="00113D81"/>
    <w:rsid w:val="00114673"/>
    <w:rsid w:val="0011548B"/>
    <w:rsid w:val="0011553B"/>
    <w:rsid w:val="00116513"/>
    <w:rsid w:val="00116A69"/>
    <w:rsid w:val="00120320"/>
    <w:rsid w:val="0012036F"/>
    <w:rsid w:val="001206E1"/>
    <w:rsid w:val="00120F1A"/>
    <w:rsid w:val="00121618"/>
    <w:rsid w:val="00125D97"/>
    <w:rsid w:val="00126940"/>
    <w:rsid w:val="001272CD"/>
    <w:rsid w:val="001274B2"/>
    <w:rsid w:val="00131034"/>
    <w:rsid w:val="0013197A"/>
    <w:rsid w:val="00132BE7"/>
    <w:rsid w:val="00132CA8"/>
    <w:rsid w:val="00133E54"/>
    <w:rsid w:val="00134243"/>
    <w:rsid w:val="0013436E"/>
    <w:rsid w:val="001347E9"/>
    <w:rsid w:val="00135F35"/>
    <w:rsid w:val="00137708"/>
    <w:rsid w:val="00137C25"/>
    <w:rsid w:val="001404FA"/>
    <w:rsid w:val="0014151E"/>
    <w:rsid w:val="00141A7A"/>
    <w:rsid w:val="00141CB1"/>
    <w:rsid w:val="00143AC2"/>
    <w:rsid w:val="00143AD6"/>
    <w:rsid w:val="0014468C"/>
    <w:rsid w:val="001455D5"/>
    <w:rsid w:val="001456A8"/>
    <w:rsid w:val="00145A0A"/>
    <w:rsid w:val="0014600D"/>
    <w:rsid w:val="00146384"/>
    <w:rsid w:val="001466D9"/>
    <w:rsid w:val="00146BB2"/>
    <w:rsid w:val="00147631"/>
    <w:rsid w:val="00147CE5"/>
    <w:rsid w:val="00150218"/>
    <w:rsid w:val="0015157A"/>
    <w:rsid w:val="0015185B"/>
    <w:rsid w:val="00152CAC"/>
    <w:rsid w:val="001532D8"/>
    <w:rsid w:val="001543B4"/>
    <w:rsid w:val="00155351"/>
    <w:rsid w:val="00156231"/>
    <w:rsid w:val="001574F9"/>
    <w:rsid w:val="0015761D"/>
    <w:rsid w:val="00157A8C"/>
    <w:rsid w:val="001603A5"/>
    <w:rsid w:val="001607A0"/>
    <w:rsid w:val="00161044"/>
    <w:rsid w:val="0016168B"/>
    <w:rsid w:val="0016331B"/>
    <w:rsid w:val="0016507B"/>
    <w:rsid w:val="001652DD"/>
    <w:rsid w:val="00165F1D"/>
    <w:rsid w:val="00166152"/>
    <w:rsid w:val="0016634A"/>
    <w:rsid w:val="00166442"/>
    <w:rsid w:val="001700FD"/>
    <w:rsid w:val="00170EBA"/>
    <w:rsid w:val="00172CB2"/>
    <w:rsid w:val="00173433"/>
    <w:rsid w:val="00173A9E"/>
    <w:rsid w:val="00174C08"/>
    <w:rsid w:val="0017501B"/>
    <w:rsid w:val="0017503C"/>
    <w:rsid w:val="00175BA6"/>
    <w:rsid w:val="00175BC2"/>
    <w:rsid w:val="00175BC3"/>
    <w:rsid w:val="00176670"/>
    <w:rsid w:val="00177FBC"/>
    <w:rsid w:val="00181521"/>
    <w:rsid w:val="00181537"/>
    <w:rsid w:val="001826BC"/>
    <w:rsid w:val="001826C0"/>
    <w:rsid w:val="001827A0"/>
    <w:rsid w:val="00182A27"/>
    <w:rsid w:val="0018384B"/>
    <w:rsid w:val="00183F5A"/>
    <w:rsid w:val="001844A2"/>
    <w:rsid w:val="001844B5"/>
    <w:rsid w:val="00184BC8"/>
    <w:rsid w:val="00184D62"/>
    <w:rsid w:val="00184F43"/>
    <w:rsid w:val="001857DA"/>
    <w:rsid w:val="00185F7B"/>
    <w:rsid w:val="00186B95"/>
    <w:rsid w:val="001901A8"/>
    <w:rsid w:val="00190974"/>
    <w:rsid w:val="00190F48"/>
    <w:rsid w:val="00191764"/>
    <w:rsid w:val="001925B3"/>
    <w:rsid w:val="00193303"/>
    <w:rsid w:val="001937C1"/>
    <w:rsid w:val="00193A45"/>
    <w:rsid w:val="001941F2"/>
    <w:rsid w:val="00194260"/>
    <w:rsid w:val="00194889"/>
    <w:rsid w:val="00195477"/>
    <w:rsid w:val="001A0125"/>
    <w:rsid w:val="001A033C"/>
    <w:rsid w:val="001A0977"/>
    <w:rsid w:val="001A1159"/>
    <w:rsid w:val="001A190E"/>
    <w:rsid w:val="001A2BC0"/>
    <w:rsid w:val="001A2C98"/>
    <w:rsid w:val="001A2CFD"/>
    <w:rsid w:val="001A2D03"/>
    <w:rsid w:val="001A2EFD"/>
    <w:rsid w:val="001A3149"/>
    <w:rsid w:val="001A3772"/>
    <w:rsid w:val="001A3822"/>
    <w:rsid w:val="001A3C5F"/>
    <w:rsid w:val="001A4845"/>
    <w:rsid w:val="001A4BDA"/>
    <w:rsid w:val="001A5A78"/>
    <w:rsid w:val="001A68D8"/>
    <w:rsid w:val="001A7B91"/>
    <w:rsid w:val="001B0CB7"/>
    <w:rsid w:val="001B2C80"/>
    <w:rsid w:val="001B2E65"/>
    <w:rsid w:val="001B347A"/>
    <w:rsid w:val="001B36E4"/>
    <w:rsid w:val="001B36F5"/>
    <w:rsid w:val="001B5DA1"/>
    <w:rsid w:val="001B6530"/>
    <w:rsid w:val="001B6928"/>
    <w:rsid w:val="001B6941"/>
    <w:rsid w:val="001B6F8A"/>
    <w:rsid w:val="001B71DE"/>
    <w:rsid w:val="001B772D"/>
    <w:rsid w:val="001C0469"/>
    <w:rsid w:val="001C04E3"/>
    <w:rsid w:val="001C1A39"/>
    <w:rsid w:val="001C1F63"/>
    <w:rsid w:val="001C1F68"/>
    <w:rsid w:val="001C2201"/>
    <w:rsid w:val="001C2908"/>
    <w:rsid w:val="001C4E6F"/>
    <w:rsid w:val="001C5226"/>
    <w:rsid w:val="001C5C63"/>
    <w:rsid w:val="001C5CBA"/>
    <w:rsid w:val="001C5D6F"/>
    <w:rsid w:val="001C6221"/>
    <w:rsid w:val="001C6449"/>
    <w:rsid w:val="001D0212"/>
    <w:rsid w:val="001D1AC5"/>
    <w:rsid w:val="001D1B31"/>
    <w:rsid w:val="001D25A0"/>
    <w:rsid w:val="001D3754"/>
    <w:rsid w:val="001D4DA7"/>
    <w:rsid w:val="001D6236"/>
    <w:rsid w:val="001D6B99"/>
    <w:rsid w:val="001D7E2B"/>
    <w:rsid w:val="001E1922"/>
    <w:rsid w:val="001E23CD"/>
    <w:rsid w:val="001E2EF8"/>
    <w:rsid w:val="001E3321"/>
    <w:rsid w:val="001E3D7F"/>
    <w:rsid w:val="001E417C"/>
    <w:rsid w:val="001E41BC"/>
    <w:rsid w:val="001E48D6"/>
    <w:rsid w:val="001E5004"/>
    <w:rsid w:val="001E58F7"/>
    <w:rsid w:val="001E7BE8"/>
    <w:rsid w:val="001E7CEA"/>
    <w:rsid w:val="001F0081"/>
    <w:rsid w:val="001F0E86"/>
    <w:rsid w:val="001F0FA7"/>
    <w:rsid w:val="001F15A8"/>
    <w:rsid w:val="001F1761"/>
    <w:rsid w:val="001F1B3C"/>
    <w:rsid w:val="001F1F48"/>
    <w:rsid w:val="001F2C38"/>
    <w:rsid w:val="001F337E"/>
    <w:rsid w:val="001F3D8D"/>
    <w:rsid w:val="001F5635"/>
    <w:rsid w:val="001F5B15"/>
    <w:rsid w:val="001F5C31"/>
    <w:rsid w:val="001F5F91"/>
    <w:rsid w:val="001F7FF1"/>
    <w:rsid w:val="00200E10"/>
    <w:rsid w:val="00201232"/>
    <w:rsid w:val="0020168A"/>
    <w:rsid w:val="00201A80"/>
    <w:rsid w:val="00202220"/>
    <w:rsid w:val="002025CC"/>
    <w:rsid w:val="00202772"/>
    <w:rsid w:val="00202AFB"/>
    <w:rsid w:val="00202C8F"/>
    <w:rsid w:val="00202F98"/>
    <w:rsid w:val="002032D2"/>
    <w:rsid w:val="0020490A"/>
    <w:rsid w:val="002059E9"/>
    <w:rsid w:val="002061AB"/>
    <w:rsid w:val="002061F2"/>
    <w:rsid w:val="002061F9"/>
    <w:rsid w:val="00207598"/>
    <w:rsid w:val="00207F8D"/>
    <w:rsid w:val="00210351"/>
    <w:rsid w:val="00210912"/>
    <w:rsid w:val="00211D36"/>
    <w:rsid w:val="00211E5B"/>
    <w:rsid w:val="002122C7"/>
    <w:rsid w:val="00212636"/>
    <w:rsid w:val="002128BD"/>
    <w:rsid w:val="00212BC9"/>
    <w:rsid w:val="002133E8"/>
    <w:rsid w:val="00213956"/>
    <w:rsid w:val="0021521C"/>
    <w:rsid w:val="002162C2"/>
    <w:rsid w:val="00216461"/>
    <w:rsid w:val="002167D2"/>
    <w:rsid w:val="002168E2"/>
    <w:rsid w:val="00217AC1"/>
    <w:rsid w:val="00220FF3"/>
    <w:rsid w:val="00221300"/>
    <w:rsid w:val="00222136"/>
    <w:rsid w:val="00222351"/>
    <w:rsid w:val="002231CC"/>
    <w:rsid w:val="002238B1"/>
    <w:rsid w:val="00224A25"/>
    <w:rsid w:val="00224D15"/>
    <w:rsid w:val="00225431"/>
    <w:rsid w:val="002266F6"/>
    <w:rsid w:val="00227609"/>
    <w:rsid w:val="00227E53"/>
    <w:rsid w:val="0023040E"/>
    <w:rsid w:val="002309CE"/>
    <w:rsid w:val="002324C5"/>
    <w:rsid w:val="002341A2"/>
    <w:rsid w:val="002347F1"/>
    <w:rsid w:val="002349A7"/>
    <w:rsid w:val="00234DD8"/>
    <w:rsid w:val="00235204"/>
    <w:rsid w:val="00236EC9"/>
    <w:rsid w:val="002371C6"/>
    <w:rsid w:val="0023728E"/>
    <w:rsid w:val="002411FB"/>
    <w:rsid w:val="002418EA"/>
    <w:rsid w:val="00242DE9"/>
    <w:rsid w:val="00243FF6"/>
    <w:rsid w:val="0024432A"/>
    <w:rsid w:val="00245031"/>
    <w:rsid w:val="00245782"/>
    <w:rsid w:val="00245D6A"/>
    <w:rsid w:val="00246882"/>
    <w:rsid w:val="0025043F"/>
    <w:rsid w:val="002510F6"/>
    <w:rsid w:val="00252732"/>
    <w:rsid w:val="00252A02"/>
    <w:rsid w:val="00253772"/>
    <w:rsid w:val="00253952"/>
    <w:rsid w:val="002546D1"/>
    <w:rsid w:val="00254D00"/>
    <w:rsid w:val="00254ED3"/>
    <w:rsid w:val="002550BA"/>
    <w:rsid w:val="002553F4"/>
    <w:rsid w:val="00255B66"/>
    <w:rsid w:val="002568A5"/>
    <w:rsid w:val="00256B0A"/>
    <w:rsid w:val="00256C96"/>
    <w:rsid w:val="00257279"/>
    <w:rsid w:val="00257DBA"/>
    <w:rsid w:val="002600BF"/>
    <w:rsid w:val="00260467"/>
    <w:rsid w:val="002608B4"/>
    <w:rsid w:val="00262019"/>
    <w:rsid w:val="00262DFD"/>
    <w:rsid w:val="00262E61"/>
    <w:rsid w:val="002631AB"/>
    <w:rsid w:val="00263A53"/>
    <w:rsid w:val="002648C5"/>
    <w:rsid w:val="002702B0"/>
    <w:rsid w:val="00270A47"/>
    <w:rsid w:val="00270BEA"/>
    <w:rsid w:val="0027118D"/>
    <w:rsid w:val="002722AD"/>
    <w:rsid w:val="00273090"/>
    <w:rsid w:val="0027433E"/>
    <w:rsid w:val="00277178"/>
    <w:rsid w:val="00280648"/>
    <w:rsid w:val="00280B66"/>
    <w:rsid w:val="00280F44"/>
    <w:rsid w:val="002824F3"/>
    <w:rsid w:val="00282AE5"/>
    <w:rsid w:val="00282FA6"/>
    <w:rsid w:val="00283DCB"/>
    <w:rsid w:val="00283E9E"/>
    <w:rsid w:val="00284114"/>
    <w:rsid w:val="002847FF"/>
    <w:rsid w:val="00284ACE"/>
    <w:rsid w:val="00284B14"/>
    <w:rsid w:val="00285360"/>
    <w:rsid w:val="00285B26"/>
    <w:rsid w:val="002868E1"/>
    <w:rsid w:val="00286E30"/>
    <w:rsid w:val="00286EAF"/>
    <w:rsid w:val="00287CEA"/>
    <w:rsid w:val="00287DBE"/>
    <w:rsid w:val="00290585"/>
    <w:rsid w:val="00290709"/>
    <w:rsid w:val="00291731"/>
    <w:rsid w:val="00291DF0"/>
    <w:rsid w:val="002920F8"/>
    <w:rsid w:val="00292607"/>
    <w:rsid w:val="002926CA"/>
    <w:rsid w:val="00293B9B"/>
    <w:rsid w:val="00294B31"/>
    <w:rsid w:val="00294C3B"/>
    <w:rsid w:val="00295A8A"/>
    <w:rsid w:val="002A0039"/>
    <w:rsid w:val="002A0C16"/>
    <w:rsid w:val="002A1654"/>
    <w:rsid w:val="002A212B"/>
    <w:rsid w:val="002A26DE"/>
    <w:rsid w:val="002A33A1"/>
    <w:rsid w:val="002A3DA2"/>
    <w:rsid w:val="002A3E04"/>
    <w:rsid w:val="002A4A8A"/>
    <w:rsid w:val="002A4CBC"/>
    <w:rsid w:val="002A4E57"/>
    <w:rsid w:val="002A5800"/>
    <w:rsid w:val="002A6895"/>
    <w:rsid w:val="002A7378"/>
    <w:rsid w:val="002B11F9"/>
    <w:rsid w:val="002B182F"/>
    <w:rsid w:val="002B1A3F"/>
    <w:rsid w:val="002B2747"/>
    <w:rsid w:val="002B2882"/>
    <w:rsid w:val="002B2C8B"/>
    <w:rsid w:val="002B45A0"/>
    <w:rsid w:val="002B47E7"/>
    <w:rsid w:val="002B52DA"/>
    <w:rsid w:val="002B62DA"/>
    <w:rsid w:val="002B636E"/>
    <w:rsid w:val="002B68BB"/>
    <w:rsid w:val="002B6A32"/>
    <w:rsid w:val="002B701A"/>
    <w:rsid w:val="002B7222"/>
    <w:rsid w:val="002B7E94"/>
    <w:rsid w:val="002C0882"/>
    <w:rsid w:val="002C41E7"/>
    <w:rsid w:val="002C43D0"/>
    <w:rsid w:val="002C4A02"/>
    <w:rsid w:val="002C4DFA"/>
    <w:rsid w:val="002C5A4D"/>
    <w:rsid w:val="002C6825"/>
    <w:rsid w:val="002C6A24"/>
    <w:rsid w:val="002C6B11"/>
    <w:rsid w:val="002D084B"/>
    <w:rsid w:val="002D1286"/>
    <w:rsid w:val="002D1AB3"/>
    <w:rsid w:val="002D1CE1"/>
    <w:rsid w:val="002D2068"/>
    <w:rsid w:val="002D30B3"/>
    <w:rsid w:val="002D3444"/>
    <w:rsid w:val="002D48E7"/>
    <w:rsid w:val="002D4FD3"/>
    <w:rsid w:val="002D55C6"/>
    <w:rsid w:val="002D653B"/>
    <w:rsid w:val="002D66C5"/>
    <w:rsid w:val="002D677B"/>
    <w:rsid w:val="002D73C7"/>
    <w:rsid w:val="002D751A"/>
    <w:rsid w:val="002E00A5"/>
    <w:rsid w:val="002E0466"/>
    <w:rsid w:val="002E37F2"/>
    <w:rsid w:val="002E4910"/>
    <w:rsid w:val="002E5BDE"/>
    <w:rsid w:val="002E5D58"/>
    <w:rsid w:val="002E5FFE"/>
    <w:rsid w:val="002E65B0"/>
    <w:rsid w:val="002E6D0C"/>
    <w:rsid w:val="002F04F5"/>
    <w:rsid w:val="002F28CB"/>
    <w:rsid w:val="002F2C9F"/>
    <w:rsid w:val="002F3186"/>
    <w:rsid w:val="002F3547"/>
    <w:rsid w:val="002F4D16"/>
    <w:rsid w:val="002F529C"/>
    <w:rsid w:val="002F63BA"/>
    <w:rsid w:val="002F698D"/>
    <w:rsid w:val="002F758A"/>
    <w:rsid w:val="002F7C36"/>
    <w:rsid w:val="0030031A"/>
    <w:rsid w:val="00302CF5"/>
    <w:rsid w:val="00302F71"/>
    <w:rsid w:val="00303A9D"/>
    <w:rsid w:val="003043F8"/>
    <w:rsid w:val="00304545"/>
    <w:rsid w:val="0030489C"/>
    <w:rsid w:val="00304B49"/>
    <w:rsid w:val="00304BC3"/>
    <w:rsid w:val="00306043"/>
    <w:rsid w:val="00306076"/>
    <w:rsid w:val="00306D92"/>
    <w:rsid w:val="00310032"/>
    <w:rsid w:val="00310B10"/>
    <w:rsid w:val="00312290"/>
    <w:rsid w:val="0031256B"/>
    <w:rsid w:val="00312B07"/>
    <w:rsid w:val="00312B14"/>
    <w:rsid w:val="00312CC7"/>
    <w:rsid w:val="00312FFE"/>
    <w:rsid w:val="00313B95"/>
    <w:rsid w:val="00314190"/>
    <w:rsid w:val="00314587"/>
    <w:rsid w:val="00314B7E"/>
    <w:rsid w:val="00315AB0"/>
    <w:rsid w:val="00315B34"/>
    <w:rsid w:val="00316951"/>
    <w:rsid w:val="00316A84"/>
    <w:rsid w:val="00317030"/>
    <w:rsid w:val="00317716"/>
    <w:rsid w:val="003207FB"/>
    <w:rsid w:val="003216DA"/>
    <w:rsid w:val="003220DC"/>
    <w:rsid w:val="00323662"/>
    <w:rsid w:val="00323CB1"/>
    <w:rsid w:val="0032522A"/>
    <w:rsid w:val="00325743"/>
    <w:rsid w:val="00325CD6"/>
    <w:rsid w:val="0032625C"/>
    <w:rsid w:val="003269E5"/>
    <w:rsid w:val="00330094"/>
    <w:rsid w:val="0033065C"/>
    <w:rsid w:val="003307A9"/>
    <w:rsid w:val="0033123F"/>
    <w:rsid w:val="00331C2C"/>
    <w:rsid w:val="00331E8B"/>
    <w:rsid w:val="0033236B"/>
    <w:rsid w:val="0033594E"/>
    <w:rsid w:val="003367AC"/>
    <w:rsid w:val="00336C6D"/>
    <w:rsid w:val="003379D8"/>
    <w:rsid w:val="0034044F"/>
    <w:rsid w:val="00340F89"/>
    <w:rsid w:val="00341AC0"/>
    <w:rsid w:val="00343CA4"/>
    <w:rsid w:val="00343E19"/>
    <w:rsid w:val="00344529"/>
    <w:rsid w:val="00344B21"/>
    <w:rsid w:val="00344E61"/>
    <w:rsid w:val="00344E86"/>
    <w:rsid w:val="00345983"/>
    <w:rsid w:val="003464D3"/>
    <w:rsid w:val="0034751C"/>
    <w:rsid w:val="0035161C"/>
    <w:rsid w:val="0035176C"/>
    <w:rsid w:val="00351841"/>
    <w:rsid w:val="00351AA5"/>
    <w:rsid w:val="00351B70"/>
    <w:rsid w:val="00351FCF"/>
    <w:rsid w:val="00353568"/>
    <w:rsid w:val="003536F7"/>
    <w:rsid w:val="00354042"/>
    <w:rsid w:val="003549C5"/>
    <w:rsid w:val="00354E2F"/>
    <w:rsid w:val="00355B69"/>
    <w:rsid w:val="00355D7A"/>
    <w:rsid w:val="00355FD2"/>
    <w:rsid w:val="0035623D"/>
    <w:rsid w:val="00356B8F"/>
    <w:rsid w:val="0036093F"/>
    <w:rsid w:val="00361F12"/>
    <w:rsid w:val="0036369D"/>
    <w:rsid w:val="00363E5B"/>
    <w:rsid w:val="0036514D"/>
    <w:rsid w:val="003660EA"/>
    <w:rsid w:val="00366492"/>
    <w:rsid w:val="003666FB"/>
    <w:rsid w:val="003669CD"/>
    <w:rsid w:val="00366C85"/>
    <w:rsid w:val="0036735F"/>
    <w:rsid w:val="00370079"/>
    <w:rsid w:val="00370CF6"/>
    <w:rsid w:val="00371AD3"/>
    <w:rsid w:val="00372B1E"/>
    <w:rsid w:val="00372D4A"/>
    <w:rsid w:val="00374038"/>
    <w:rsid w:val="00375917"/>
    <w:rsid w:val="00375A5F"/>
    <w:rsid w:val="00375BD9"/>
    <w:rsid w:val="003771C7"/>
    <w:rsid w:val="00377D21"/>
    <w:rsid w:val="003802E8"/>
    <w:rsid w:val="003804D0"/>
    <w:rsid w:val="003819E1"/>
    <w:rsid w:val="00381C66"/>
    <w:rsid w:val="00382A77"/>
    <w:rsid w:val="0038343B"/>
    <w:rsid w:val="003835B9"/>
    <w:rsid w:val="003849B6"/>
    <w:rsid w:val="00384C56"/>
    <w:rsid w:val="00384D92"/>
    <w:rsid w:val="00385005"/>
    <w:rsid w:val="0038546E"/>
    <w:rsid w:val="003854B6"/>
    <w:rsid w:val="003869F7"/>
    <w:rsid w:val="00386D21"/>
    <w:rsid w:val="00387911"/>
    <w:rsid w:val="00387A08"/>
    <w:rsid w:val="00390080"/>
    <w:rsid w:val="00390BD6"/>
    <w:rsid w:val="00390CAD"/>
    <w:rsid w:val="00390F82"/>
    <w:rsid w:val="003918F8"/>
    <w:rsid w:val="0039400C"/>
    <w:rsid w:val="00394946"/>
    <w:rsid w:val="003966AA"/>
    <w:rsid w:val="00396A08"/>
    <w:rsid w:val="003A0005"/>
    <w:rsid w:val="003A0928"/>
    <w:rsid w:val="003A0B44"/>
    <w:rsid w:val="003A1EFF"/>
    <w:rsid w:val="003A38DD"/>
    <w:rsid w:val="003A447F"/>
    <w:rsid w:val="003A46D9"/>
    <w:rsid w:val="003A609C"/>
    <w:rsid w:val="003B00DE"/>
    <w:rsid w:val="003B038C"/>
    <w:rsid w:val="003B132F"/>
    <w:rsid w:val="003B2AE8"/>
    <w:rsid w:val="003B322C"/>
    <w:rsid w:val="003B34AB"/>
    <w:rsid w:val="003B3CAB"/>
    <w:rsid w:val="003B3DDF"/>
    <w:rsid w:val="003B4DE8"/>
    <w:rsid w:val="003B55AF"/>
    <w:rsid w:val="003B5CCE"/>
    <w:rsid w:val="003B71BA"/>
    <w:rsid w:val="003C0F8F"/>
    <w:rsid w:val="003C11CC"/>
    <w:rsid w:val="003C129F"/>
    <w:rsid w:val="003C142F"/>
    <w:rsid w:val="003C1995"/>
    <w:rsid w:val="003C20AA"/>
    <w:rsid w:val="003C2141"/>
    <w:rsid w:val="003C236F"/>
    <w:rsid w:val="003C3201"/>
    <w:rsid w:val="003C38C6"/>
    <w:rsid w:val="003C6190"/>
    <w:rsid w:val="003C6F0D"/>
    <w:rsid w:val="003C709C"/>
    <w:rsid w:val="003C7F28"/>
    <w:rsid w:val="003C7FDF"/>
    <w:rsid w:val="003D0080"/>
    <w:rsid w:val="003D10C7"/>
    <w:rsid w:val="003D1995"/>
    <w:rsid w:val="003D2BB2"/>
    <w:rsid w:val="003D35E6"/>
    <w:rsid w:val="003D3E07"/>
    <w:rsid w:val="003D43B8"/>
    <w:rsid w:val="003D4C89"/>
    <w:rsid w:val="003D59CF"/>
    <w:rsid w:val="003D5F53"/>
    <w:rsid w:val="003D6198"/>
    <w:rsid w:val="003D6E7D"/>
    <w:rsid w:val="003D7868"/>
    <w:rsid w:val="003D78E8"/>
    <w:rsid w:val="003D794C"/>
    <w:rsid w:val="003E0DE8"/>
    <w:rsid w:val="003E187F"/>
    <w:rsid w:val="003E20F9"/>
    <w:rsid w:val="003E2949"/>
    <w:rsid w:val="003E29AB"/>
    <w:rsid w:val="003E3B1F"/>
    <w:rsid w:val="003E3BC3"/>
    <w:rsid w:val="003E4F8C"/>
    <w:rsid w:val="003E53AC"/>
    <w:rsid w:val="003E68F0"/>
    <w:rsid w:val="003E6D0F"/>
    <w:rsid w:val="003E7D53"/>
    <w:rsid w:val="003E7DEC"/>
    <w:rsid w:val="003F01EB"/>
    <w:rsid w:val="003F0D2E"/>
    <w:rsid w:val="003F10BD"/>
    <w:rsid w:val="003F15EE"/>
    <w:rsid w:val="003F17F9"/>
    <w:rsid w:val="003F19C9"/>
    <w:rsid w:val="003F19E7"/>
    <w:rsid w:val="003F1F65"/>
    <w:rsid w:val="003F30C4"/>
    <w:rsid w:val="003F31F8"/>
    <w:rsid w:val="003F3A03"/>
    <w:rsid w:val="003F3E7D"/>
    <w:rsid w:val="003F46B8"/>
    <w:rsid w:val="003F4B29"/>
    <w:rsid w:val="003F4C8E"/>
    <w:rsid w:val="003F50D0"/>
    <w:rsid w:val="003F530F"/>
    <w:rsid w:val="003F5A13"/>
    <w:rsid w:val="003F6210"/>
    <w:rsid w:val="003F62CD"/>
    <w:rsid w:val="003F7206"/>
    <w:rsid w:val="00401086"/>
    <w:rsid w:val="004019CC"/>
    <w:rsid w:val="00402AFA"/>
    <w:rsid w:val="0040326C"/>
    <w:rsid w:val="00403E96"/>
    <w:rsid w:val="00404198"/>
    <w:rsid w:val="00406E6F"/>
    <w:rsid w:val="0040709A"/>
    <w:rsid w:val="004108D2"/>
    <w:rsid w:val="00410CDB"/>
    <w:rsid w:val="00410F90"/>
    <w:rsid w:val="00411567"/>
    <w:rsid w:val="004115B6"/>
    <w:rsid w:val="00413DA4"/>
    <w:rsid w:val="004146D7"/>
    <w:rsid w:val="00414880"/>
    <w:rsid w:val="00415C44"/>
    <w:rsid w:val="00415FFC"/>
    <w:rsid w:val="0041613C"/>
    <w:rsid w:val="004166A3"/>
    <w:rsid w:val="00416E19"/>
    <w:rsid w:val="00417041"/>
    <w:rsid w:val="00420EB6"/>
    <w:rsid w:val="004213F8"/>
    <w:rsid w:val="00421788"/>
    <w:rsid w:val="004223A8"/>
    <w:rsid w:val="004240C3"/>
    <w:rsid w:val="004245B0"/>
    <w:rsid w:val="00425709"/>
    <w:rsid w:val="00425F73"/>
    <w:rsid w:val="004274A6"/>
    <w:rsid w:val="004278D1"/>
    <w:rsid w:val="0042791B"/>
    <w:rsid w:val="00430469"/>
    <w:rsid w:val="004308D7"/>
    <w:rsid w:val="00431A60"/>
    <w:rsid w:val="004324A7"/>
    <w:rsid w:val="00433571"/>
    <w:rsid w:val="004343E9"/>
    <w:rsid w:val="00434462"/>
    <w:rsid w:val="00434C51"/>
    <w:rsid w:val="0043521B"/>
    <w:rsid w:val="00435345"/>
    <w:rsid w:val="00435591"/>
    <w:rsid w:val="00435904"/>
    <w:rsid w:val="004370A6"/>
    <w:rsid w:val="00437BC9"/>
    <w:rsid w:val="004402D6"/>
    <w:rsid w:val="00440491"/>
    <w:rsid w:val="00441146"/>
    <w:rsid w:val="004412B4"/>
    <w:rsid w:val="00441556"/>
    <w:rsid w:val="004422E8"/>
    <w:rsid w:val="00442CE3"/>
    <w:rsid w:val="004436FC"/>
    <w:rsid w:val="00444478"/>
    <w:rsid w:val="004444CA"/>
    <w:rsid w:val="00444520"/>
    <w:rsid w:val="004452FA"/>
    <w:rsid w:val="0044531A"/>
    <w:rsid w:val="004453CB"/>
    <w:rsid w:val="004474E3"/>
    <w:rsid w:val="0044785C"/>
    <w:rsid w:val="00447FEF"/>
    <w:rsid w:val="0045077A"/>
    <w:rsid w:val="004509D0"/>
    <w:rsid w:val="004522F3"/>
    <w:rsid w:val="00453546"/>
    <w:rsid w:val="00453B19"/>
    <w:rsid w:val="004542FF"/>
    <w:rsid w:val="00454A28"/>
    <w:rsid w:val="00454C4F"/>
    <w:rsid w:val="0045568A"/>
    <w:rsid w:val="004557D7"/>
    <w:rsid w:val="004557EF"/>
    <w:rsid w:val="00455DFA"/>
    <w:rsid w:val="00460501"/>
    <w:rsid w:val="00460888"/>
    <w:rsid w:val="00460F7B"/>
    <w:rsid w:val="00461854"/>
    <w:rsid w:val="00461D0A"/>
    <w:rsid w:val="00462004"/>
    <w:rsid w:val="00462339"/>
    <w:rsid w:val="00462433"/>
    <w:rsid w:val="00462706"/>
    <w:rsid w:val="0046276A"/>
    <w:rsid w:val="00463A1F"/>
    <w:rsid w:val="00463E81"/>
    <w:rsid w:val="004647C6"/>
    <w:rsid w:val="00465657"/>
    <w:rsid w:val="00465BA1"/>
    <w:rsid w:val="00465C7E"/>
    <w:rsid w:val="00466A51"/>
    <w:rsid w:val="00466B43"/>
    <w:rsid w:val="00470707"/>
    <w:rsid w:val="00471BC3"/>
    <w:rsid w:val="00471D1B"/>
    <w:rsid w:val="00472492"/>
    <w:rsid w:val="004731C5"/>
    <w:rsid w:val="00473642"/>
    <w:rsid w:val="00473C25"/>
    <w:rsid w:val="00473FF4"/>
    <w:rsid w:val="00474497"/>
    <w:rsid w:val="0047490C"/>
    <w:rsid w:val="00474DA7"/>
    <w:rsid w:val="00474F21"/>
    <w:rsid w:val="0047753F"/>
    <w:rsid w:val="0048033E"/>
    <w:rsid w:val="00481A45"/>
    <w:rsid w:val="00481A4C"/>
    <w:rsid w:val="00481E33"/>
    <w:rsid w:val="00482294"/>
    <w:rsid w:val="004827B0"/>
    <w:rsid w:val="00483D0F"/>
    <w:rsid w:val="00483E96"/>
    <w:rsid w:val="00484007"/>
    <w:rsid w:val="00484E30"/>
    <w:rsid w:val="00485305"/>
    <w:rsid w:val="0048568A"/>
    <w:rsid w:val="00485BCF"/>
    <w:rsid w:val="00486152"/>
    <w:rsid w:val="00486730"/>
    <w:rsid w:val="00487B1E"/>
    <w:rsid w:val="00487DD2"/>
    <w:rsid w:val="0049014D"/>
    <w:rsid w:val="004903F7"/>
    <w:rsid w:val="0049052D"/>
    <w:rsid w:val="004946E8"/>
    <w:rsid w:val="004948B2"/>
    <w:rsid w:val="00494E00"/>
    <w:rsid w:val="0049575D"/>
    <w:rsid w:val="00495D90"/>
    <w:rsid w:val="00496509"/>
    <w:rsid w:val="0049692E"/>
    <w:rsid w:val="00496B40"/>
    <w:rsid w:val="00496B45"/>
    <w:rsid w:val="0049709E"/>
    <w:rsid w:val="004974B5"/>
    <w:rsid w:val="004A054A"/>
    <w:rsid w:val="004A0B7E"/>
    <w:rsid w:val="004A2985"/>
    <w:rsid w:val="004A29DE"/>
    <w:rsid w:val="004A2D17"/>
    <w:rsid w:val="004A4416"/>
    <w:rsid w:val="004A4786"/>
    <w:rsid w:val="004A4AEB"/>
    <w:rsid w:val="004A4D1B"/>
    <w:rsid w:val="004A4DD5"/>
    <w:rsid w:val="004A5377"/>
    <w:rsid w:val="004A67FC"/>
    <w:rsid w:val="004A6BCE"/>
    <w:rsid w:val="004A6BDB"/>
    <w:rsid w:val="004A6E7F"/>
    <w:rsid w:val="004A7BF8"/>
    <w:rsid w:val="004B0568"/>
    <w:rsid w:val="004B07F3"/>
    <w:rsid w:val="004B0A4A"/>
    <w:rsid w:val="004B0FC9"/>
    <w:rsid w:val="004B3135"/>
    <w:rsid w:val="004B3221"/>
    <w:rsid w:val="004B4540"/>
    <w:rsid w:val="004B4770"/>
    <w:rsid w:val="004B48A8"/>
    <w:rsid w:val="004B490B"/>
    <w:rsid w:val="004B4F5E"/>
    <w:rsid w:val="004B5155"/>
    <w:rsid w:val="004B54E1"/>
    <w:rsid w:val="004B5699"/>
    <w:rsid w:val="004B6E31"/>
    <w:rsid w:val="004B73F0"/>
    <w:rsid w:val="004C2022"/>
    <w:rsid w:val="004C368A"/>
    <w:rsid w:val="004C445C"/>
    <w:rsid w:val="004C4617"/>
    <w:rsid w:val="004C4771"/>
    <w:rsid w:val="004C47A3"/>
    <w:rsid w:val="004C47B5"/>
    <w:rsid w:val="004C4B56"/>
    <w:rsid w:val="004C4D09"/>
    <w:rsid w:val="004C5980"/>
    <w:rsid w:val="004C5F90"/>
    <w:rsid w:val="004C7BE0"/>
    <w:rsid w:val="004C7F95"/>
    <w:rsid w:val="004D061E"/>
    <w:rsid w:val="004D0B19"/>
    <w:rsid w:val="004D1058"/>
    <w:rsid w:val="004D1327"/>
    <w:rsid w:val="004D1B6A"/>
    <w:rsid w:val="004D1E74"/>
    <w:rsid w:val="004D2393"/>
    <w:rsid w:val="004D39A3"/>
    <w:rsid w:val="004D3ABE"/>
    <w:rsid w:val="004D3F79"/>
    <w:rsid w:val="004D4004"/>
    <w:rsid w:val="004D425A"/>
    <w:rsid w:val="004D5141"/>
    <w:rsid w:val="004D5EE5"/>
    <w:rsid w:val="004D64B7"/>
    <w:rsid w:val="004D6CD3"/>
    <w:rsid w:val="004D6CEE"/>
    <w:rsid w:val="004D7143"/>
    <w:rsid w:val="004D79AA"/>
    <w:rsid w:val="004E089E"/>
    <w:rsid w:val="004E08DB"/>
    <w:rsid w:val="004E15DB"/>
    <w:rsid w:val="004E1CA8"/>
    <w:rsid w:val="004E1EB3"/>
    <w:rsid w:val="004E2522"/>
    <w:rsid w:val="004E32F7"/>
    <w:rsid w:val="004E4DF7"/>
    <w:rsid w:val="004E7A7B"/>
    <w:rsid w:val="004E7DFA"/>
    <w:rsid w:val="004F106A"/>
    <w:rsid w:val="004F122F"/>
    <w:rsid w:val="004F1ADC"/>
    <w:rsid w:val="004F51DF"/>
    <w:rsid w:val="004F73D3"/>
    <w:rsid w:val="004F7C8E"/>
    <w:rsid w:val="00502455"/>
    <w:rsid w:val="0050280F"/>
    <w:rsid w:val="00502D80"/>
    <w:rsid w:val="005038BA"/>
    <w:rsid w:val="005042A4"/>
    <w:rsid w:val="005056EE"/>
    <w:rsid w:val="00505CB5"/>
    <w:rsid w:val="005061B8"/>
    <w:rsid w:val="005071DC"/>
    <w:rsid w:val="00507364"/>
    <w:rsid w:val="00507597"/>
    <w:rsid w:val="00510828"/>
    <w:rsid w:val="00510B25"/>
    <w:rsid w:val="00512A82"/>
    <w:rsid w:val="00512C6A"/>
    <w:rsid w:val="005135B2"/>
    <w:rsid w:val="00515000"/>
    <w:rsid w:val="005157F4"/>
    <w:rsid w:val="0051634D"/>
    <w:rsid w:val="005166F0"/>
    <w:rsid w:val="00516789"/>
    <w:rsid w:val="005170A8"/>
    <w:rsid w:val="00517370"/>
    <w:rsid w:val="005178A4"/>
    <w:rsid w:val="00520601"/>
    <w:rsid w:val="0052137B"/>
    <w:rsid w:val="00521571"/>
    <w:rsid w:val="00521714"/>
    <w:rsid w:val="00521A33"/>
    <w:rsid w:val="00522D57"/>
    <w:rsid w:val="005241BB"/>
    <w:rsid w:val="0052617D"/>
    <w:rsid w:val="00526302"/>
    <w:rsid w:val="00526F4B"/>
    <w:rsid w:val="005307C5"/>
    <w:rsid w:val="00530A6E"/>
    <w:rsid w:val="0053163A"/>
    <w:rsid w:val="005319D1"/>
    <w:rsid w:val="00532F4F"/>
    <w:rsid w:val="0053483B"/>
    <w:rsid w:val="00534D46"/>
    <w:rsid w:val="00534E13"/>
    <w:rsid w:val="00535DA1"/>
    <w:rsid w:val="005364A7"/>
    <w:rsid w:val="0053654B"/>
    <w:rsid w:val="005368EF"/>
    <w:rsid w:val="005371FF"/>
    <w:rsid w:val="005404F4"/>
    <w:rsid w:val="00541F7C"/>
    <w:rsid w:val="005421F9"/>
    <w:rsid w:val="0054292A"/>
    <w:rsid w:val="00542B43"/>
    <w:rsid w:val="005438C7"/>
    <w:rsid w:val="00543C0D"/>
    <w:rsid w:val="00543CEC"/>
    <w:rsid w:val="00544649"/>
    <w:rsid w:val="00544B34"/>
    <w:rsid w:val="005454F4"/>
    <w:rsid w:val="005456C8"/>
    <w:rsid w:val="00545AA2"/>
    <w:rsid w:val="00545E17"/>
    <w:rsid w:val="00545E65"/>
    <w:rsid w:val="00546E20"/>
    <w:rsid w:val="005502A1"/>
    <w:rsid w:val="005502FF"/>
    <w:rsid w:val="005508C3"/>
    <w:rsid w:val="00552294"/>
    <w:rsid w:val="00552A6C"/>
    <w:rsid w:val="00552EEC"/>
    <w:rsid w:val="00554826"/>
    <w:rsid w:val="005551AD"/>
    <w:rsid w:val="0055521E"/>
    <w:rsid w:val="0055579E"/>
    <w:rsid w:val="00555B8E"/>
    <w:rsid w:val="00555E72"/>
    <w:rsid w:val="005569E7"/>
    <w:rsid w:val="00557D8F"/>
    <w:rsid w:val="0056136E"/>
    <w:rsid w:val="0056184F"/>
    <w:rsid w:val="00562A10"/>
    <w:rsid w:val="00563558"/>
    <w:rsid w:val="0056383C"/>
    <w:rsid w:val="00563C4A"/>
    <w:rsid w:val="00564BC3"/>
    <w:rsid w:val="00564CA1"/>
    <w:rsid w:val="005656E4"/>
    <w:rsid w:val="00566090"/>
    <w:rsid w:val="00566381"/>
    <w:rsid w:val="00566855"/>
    <w:rsid w:val="00567017"/>
    <w:rsid w:val="00567213"/>
    <w:rsid w:val="00567554"/>
    <w:rsid w:val="0057036B"/>
    <w:rsid w:val="005708A4"/>
    <w:rsid w:val="00570C57"/>
    <w:rsid w:val="00570F39"/>
    <w:rsid w:val="005712AD"/>
    <w:rsid w:val="0057194C"/>
    <w:rsid w:val="00571E8C"/>
    <w:rsid w:val="0057234E"/>
    <w:rsid w:val="00572757"/>
    <w:rsid w:val="00572CDD"/>
    <w:rsid w:val="00573443"/>
    <w:rsid w:val="00574DBE"/>
    <w:rsid w:val="00575AC4"/>
    <w:rsid w:val="00575E69"/>
    <w:rsid w:val="00576A00"/>
    <w:rsid w:val="00576C0C"/>
    <w:rsid w:val="00576E35"/>
    <w:rsid w:val="00577433"/>
    <w:rsid w:val="00577AD6"/>
    <w:rsid w:val="00577EE7"/>
    <w:rsid w:val="00580128"/>
    <w:rsid w:val="005812EE"/>
    <w:rsid w:val="00581906"/>
    <w:rsid w:val="00581A95"/>
    <w:rsid w:val="00581FD5"/>
    <w:rsid w:val="00582092"/>
    <w:rsid w:val="00582D2C"/>
    <w:rsid w:val="005831B5"/>
    <w:rsid w:val="005832A1"/>
    <w:rsid w:val="005834AD"/>
    <w:rsid w:val="00583AB5"/>
    <w:rsid w:val="00583ADE"/>
    <w:rsid w:val="00583C94"/>
    <w:rsid w:val="005840E6"/>
    <w:rsid w:val="00584115"/>
    <w:rsid w:val="00584260"/>
    <w:rsid w:val="0058452A"/>
    <w:rsid w:val="00584EB5"/>
    <w:rsid w:val="00586496"/>
    <w:rsid w:val="00586906"/>
    <w:rsid w:val="00586F53"/>
    <w:rsid w:val="0058733B"/>
    <w:rsid w:val="0058749B"/>
    <w:rsid w:val="00587E6D"/>
    <w:rsid w:val="00587F11"/>
    <w:rsid w:val="0059001D"/>
    <w:rsid w:val="00590233"/>
    <w:rsid w:val="005903A8"/>
    <w:rsid w:val="00590F93"/>
    <w:rsid w:val="00591CB3"/>
    <w:rsid w:val="005927F6"/>
    <w:rsid w:val="005929C0"/>
    <w:rsid w:val="00592A8E"/>
    <w:rsid w:val="00592F23"/>
    <w:rsid w:val="00592FD9"/>
    <w:rsid w:val="005931E8"/>
    <w:rsid w:val="005942A4"/>
    <w:rsid w:val="00594A3A"/>
    <w:rsid w:val="0059545C"/>
    <w:rsid w:val="00595E47"/>
    <w:rsid w:val="00597103"/>
    <w:rsid w:val="005972F1"/>
    <w:rsid w:val="0059746A"/>
    <w:rsid w:val="005A2283"/>
    <w:rsid w:val="005A30DB"/>
    <w:rsid w:val="005A3777"/>
    <w:rsid w:val="005A3A21"/>
    <w:rsid w:val="005A3B9E"/>
    <w:rsid w:val="005A3D34"/>
    <w:rsid w:val="005A45AB"/>
    <w:rsid w:val="005A4606"/>
    <w:rsid w:val="005A4999"/>
    <w:rsid w:val="005A6332"/>
    <w:rsid w:val="005A6649"/>
    <w:rsid w:val="005A6895"/>
    <w:rsid w:val="005A6B9F"/>
    <w:rsid w:val="005A6D03"/>
    <w:rsid w:val="005A6E19"/>
    <w:rsid w:val="005A6F60"/>
    <w:rsid w:val="005A7137"/>
    <w:rsid w:val="005A721C"/>
    <w:rsid w:val="005A7269"/>
    <w:rsid w:val="005B0447"/>
    <w:rsid w:val="005B0D5E"/>
    <w:rsid w:val="005B0FFA"/>
    <w:rsid w:val="005B1ACF"/>
    <w:rsid w:val="005B1B8A"/>
    <w:rsid w:val="005B201B"/>
    <w:rsid w:val="005B2449"/>
    <w:rsid w:val="005B2E97"/>
    <w:rsid w:val="005B511D"/>
    <w:rsid w:val="005B517A"/>
    <w:rsid w:val="005B654C"/>
    <w:rsid w:val="005B6865"/>
    <w:rsid w:val="005B6DE1"/>
    <w:rsid w:val="005B774F"/>
    <w:rsid w:val="005B7838"/>
    <w:rsid w:val="005B7F30"/>
    <w:rsid w:val="005C1603"/>
    <w:rsid w:val="005C1CE2"/>
    <w:rsid w:val="005C1DC8"/>
    <w:rsid w:val="005C2AE2"/>
    <w:rsid w:val="005C3AB6"/>
    <w:rsid w:val="005C3FCA"/>
    <w:rsid w:val="005C5112"/>
    <w:rsid w:val="005C53BD"/>
    <w:rsid w:val="005C58E7"/>
    <w:rsid w:val="005C599D"/>
    <w:rsid w:val="005C6B3E"/>
    <w:rsid w:val="005C7597"/>
    <w:rsid w:val="005D3FF5"/>
    <w:rsid w:val="005D6E63"/>
    <w:rsid w:val="005D71E9"/>
    <w:rsid w:val="005D74CA"/>
    <w:rsid w:val="005E09DB"/>
    <w:rsid w:val="005E20C6"/>
    <w:rsid w:val="005E23A4"/>
    <w:rsid w:val="005E2FCF"/>
    <w:rsid w:val="005E30DB"/>
    <w:rsid w:val="005E317B"/>
    <w:rsid w:val="005E4A15"/>
    <w:rsid w:val="005E4B72"/>
    <w:rsid w:val="005E56F7"/>
    <w:rsid w:val="005E75A0"/>
    <w:rsid w:val="005E7789"/>
    <w:rsid w:val="005E7B28"/>
    <w:rsid w:val="005F04F3"/>
    <w:rsid w:val="005F0510"/>
    <w:rsid w:val="005F2939"/>
    <w:rsid w:val="005F2C4C"/>
    <w:rsid w:val="005F3612"/>
    <w:rsid w:val="005F49D1"/>
    <w:rsid w:val="005F4C49"/>
    <w:rsid w:val="005F6B40"/>
    <w:rsid w:val="005F798F"/>
    <w:rsid w:val="005F7E2C"/>
    <w:rsid w:val="00600372"/>
    <w:rsid w:val="00601FCA"/>
    <w:rsid w:val="0060232A"/>
    <w:rsid w:val="00602385"/>
    <w:rsid w:val="00603857"/>
    <w:rsid w:val="00604928"/>
    <w:rsid w:val="00606502"/>
    <w:rsid w:val="006067A0"/>
    <w:rsid w:val="0060680D"/>
    <w:rsid w:val="0060691C"/>
    <w:rsid w:val="00606C3F"/>
    <w:rsid w:val="00607E54"/>
    <w:rsid w:val="00610A1A"/>
    <w:rsid w:val="00610AD4"/>
    <w:rsid w:val="00611039"/>
    <w:rsid w:val="0061137A"/>
    <w:rsid w:val="006119E8"/>
    <w:rsid w:val="00611DF6"/>
    <w:rsid w:val="00612579"/>
    <w:rsid w:val="00612FE5"/>
    <w:rsid w:val="00613254"/>
    <w:rsid w:val="006147A3"/>
    <w:rsid w:val="00614F84"/>
    <w:rsid w:val="006153F2"/>
    <w:rsid w:val="0061554E"/>
    <w:rsid w:val="006165C3"/>
    <w:rsid w:val="00616621"/>
    <w:rsid w:val="006176F3"/>
    <w:rsid w:val="00620645"/>
    <w:rsid w:val="00621428"/>
    <w:rsid w:val="00621E85"/>
    <w:rsid w:val="006228CA"/>
    <w:rsid w:val="00622948"/>
    <w:rsid w:val="00622B84"/>
    <w:rsid w:val="00622EB0"/>
    <w:rsid w:val="0062315B"/>
    <w:rsid w:val="00623625"/>
    <w:rsid w:val="00623632"/>
    <w:rsid w:val="006240F5"/>
    <w:rsid w:val="00625B4F"/>
    <w:rsid w:val="00625D0E"/>
    <w:rsid w:val="006266D8"/>
    <w:rsid w:val="006268C4"/>
    <w:rsid w:val="006269EA"/>
    <w:rsid w:val="00627150"/>
    <w:rsid w:val="006276AF"/>
    <w:rsid w:val="006301EF"/>
    <w:rsid w:val="00630552"/>
    <w:rsid w:val="00630939"/>
    <w:rsid w:val="006309EB"/>
    <w:rsid w:val="00630F06"/>
    <w:rsid w:val="00631328"/>
    <w:rsid w:val="00631859"/>
    <w:rsid w:val="00632AEA"/>
    <w:rsid w:val="00632B18"/>
    <w:rsid w:val="00632E83"/>
    <w:rsid w:val="00632EBC"/>
    <w:rsid w:val="00633017"/>
    <w:rsid w:val="006333D7"/>
    <w:rsid w:val="00634423"/>
    <w:rsid w:val="00634641"/>
    <w:rsid w:val="0063481D"/>
    <w:rsid w:val="00634B37"/>
    <w:rsid w:val="00634B5E"/>
    <w:rsid w:val="00636C35"/>
    <w:rsid w:val="00640A4E"/>
    <w:rsid w:val="00640FCA"/>
    <w:rsid w:val="006416AE"/>
    <w:rsid w:val="00642B78"/>
    <w:rsid w:val="006433A8"/>
    <w:rsid w:val="00644422"/>
    <w:rsid w:val="006445BD"/>
    <w:rsid w:val="006449E2"/>
    <w:rsid w:val="00644D59"/>
    <w:rsid w:val="00645297"/>
    <w:rsid w:val="0064543C"/>
    <w:rsid w:val="0064594A"/>
    <w:rsid w:val="00645A83"/>
    <w:rsid w:val="00646213"/>
    <w:rsid w:val="006478D4"/>
    <w:rsid w:val="00647A64"/>
    <w:rsid w:val="00652225"/>
    <w:rsid w:val="00652C0B"/>
    <w:rsid w:val="0065364A"/>
    <w:rsid w:val="006538D5"/>
    <w:rsid w:val="0065444D"/>
    <w:rsid w:val="00654793"/>
    <w:rsid w:val="00654B52"/>
    <w:rsid w:val="00655652"/>
    <w:rsid w:val="0065696B"/>
    <w:rsid w:val="00657118"/>
    <w:rsid w:val="0066098F"/>
    <w:rsid w:val="00660C2D"/>
    <w:rsid w:val="0066175D"/>
    <w:rsid w:val="00661A1F"/>
    <w:rsid w:val="00662942"/>
    <w:rsid w:val="0066379D"/>
    <w:rsid w:val="00664951"/>
    <w:rsid w:val="00665A7C"/>
    <w:rsid w:val="00666870"/>
    <w:rsid w:val="00667722"/>
    <w:rsid w:val="00670227"/>
    <w:rsid w:val="006709E0"/>
    <w:rsid w:val="00670B9E"/>
    <w:rsid w:val="006712FB"/>
    <w:rsid w:val="00671391"/>
    <w:rsid w:val="006715BC"/>
    <w:rsid w:val="00671A58"/>
    <w:rsid w:val="00672C05"/>
    <w:rsid w:val="0067385D"/>
    <w:rsid w:val="00674653"/>
    <w:rsid w:val="00674E08"/>
    <w:rsid w:val="00674FE6"/>
    <w:rsid w:val="00675C34"/>
    <w:rsid w:val="00676991"/>
    <w:rsid w:val="006778B1"/>
    <w:rsid w:val="00680496"/>
    <w:rsid w:val="0068054E"/>
    <w:rsid w:val="00681173"/>
    <w:rsid w:val="00681662"/>
    <w:rsid w:val="006827F0"/>
    <w:rsid w:val="00682AF4"/>
    <w:rsid w:val="00682C93"/>
    <w:rsid w:val="00684DEA"/>
    <w:rsid w:val="00684EF2"/>
    <w:rsid w:val="006868D8"/>
    <w:rsid w:val="00687DF6"/>
    <w:rsid w:val="00687F40"/>
    <w:rsid w:val="00690DFA"/>
    <w:rsid w:val="00690E39"/>
    <w:rsid w:val="00691B7A"/>
    <w:rsid w:val="00691E4A"/>
    <w:rsid w:val="00692D22"/>
    <w:rsid w:val="00692F91"/>
    <w:rsid w:val="006942B3"/>
    <w:rsid w:val="006943E9"/>
    <w:rsid w:val="0069460D"/>
    <w:rsid w:val="00694719"/>
    <w:rsid w:val="00694875"/>
    <w:rsid w:val="00694A4B"/>
    <w:rsid w:val="00694EA1"/>
    <w:rsid w:val="006959DE"/>
    <w:rsid w:val="00696146"/>
    <w:rsid w:val="00696BEE"/>
    <w:rsid w:val="00696D0B"/>
    <w:rsid w:val="00696DDE"/>
    <w:rsid w:val="00696FBF"/>
    <w:rsid w:val="00697C4E"/>
    <w:rsid w:val="006A07A5"/>
    <w:rsid w:val="006A08E8"/>
    <w:rsid w:val="006A0E0F"/>
    <w:rsid w:val="006A2664"/>
    <w:rsid w:val="006A3099"/>
    <w:rsid w:val="006A3171"/>
    <w:rsid w:val="006A3320"/>
    <w:rsid w:val="006A3EC2"/>
    <w:rsid w:val="006A5550"/>
    <w:rsid w:val="006A5797"/>
    <w:rsid w:val="006B0890"/>
    <w:rsid w:val="006B14F6"/>
    <w:rsid w:val="006B1DDB"/>
    <w:rsid w:val="006B2044"/>
    <w:rsid w:val="006B3EC1"/>
    <w:rsid w:val="006B4799"/>
    <w:rsid w:val="006B47EA"/>
    <w:rsid w:val="006B5534"/>
    <w:rsid w:val="006B7FD6"/>
    <w:rsid w:val="006C0D03"/>
    <w:rsid w:val="006C1574"/>
    <w:rsid w:val="006C2306"/>
    <w:rsid w:val="006C2D6C"/>
    <w:rsid w:val="006C3CF7"/>
    <w:rsid w:val="006C3FB1"/>
    <w:rsid w:val="006C5C46"/>
    <w:rsid w:val="006C6731"/>
    <w:rsid w:val="006C6D5D"/>
    <w:rsid w:val="006C71BE"/>
    <w:rsid w:val="006C7429"/>
    <w:rsid w:val="006C7D5D"/>
    <w:rsid w:val="006D0E62"/>
    <w:rsid w:val="006D17F0"/>
    <w:rsid w:val="006D1891"/>
    <w:rsid w:val="006D1E53"/>
    <w:rsid w:val="006D29DA"/>
    <w:rsid w:val="006D360F"/>
    <w:rsid w:val="006D39E2"/>
    <w:rsid w:val="006D3B04"/>
    <w:rsid w:val="006D472E"/>
    <w:rsid w:val="006D4865"/>
    <w:rsid w:val="006D4982"/>
    <w:rsid w:val="006D4EB3"/>
    <w:rsid w:val="006D71D7"/>
    <w:rsid w:val="006E0596"/>
    <w:rsid w:val="006E08DB"/>
    <w:rsid w:val="006E0C60"/>
    <w:rsid w:val="006E2330"/>
    <w:rsid w:val="006E2D88"/>
    <w:rsid w:val="006E2D9F"/>
    <w:rsid w:val="006E3020"/>
    <w:rsid w:val="006E3065"/>
    <w:rsid w:val="006E48CC"/>
    <w:rsid w:val="006E4D7A"/>
    <w:rsid w:val="006E590A"/>
    <w:rsid w:val="006E6741"/>
    <w:rsid w:val="006E6BD9"/>
    <w:rsid w:val="006E71D1"/>
    <w:rsid w:val="006E7695"/>
    <w:rsid w:val="006E7E2B"/>
    <w:rsid w:val="006F0AF2"/>
    <w:rsid w:val="006F0F3B"/>
    <w:rsid w:val="006F12D3"/>
    <w:rsid w:val="006F1E5F"/>
    <w:rsid w:val="006F4700"/>
    <w:rsid w:val="006F4BA8"/>
    <w:rsid w:val="006F4EFA"/>
    <w:rsid w:val="006F549D"/>
    <w:rsid w:val="006F5B06"/>
    <w:rsid w:val="006F6F45"/>
    <w:rsid w:val="006F7C73"/>
    <w:rsid w:val="00700A4C"/>
    <w:rsid w:val="00700C3B"/>
    <w:rsid w:val="007012C4"/>
    <w:rsid w:val="007014A4"/>
    <w:rsid w:val="00701BBD"/>
    <w:rsid w:val="00701E34"/>
    <w:rsid w:val="00702883"/>
    <w:rsid w:val="00702AA0"/>
    <w:rsid w:val="00703922"/>
    <w:rsid w:val="00704074"/>
    <w:rsid w:val="00704B15"/>
    <w:rsid w:val="00704E87"/>
    <w:rsid w:val="0070540E"/>
    <w:rsid w:val="007079E0"/>
    <w:rsid w:val="00707B09"/>
    <w:rsid w:val="00710248"/>
    <w:rsid w:val="00711D7F"/>
    <w:rsid w:val="00712B98"/>
    <w:rsid w:val="00713004"/>
    <w:rsid w:val="007135FE"/>
    <w:rsid w:val="007145CC"/>
    <w:rsid w:val="0071465E"/>
    <w:rsid w:val="00714C73"/>
    <w:rsid w:val="00715147"/>
    <w:rsid w:val="00715503"/>
    <w:rsid w:val="00715520"/>
    <w:rsid w:val="00717A7C"/>
    <w:rsid w:val="00720862"/>
    <w:rsid w:val="007217B4"/>
    <w:rsid w:val="0072248D"/>
    <w:rsid w:val="00722763"/>
    <w:rsid w:val="00722938"/>
    <w:rsid w:val="007229DE"/>
    <w:rsid w:val="00722E73"/>
    <w:rsid w:val="00722F72"/>
    <w:rsid w:val="00723529"/>
    <w:rsid w:val="00723E4A"/>
    <w:rsid w:val="00724279"/>
    <w:rsid w:val="00724973"/>
    <w:rsid w:val="00724B37"/>
    <w:rsid w:val="00725309"/>
    <w:rsid w:val="00725441"/>
    <w:rsid w:val="007266FE"/>
    <w:rsid w:val="0072705B"/>
    <w:rsid w:val="0073039B"/>
    <w:rsid w:val="0073200E"/>
    <w:rsid w:val="00732ED8"/>
    <w:rsid w:val="007332BA"/>
    <w:rsid w:val="007336D9"/>
    <w:rsid w:val="00734787"/>
    <w:rsid w:val="007355F2"/>
    <w:rsid w:val="0073584F"/>
    <w:rsid w:val="00735BEF"/>
    <w:rsid w:val="0073673B"/>
    <w:rsid w:val="00737E38"/>
    <w:rsid w:val="0074017E"/>
    <w:rsid w:val="0074045D"/>
    <w:rsid w:val="00741505"/>
    <w:rsid w:val="00742921"/>
    <w:rsid w:val="00745ABB"/>
    <w:rsid w:val="007464E8"/>
    <w:rsid w:val="007468EE"/>
    <w:rsid w:val="00746C07"/>
    <w:rsid w:val="00747C51"/>
    <w:rsid w:val="00750123"/>
    <w:rsid w:val="00750972"/>
    <w:rsid w:val="00754521"/>
    <w:rsid w:val="0075463B"/>
    <w:rsid w:val="0075515B"/>
    <w:rsid w:val="00755818"/>
    <w:rsid w:val="00756E62"/>
    <w:rsid w:val="00760B7F"/>
    <w:rsid w:val="0076110A"/>
    <w:rsid w:val="007628AB"/>
    <w:rsid w:val="00762CA5"/>
    <w:rsid w:val="00763496"/>
    <w:rsid w:val="00763520"/>
    <w:rsid w:val="00764176"/>
    <w:rsid w:val="00765F7F"/>
    <w:rsid w:val="007661FE"/>
    <w:rsid w:val="007664D0"/>
    <w:rsid w:val="0076779F"/>
    <w:rsid w:val="00767DB9"/>
    <w:rsid w:val="00770326"/>
    <w:rsid w:val="00770391"/>
    <w:rsid w:val="00771C6B"/>
    <w:rsid w:val="0077284A"/>
    <w:rsid w:val="00772F64"/>
    <w:rsid w:val="0077599E"/>
    <w:rsid w:val="00776749"/>
    <w:rsid w:val="0078017D"/>
    <w:rsid w:val="007804A8"/>
    <w:rsid w:val="0078052C"/>
    <w:rsid w:val="007805F4"/>
    <w:rsid w:val="007826E6"/>
    <w:rsid w:val="00782901"/>
    <w:rsid w:val="00784960"/>
    <w:rsid w:val="00784C46"/>
    <w:rsid w:val="00785C29"/>
    <w:rsid w:val="00785C92"/>
    <w:rsid w:val="007878F2"/>
    <w:rsid w:val="00790718"/>
    <w:rsid w:val="00790C40"/>
    <w:rsid w:val="00790D80"/>
    <w:rsid w:val="00790F89"/>
    <w:rsid w:val="007916CD"/>
    <w:rsid w:val="00791848"/>
    <w:rsid w:val="00791DDF"/>
    <w:rsid w:val="00791EB7"/>
    <w:rsid w:val="00792025"/>
    <w:rsid w:val="007924EA"/>
    <w:rsid w:val="00794D2B"/>
    <w:rsid w:val="0079524F"/>
    <w:rsid w:val="007953B8"/>
    <w:rsid w:val="00795DB2"/>
    <w:rsid w:val="00796451"/>
    <w:rsid w:val="00796B09"/>
    <w:rsid w:val="007A03B9"/>
    <w:rsid w:val="007A0CDB"/>
    <w:rsid w:val="007A12AD"/>
    <w:rsid w:val="007A27BC"/>
    <w:rsid w:val="007A2F5F"/>
    <w:rsid w:val="007A3860"/>
    <w:rsid w:val="007A3892"/>
    <w:rsid w:val="007A4145"/>
    <w:rsid w:val="007A4332"/>
    <w:rsid w:val="007A4D0F"/>
    <w:rsid w:val="007A5AED"/>
    <w:rsid w:val="007B0995"/>
    <w:rsid w:val="007B0F4F"/>
    <w:rsid w:val="007B1471"/>
    <w:rsid w:val="007B20F7"/>
    <w:rsid w:val="007B27D2"/>
    <w:rsid w:val="007B2BDF"/>
    <w:rsid w:val="007B3032"/>
    <w:rsid w:val="007B33D0"/>
    <w:rsid w:val="007B3487"/>
    <w:rsid w:val="007B34BF"/>
    <w:rsid w:val="007B364D"/>
    <w:rsid w:val="007B4B2A"/>
    <w:rsid w:val="007B5474"/>
    <w:rsid w:val="007B55E9"/>
    <w:rsid w:val="007B5EB3"/>
    <w:rsid w:val="007B5F77"/>
    <w:rsid w:val="007B5FAD"/>
    <w:rsid w:val="007B677B"/>
    <w:rsid w:val="007B7ED5"/>
    <w:rsid w:val="007C1E0E"/>
    <w:rsid w:val="007C23ED"/>
    <w:rsid w:val="007C2FD5"/>
    <w:rsid w:val="007C41B6"/>
    <w:rsid w:val="007C4330"/>
    <w:rsid w:val="007C47BC"/>
    <w:rsid w:val="007C4C55"/>
    <w:rsid w:val="007C53E2"/>
    <w:rsid w:val="007C578D"/>
    <w:rsid w:val="007C5E27"/>
    <w:rsid w:val="007C63A9"/>
    <w:rsid w:val="007D0855"/>
    <w:rsid w:val="007D0A93"/>
    <w:rsid w:val="007D0ED7"/>
    <w:rsid w:val="007D14C2"/>
    <w:rsid w:val="007D15AC"/>
    <w:rsid w:val="007D17D8"/>
    <w:rsid w:val="007D1AF2"/>
    <w:rsid w:val="007D217B"/>
    <w:rsid w:val="007D2AD1"/>
    <w:rsid w:val="007D4E03"/>
    <w:rsid w:val="007D62A9"/>
    <w:rsid w:val="007D6450"/>
    <w:rsid w:val="007D7195"/>
    <w:rsid w:val="007D7D53"/>
    <w:rsid w:val="007E045D"/>
    <w:rsid w:val="007E08B4"/>
    <w:rsid w:val="007E0DAE"/>
    <w:rsid w:val="007E1791"/>
    <w:rsid w:val="007E1E42"/>
    <w:rsid w:val="007E33F5"/>
    <w:rsid w:val="007E3D0A"/>
    <w:rsid w:val="007E45FA"/>
    <w:rsid w:val="007E46ED"/>
    <w:rsid w:val="007E49DF"/>
    <w:rsid w:val="007E6EC5"/>
    <w:rsid w:val="007E6F23"/>
    <w:rsid w:val="007E7F67"/>
    <w:rsid w:val="007F1A63"/>
    <w:rsid w:val="007F1ABF"/>
    <w:rsid w:val="007F2245"/>
    <w:rsid w:val="007F255A"/>
    <w:rsid w:val="007F290E"/>
    <w:rsid w:val="007F3043"/>
    <w:rsid w:val="007F3787"/>
    <w:rsid w:val="007F442D"/>
    <w:rsid w:val="007F5EC2"/>
    <w:rsid w:val="007F74AE"/>
    <w:rsid w:val="007F7F66"/>
    <w:rsid w:val="00801368"/>
    <w:rsid w:val="00802572"/>
    <w:rsid w:val="00803022"/>
    <w:rsid w:val="00803445"/>
    <w:rsid w:val="008035A0"/>
    <w:rsid w:val="0080583F"/>
    <w:rsid w:val="00805C2B"/>
    <w:rsid w:val="0080782F"/>
    <w:rsid w:val="00810229"/>
    <w:rsid w:val="0081051B"/>
    <w:rsid w:val="00810EC7"/>
    <w:rsid w:val="008115DF"/>
    <w:rsid w:val="00812187"/>
    <w:rsid w:val="00813D81"/>
    <w:rsid w:val="00814158"/>
    <w:rsid w:val="00814D8E"/>
    <w:rsid w:val="008152B0"/>
    <w:rsid w:val="008154EF"/>
    <w:rsid w:val="00815657"/>
    <w:rsid w:val="008169F0"/>
    <w:rsid w:val="0082067A"/>
    <w:rsid w:val="00820CEC"/>
    <w:rsid w:val="00821013"/>
    <w:rsid w:val="00823709"/>
    <w:rsid w:val="008237E0"/>
    <w:rsid w:val="00823E0C"/>
    <w:rsid w:val="0082431B"/>
    <w:rsid w:val="008243E5"/>
    <w:rsid w:val="0082517D"/>
    <w:rsid w:val="00825C6C"/>
    <w:rsid w:val="00825EE9"/>
    <w:rsid w:val="00825FDC"/>
    <w:rsid w:val="0082733A"/>
    <w:rsid w:val="008308A8"/>
    <w:rsid w:val="00830A6D"/>
    <w:rsid w:val="00830B88"/>
    <w:rsid w:val="00830F23"/>
    <w:rsid w:val="00831496"/>
    <w:rsid w:val="00831513"/>
    <w:rsid w:val="00831A39"/>
    <w:rsid w:val="00831DFF"/>
    <w:rsid w:val="008325DA"/>
    <w:rsid w:val="008330FA"/>
    <w:rsid w:val="0083388D"/>
    <w:rsid w:val="00835B54"/>
    <w:rsid w:val="00836B96"/>
    <w:rsid w:val="008370A7"/>
    <w:rsid w:val="008371A5"/>
    <w:rsid w:val="00837679"/>
    <w:rsid w:val="0083797B"/>
    <w:rsid w:val="00837A3D"/>
    <w:rsid w:val="00837B58"/>
    <w:rsid w:val="00837DB5"/>
    <w:rsid w:val="00837F47"/>
    <w:rsid w:val="00840919"/>
    <w:rsid w:val="008415A9"/>
    <w:rsid w:val="00841BF4"/>
    <w:rsid w:val="00842387"/>
    <w:rsid w:val="008437A1"/>
    <w:rsid w:val="00844EB9"/>
    <w:rsid w:val="00847218"/>
    <w:rsid w:val="008500D1"/>
    <w:rsid w:val="008521CE"/>
    <w:rsid w:val="008527F7"/>
    <w:rsid w:val="008547DC"/>
    <w:rsid w:val="00854D38"/>
    <w:rsid w:val="008550FF"/>
    <w:rsid w:val="00855B41"/>
    <w:rsid w:val="0085718A"/>
    <w:rsid w:val="00857BA5"/>
    <w:rsid w:val="00860860"/>
    <w:rsid w:val="00860C08"/>
    <w:rsid w:val="00861998"/>
    <w:rsid w:val="00861AAC"/>
    <w:rsid w:val="00861E88"/>
    <w:rsid w:val="008622A7"/>
    <w:rsid w:val="008626EF"/>
    <w:rsid w:val="008637AE"/>
    <w:rsid w:val="00863BE3"/>
    <w:rsid w:val="008704E3"/>
    <w:rsid w:val="0087156D"/>
    <w:rsid w:val="00871CDD"/>
    <w:rsid w:val="00871FB7"/>
    <w:rsid w:val="008722A0"/>
    <w:rsid w:val="00872557"/>
    <w:rsid w:val="00872D96"/>
    <w:rsid w:val="00872E14"/>
    <w:rsid w:val="00873160"/>
    <w:rsid w:val="00873CEB"/>
    <w:rsid w:val="00873D61"/>
    <w:rsid w:val="0087426D"/>
    <w:rsid w:val="008766AF"/>
    <w:rsid w:val="0088035D"/>
    <w:rsid w:val="00881D2F"/>
    <w:rsid w:val="00881EF9"/>
    <w:rsid w:val="0088212C"/>
    <w:rsid w:val="00883468"/>
    <w:rsid w:val="008855CF"/>
    <w:rsid w:val="00885D60"/>
    <w:rsid w:val="00886770"/>
    <w:rsid w:val="00890028"/>
    <w:rsid w:val="0089086E"/>
    <w:rsid w:val="00891081"/>
    <w:rsid w:val="008921F5"/>
    <w:rsid w:val="00893180"/>
    <w:rsid w:val="008934CA"/>
    <w:rsid w:val="0089442E"/>
    <w:rsid w:val="008944F7"/>
    <w:rsid w:val="00895BE9"/>
    <w:rsid w:val="00895FB6"/>
    <w:rsid w:val="008967EE"/>
    <w:rsid w:val="008975C6"/>
    <w:rsid w:val="0089783E"/>
    <w:rsid w:val="00897DB2"/>
    <w:rsid w:val="008A07CA"/>
    <w:rsid w:val="008A1396"/>
    <w:rsid w:val="008A246E"/>
    <w:rsid w:val="008A2473"/>
    <w:rsid w:val="008A24E8"/>
    <w:rsid w:val="008A289C"/>
    <w:rsid w:val="008A3125"/>
    <w:rsid w:val="008A3283"/>
    <w:rsid w:val="008A37B5"/>
    <w:rsid w:val="008A436B"/>
    <w:rsid w:val="008A44FC"/>
    <w:rsid w:val="008A689D"/>
    <w:rsid w:val="008A7698"/>
    <w:rsid w:val="008A7971"/>
    <w:rsid w:val="008B0960"/>
    <w:rsid w:val="008B0A53"/>
    <w:rsid w:val="008B18B7"/>
    <w:rsid w:val="008B217C"/>
    <w:rsid w:val="008B223C"/>
    <w:rsid w:val="008B2309"/>
    <w:rsid w:val="008B2793"/>
    <w:rsid w:val="008B2BB0"/>
    <w:rsid w:val="008B2D72"/>
    <w:rsid w:val="008B2EEF"/>
    <w:rsid w:val="008B38F1"/>
    <w:rsid w:val="008B3E71"/>
    <w:rsid w:val="008B40DC"/>
    <w:rsid w:val="008B4165"/>
    <w:rsid w:val="008B5902"/>
    <w:rsid w:val="008B6EB5"/>
    <w:rsid w:val="008B742B"/>
    <w:rsid w:val="008C05A3"/>
    <w:rsid w:val="008C0610"/>
    <w:rsid w:val="008C0889"/>
    <w:rsid w:val="008C1297"/>
    <w:rsid w:val="008C2CFB"/>
    <w:rsid w:val="008C3AF7"/>
    <w:rsid w:val="008C3C00"/>
    <w:rsid w:val="008C5D4A"/>
    <w:rsid w:val="008C6298"/>
    <w:rsid w:val="008C7DBD"/>
    <w:rsid w:val="008C7EFB"/>
    <w:rsid w:val="008D061F"/>
    <w:rsid w:val="008D187D"/>
    <w:rsid w:val="008D1A48"/>
    <w:rsid w:val="008D2593"/>
    <w:rsid w:val="008D2F9F"/>
    <w:rsid w:val="008D4251"/>
    <w:rsid w:val="008D45E1"/>
    <w:rsid w:val="008D4C5B"/>
    <w:rsid w:val="008D4F2B"/>
    <w:rsid w:val="008D52C5"/>
    <w:rsid w:val="008D6380"/>
    <w:rsid w:val="008D69A1"/>
    <w:rsid w:val="008E03B1"/>
    <w:rsid w:val="008E0675"/>
    <w:rsid w:val="008E0BD6"/>
    <w:rsid w:val="008E0CB1"/>
    <w:rsid w:val="008E101C"/>
    <w:rsid w:val="008E17D2"/>
    <w:rsid w:val="008E1B5E"/>
    <w:rsid w:val="008E1D19"/>
    <w:rsid w:val="008E2263"/>
    <w:rsid w:val="008E3124"/>
    <w:rsid w:val="008E3173"/>
    <w:rsid w:val="008E3878"/>
    <w:rsid w:val="008E4681"/>
    <w:rsid w:val="008E4C62"/>
    <w:rsid w:val="008E563B"/>
    <w:rsid w:val="008E5970"/>
    <w:rsid w:val="008E5A1B"/>
    <w:rsid w:val="008F06E5"/>
    <w:rsid w:val="008F142A"/>
    <w:rsid w:val="008F1A65"/>
    <w:rsid w:val="008F2564"/>
    <w:rsid w:val="008F39FE"/>
    <w:rsid w:val="008F42D6"/>
    <w:rsid w:val="008F4574"/>
    <w:rsid w:val="008F4F1F"/>
    <w:rsid w:val="008F5896"/>
    <w:rsid w:val="008F65DE"/>
    <w:rsid w:val="008F74CA"/>
    <w:rsid w:val="008F7A69"/>
    <w:rsid w:val="008F7A75"/>
    <w:rsid w:val="008F7D6A"/>
    <w:rsid w:val="008F7EE7"/>
    <w:rsid w:val="00901B56"/>
    <w:rsid w:val="00901EE2"/>
    <w:rsid w:val="00902997"/>
    <w:rsid w:val="00902B53"/>
    <w:rsid w:val="0090318A"/>
    <w:rsid w:val="009032B1"/>
    <w:rsid w:val="00903889"/>
    <w:rsid w:val="00903D28"/>
    <w:rsid w:val="00904394"/>
    <w:rsid w:val="0090447D"/>
    <w:rsid w:val="00904D9F"/>
    <w:rsid w:val="00906F7E"/>
    <w:rsid w:val="00907245"/>
    <w:rsid w:val="009076C6"/>
    <w:rsid w:val="009076E0"/>
    <w:rsid w:val="00907ECC"/>
    <w:rsid w:val="00910291"/>
    <w:rsid w:val="009109A2"/>
    <w:rsid w:val="009118F1"/>
    <w:rsid w:val="00911AA2"/>
    <w:rsid w:val="0091279D"/>
    <w:rsid w:val="00913332"/>
    <w:rsid w:val="00914444"/>
    <w:rsid w:val="009146FE"/>
    <w:rsid w:val="00914E20"/>
    <w:rsid w:val="00915804"/>
    <w:rsid w:val="00915996"/>
    <w:rsid w:val="00916088"/>
    <w:rsid w:val="00916B83"/>
    <w:rsid w:val="00916EE2"/>
    <w:rsid w:val="00916F69"/>
    <w:rsid w:val="00917963"/>
    <w:rsid w:val="0091798B"/>
    <w:rsid w:val="0092077A"/>
    <w:rsid w:val="00921806"/>
    <w:rsid w:val="00922BAD"/>
    <w:rsid w:val="00922F31"/>
    <w:rsid w:val="00923CB6"/>
    <w:rsid w:val="0092502C"/>
    <w:rsid w:val="00925B67"/>
    <w:rsid w:val="00927227"/>
    <w:rsid w:val="0092779D"/>
    <w:rsid w:val="009278C0"/>
    <w:rsid w:val="00927990"/>
    <w:rsid w:val="00927A43"/>
    <w:rsid w:val="00927C22"/>
    <w:rsid w:val="009300C7"/>
    <w:rsid w:val="0093099F"/>
    <w:rsid w:val="0093113F"/>
    <w:rsid w:val="009312FD"/>
    <w:rsid w:val="0093250F"/>
    <w:rsid w:val="00934E81"/>
    <w:rsid w:val="00935692"/>
    <w:rsid w:val="00935CA1"/>
    <w:rsid w:val="0093601C"/>
    <w:rsid w:val="00936164"/>
    <w:rsid w:val="009361EF"/>
    <w:rsid w:val="009365FA"/>
    <w:rsid w:val="009366CF"/>
    <w:rsid w:val="00936A28"/>
    <w:rsid w:val="00936FCF"/>
    <w:rsid w:val="00940022"/>
    <w:rsid w:val="0094009A"/>
    <w:rsid w:val="00940D7F"/>
    <w:rsid w:val="00940ED9"/>
    <w:rsid w:val="0094137E"/>
    <w:rsid w:val="00941942"/>
    <w:rsid w:val="009426BA"/>
    <w:rsid w:val="0094283C"/>
    <w:rsid w:val="00942E74"/>
    <w:rsid w:val="0094350B"/>
    <w:rsid w:val="00943D5D"/>
    <w:rsid w:val="00943DC9"/>
    <w:rsid w:val="00943F66"/>
    <w:rsid w:val="00944144"/>
    <w:rsid w:val="00945966"/>
    <w:rsid w:val="00946303"/>
    <w:rsid w:val="0094642F"/>
    <w:rsid w:val="009464B3"/>
    <w:rsid w:val="00946940"/>
    <w:rsid w:val="00947662"/>
    <w:rsid w:val="00947BB7"/>
    <w:rsid w:val="00947C96"/>
    <w:rsid w:val="00947DD6"/>
    <w:rsid w:val="0095007B"/>
    <w:rsid w:val="00950455"/>
    <w:rsid w:val="00950E4F"/>
    <w:rsid w:val="00951127"/>
    <w:rsid w:val="009521EB"/>
    <w:rsid w:val="0095312A"/>
    <w:rsid w:val="009531B9"/>
    <w:rsid w:val="00953CC4"/>
    <w:rsid w:val="00953E63"/>
    <w:rsid w:val="0095400C"/>
    <w:rsid w:val="0095410B"/>
    <w:rsid w:val="00955F41"/>
    <w:rsid w:val="00956518"/>
    <w:rsid w:val="00957AB3"/>
    <w:rsid w:val="00960129"/>
    <w:rsid w:val="00961F58"/>
    <w:rsid w:val="00963535"/>
    <w:rsid w:val="00963A85"/>
    <w:rsid w:val="00963EA9"/>
    <w:rsid w:val="0096412D"/>
    <w:rsid w:val="009643A6"/>
    <w:rsid w:val="00964AC1"/>
    <w:rsid w:val="00964F58"/>
    <w:rsid w:val="00965865"/>
    <w:rsid w:val="00966540"/>
    <w:rsid w:val="009677AA"/>
    <w:rsid w:val="00967D88"/>
    <w:rsid w:val="00970937"/>
    <w:rsid w:val="0097245A"/>
    <w:rsid w:val="009724A8"/>
    <w:rsid w:val="009724EF"/>
    <w:rsid w:val="00972604"/>
    <w:rsid w:val="0097263D"/>
    <w:rsid w:val="0097380C"/>
    <w:rsid w:val="00973A8A"/>
    <w:rsid w:val="00974240"/>
    <w:rsid w:val="0097480B"/>
    <w:rsid w:val="00974A37"/>
    <w:rsid w:val="00975AC8"/>
    <w:rsid w:val="00976775"/>
    <w:rsid w:val="00980A0E"/>
    <w:rsid w:val="00981234"/>
    <w:rsid w:val="009828B0"/>
    <w:rsid w:val="00982977"/>
    <w:rsid w:val="00982F8B"/>
    <w:rsid w:val="0098315B"/>
    <w:rsid w:val="00983251"/>
    <w:rsid w:val="00983A82"/>
    <w:rsid w:val="00984D7F"/>
    <w:rsid w:val="0098511C"/>
    <w:rsid w:val="00985258"/>
    <w:rsid w:val="0098624F"/>
    <w:rsid w:val="00986D98"/>
    <w:rsid w:val="009878FF"/>
    <w:rsid w:val="00987FC3"/>
    <w:rsid w:val="0099072F"/>
    <w:rsid w:val="0099087C"/>
    <w:rsid w:val="00990A37"/>
    <w:rsid w:val="00990A75"/>
    <w:rsid w:val="009913F8"/>
    <w:rsid w:val="00991B82"/>
    <w:rsid w:val="0099216F"/>
    <w:rsid w:val="00992BA4"/>
    <w:rsid w:val="009948A7"/>
    <w:rsid w:val="0099491D"/>
    <w:rsid w:val="00995CC4"/>
    <w:rsid w:val="00995EC4"/>
    <w:rsid w:val="0099691A"/>
    <w:rsid w:val="009A022D"/>
    <w:rsid w:val="009A1976"/>
    <w:rsid w:val="009A19F2"/>
    <w:rsid w:val="009A1C73"/>
    <w:rsid w:val="009A1D5A"/>
    <w:rsid w:val="009A3BF1"/>
    <w:rsid w:val="009A43E6"/>
    <w:rsid w:val="009A4675"/>
    <w:rsid w:val="009A473C"/>
    <w:rsid w:val="009A4999"/>
    <w:rsid w:val="009A4A19"/>
    <w:rsid w:val="009A5DE6"/>
    <w:rsid w:val="009A60F6"/>
    <w:rsid w:val="009A617E"/>
    <w:rsid w:val="009A6B86"/>
    <w:rsid w:val="009B0C7F"/>
    <w:rsid w:val="009B1B53"/>
    <w:rsid w:val="009B1B70"/>
    <w:rsid w:val="009B29AF"/>
    <w:rsid w:val="009B32B0"/>
    <w:rsid w:val="009B4B4F"/>
    <w:rsid w:val="009B5358"/>
    <w:rsid w:val="009B5B0A"/>
    <w:rsid w:val="009B65D7"/>
    <w:rsid w:val="009B7274"/>
    <w:rsid w:val="009C0398"/>
    <w:rsid w:val="009C0C09"/>
    <w:rsid w:val="009C0CA1"/>
    <w:rsid w:val="009C25B3"/>
    <w:rsid w:val="009C3403"/>
    <w:rsid w:val="009C3E17"/>
    <w:rsid w:val="009C46BB"/>
    <w:rsid w:val="009C6DC1"/>
    <w:rsid w:val="009C710A"/>
    <w:rsid w:val="009C73B5"/>
    <w:rsid w:val="009C7B81"/>
    <w:rsid w:val="009D070F"/>
    <w:rsid w:val="009D10F7"/>
    <w:rsid w:val="009D172B"/>
    <w:rsid w:val="009D1D6F"/>
    <w:rsid w:val="009D3749"/>
    <w:rsid w:val="009D3FA2"/>
    <w:rsid w:val="009D4347"/>
    <w:rsid w:val="009D444F"/>
    <w:rsid w:val="009D4797"/>
    <w:rsid w:val="009D4990"/>
    <w:rsid w:val="009D515C"/>
    <w:rsid w:val="009D5A44"/>
    <w:rsid w:val="009D67B7"/>
    <w:rsid w:val="009D69A1"/>
    <w:rsid w:val="009D6CFE"/>
    <w:rsid w:val="009D6EA5"/>
    <w:rsid w:val="009D7093"/>
    <w:rsid w:val="009D774D"/>
    <w:rsid w:val="009D7C3C"/>
    <w:rsid w:val="009E0114"/>
    <w:rsid w:val="009E12DC"/>
    <w:rsid w:val="009E1BFB"/>
    <w:rsid w:val="009E1C68"/>
    <w:rsid w:val="009E2DCB"/>
    <w:rsid w:val="009E2E40"/>
    <w:rsid w:val="009E2F1F"/>
    <w:rsid w:val="009E3C38"/>
    <w:rsid w:val="009E42EC"/>
    <w:rsid w:val="009E4325"/>
    <w:rsid w:val="009E4BC9"/>
    <w:rsid w:val="009E556B"/>
    <w:rsid w:val="009E56A9"/>
    <w:rsid w:val="009E7929"/>
    <w:rsid w:val="009E7C65"/>
    <w:rsid w:val="009F0777"/>
    <w:rsid w:val="009F0BE6"/>
    <w:rsid w:val="009F1653"/>
    <w:rsid w:val="009F1BD3"/>
    <w:rsid w:val="009F2012"/>
    <w:rsid w:val="009F21B4"/>
    <w:rsid w:val="009F2A45"/>
    <w:rsid w:val="009F2B3E"/>
    <w:rsid w:val="009F3398"/>
    <w:rsid w:val="009F468F"/>
    <w:rsid w:val="009F4885"/>
    <w:rsid w:val="009F5295"/>
    <w:rsid w:val="009F569E"/>
    <w:rsid w:val="009F6392"/>
    <w:rsid w:val="009F698D"/>
    <w:rsid w:val="009F6F42"/>
    <w:rsid w:val="009F7B02"/>
    <w:rsid w:val="009F7B95"/>
    <w:rsid w:val="009F7EFE"/>
    <w:rsid w:val="00A0068E"/>
    <w:rsid w:val="00A01358"/>
    <w:rsid w:val="00A013A6"/>
    <w:rsid w:val="00A01506"/>
    <w:rsid w:val="00A034FC"/>
    <w:rsid w:val="00A03FA2"/>
    <w:rsid w:val="00A04257"/>
    <w:rsid w:val="00A043A1"/>
    <w:rsid w:val="00A04C5E"/>
    <w:rsid w:val="00A04D85"/>
    <w:rsid w:val="00A0597B"/>
    <w:rsid w:val="00A05A31"/>
    <w:rsid w:val="00A06463"/>
    <w:rsid w:val="00A0690E"/>
    <w:rsid w:val="00A0733A"/>
    <w:rsid w:val="00A07CC2"/>
    <w:rsid w:val="00A07E28"/>
    <w:rsid w:val="00A1146F"/>
    <w:rsid w:val="00A11F8E"/>
    <w:rsid w:val="00A121D3"/>
    <w:rsid w:val="00A12237"/>
    <w:rsid w:val="00A12260"/>
    <w:rsid w:val="00A12CBE"/>
    <w:rsid w:val="00A131F7"/>
    <w:rsid w:val="00A13EBE"/>
    <w:rsid w:val="00A1463E"/>
    <w:rsid w:val="00A14A15"/>
    <w:rsid w:val="00A14E85"/>
    <w:rsid w:val="00A1509D"/>
    <w:rsid w:val="00A167A3"/>
    <w:rsid w:val="00A16948"/>
    <w:rsid w:val="00A17200"/>
    <w:rsid w:val="00A1749D"/>
    <w:rsid w:val="00A179CD"/>
    <w:rsid w:val="00A17C71"/>
    <w:rsid w:val="00A17D81"/>
    <w:rsid w:val="00A17FE0"/>
    <w:rsid w:val="00A213EE"/>
    <w:rsid w:val="00A218CD"/>
    <w:rsid w:val="00A21EA8"/>
    <w:rsid w:val="00A239EC"/>
    <w:rsid w:val="00A2442D"/>
    <w:rsid w:val="00A24AB0"/>
    <w:rsid w:val="00A24ED3"/>
    <w:rsid w:val="00A258FB"/>
    <w:rsid w:val="00A26986"/>
    <w:rsid w:val="00A300C6"/>
    <w:rsid w:val="00A30853"/>
    <w:rsid w:val="00A30CAD"/>
    <w:rsid w:val="00A3186A"/>
    <w:rsid w:val="00A32D31"/>
    <w:rsid w:val="00A3325B"/>
    <w:rsid w:val="00A33435"/>
    <w:rsid w:val="00A3364C"/>
    <w:rsid w:val="00A35670"/>
    <w:rsid w:val="00A35C14"/>
    <w:rsid w:val="00A3630D"/>
    <w:rsid w:val="00A368AE"/>
    <w:rsid w:val="00A40C87"/>
    <w:rsid w:val="00A40FA1"/>
    <w:rsid w:val="00A41077"/>
    <w:rsid w:val="00A411CC"/>
    <w:rsid w:val="00A41FC3"/>
    <w:rsid w:val="00A423BB"/>
    <w:rsid w:val="00A42BBE"/>
    <w:rsid w:val="00A42D3C"/>
    <w:rsid w:val="00A42EFA"/>
    <w:rsid w:val="00A42F76"/>
    <w:rsid w:val="00A43171"/>
    <w:rsid w:val="00A43DAC"/>
    <w:rsid w:val="00A44627"/>
    <w:rsid w:val="00A46022"/>
    <w:rsid w:val="00A461BF"/>
    <w:rsid w:val="00A470C4"/>
    <w:rsid w:val="00A50178"/>
    <w:rsid w:val="00A5045F"/>
    <w:rsid w:val="00A50C2C"/>
    <w:rsid w:val="00A51D02"/>
    <w:rsid w:val="00A51FA2"/>
    <w:rsid w:val="00A52AA8"/>
    <w:rsid w:val="00A52B8B"/>
    <w:rsid w:val="00A52BBB"/>
    <w:rsid w:val="00A53969"/>
    <w:rsid w:val="00A54092"/>
    <w:rsid w:val="00A54254"/>
    <w:rsid w:val="00A54992"/>
    <w:rsid w:val="00A54F46"/>
    <w:rsid w:val="00A553EF"/>
    <w:rsid w:val="00A555F4"/>
    <w:rsid w:val="00A55695"/>
    <w:rsid w:val="00A5593F"/>
    <w:rsid w:val="00A55CA0"/>
    <w:rsid w:val="00A56343"/>
    <w:rsid w:val="00A568BD"/>
    <w:rsid w:val="00A57BAA"/>
    <w:rsid w:val="00A57F40"/>
    <w:rsid w:val="00A60551"/>
    <w:rsid w:val="00A605BC"/>
    <w:rsid w:val="00A60EBD"/>
    <w:rsid w:val="00A6152F"/>
    <w:rsid w:val="00A61828"/>
    <w:rsid w:val="00A62C24"/>
    <w:rsid w:val="00A634C5"/>
    <w:rsid w:val="00A64215"/>
    <w:rsid w:val="00A64A8E"/>
    <w:rsid w:val="00A64D59"/>
    <w:rsid w:val="00A64E27"/>
    <w:rsid w:val="00A654D6"/>
    <w:rsid w:val="00A667E2"/>
    <w:rsid w:val="00A6696C"/>
    <w:rsid w:val="00A66FC6"/>
    <w:rsid w:val="00A6716D"/>
    <w:rsid w:val="00A6750C"/>
    <w:rsid w:val="00A67C41"/>
    <w:rsid w:val="00A7040E"/>
    <w:rsid w:val="00A70900"/>
    <w:rsid w:val="00A7135E"/>
    <w:rsid w:val="00A7168F"/>
    <w:rsid w:val="00A75615"/>
    <w:rsid w:val="00A756FD"/>
    <w:rsid w:val="00A75876"/>
    <w:rsid w:val="00A763F8"/>
    <w:rsid w:val="00A7661E"/>
    <w:rsid w:val="00A779CD"/>
    <w:rsid w:val="00A81E9E"/>
    <w:rsid w:val="00A82D49"/>
    <w:rsid w:val="00A84735"/>
    <w:rsid w:val="00A8478E"/>
    <w:rsid w:val="00A849EF"/>
    <w:rsid w:val="00A84A32"/>
    <w:rsid w:val="00A84F54"/>
    <w:rsid w:val="00A85005"/>
    <w:rsid w:val="00A85052"/>
    <w:rsid w:val="00A85059"/>
    <w:rsid w:val="00A85181"/>
    <w:rsid w:val="00A8534E"/>
    <w:rsid w:val="00A853C0"/>
    <w:rsid w:val="00A85497"/>
    <w:rsid w:val="00A85C9A"/>
    <w:rsid w:val="00A86A57"/>
    <w:rsid w:val="00A87435"/>
    <w:rsid w:val="00A87D9C"/>
    <w:rsid w:val="00A9022E"/>
    <w:rsid w:val="00A909C4"/>
    <w:rsid w:val="00A91E9B"/>
    <w:rsid w:val="00A91EBB"/>
    <w:rsid w:val="00A92306"/>
    <w:rsid w:val="00A9289E"/>
    <w:rsid w:val="00A92962"/>
    <w:rsid w:val="00A93E16"/>
    <w:rsid w:val="00A94B11"/>
    <w:rsid w:val="00A95688"/>
    <w:rsid w:val="00A95BB1"/>
    <w:rsid w:val="00AA0100"/>
    <w:rsid w:val="00AA090A"/>
    <w:rsid w:val="00AA10C1"/>
    <w:rsid w:val="00AA1964"/>
    <w:rsid w:val="00AA19A1"/>
    <w:rsid w:val="00AA1C92"/>
    <w:rsid w:val="00AA1D0D"/>
    <w:rsid w:val="00AA1D87"/>
    <w:rsid w:val="00AA3063"/>
    <w:rsid w:val="00AA3737"/>
    <w:rsid w:val="00AA3980"/>
    <w:rsid w:val="00AA3F4E"/>
    <w:rsid w:val="00AA5828"/>
    <w:rsid w:val="00AA656C"/>
    <w:rsid w:val="00AA6F4C"/>
    <w:rsid w:val="00AA6FF5"/>
    <w:rsid w:val="00AA75F3"/>
    <w:rsid w:val="00AA79F4"/>
    <w:rsid w:val="00AB054A"/>
    <w:rsid w:val="00AB05CA"/>
    <w:rsid w:val="00AB1142"/>
    <w:rsid w:val="00AB217C"/>
    <w:rsid w:val="00AB22D3"/>
    <w:rsid w:val="00AB22E6"/>
    <w:rsid w:val="00AB4C4D"/>
    <w:rsid w:val="00AB5AA0"/>
    <w:rsid w:val="00AB6B50"/>
    <w:rsid w:val="00AB7A80"/>
    <w:rsid w:val="00AC0197"/>
    <w:rsid w:val="00AC1288"/>
    <w:rsid w:val="00AC163D"/>
    <w:rsid w:val="00AC2194"/>
    <w:rsid w:val="00AC2279"/>
    <w:rsid w:val="00AC250D"/>
    <w:rsid w:val="00AC273E"/>
    <w:rsid w:val="00AC2C92"/>
    <w:rsid w:val="00AC35F9"/>
    <w:rsid w:val="00AC3B29"/>
    <w:rsid w:val="00AC3F36"/>
    <w:rsid w:val="00AC3FD3"/>
    <w:rsid w:val="00AC4217"/>
    <w:rsid w:val="00AC467A"/>
    <w:rsid w:val="00AC4B0B"/>
    <w:rsid w:val="00AC5778"/>
    <w:rsid w:val="00AC77E9"/>
    <w:rsid w:val="00AC7865"/>
    <w:rsid w:val="00AC7B1A"/>
    <w:rsid w:val="00AC7FB7"/>
    <w:rsid w:val="00AD110D"/>
    <w:rsid w:val="00AD13F9"/>
    <w:rsid w:val="00AD21D8"/>
    <w:rsid w:val="00AD3E33"/>
    <w:rsid w:val="00AD3E6A"/>
    <w:rsid w:val="00AD3E71"/>
    <w:rsid w:val="00AD49D1"/>
    <w:rsid w:val="00AD56ED"/>
    <w:rsid w:val="00AD698E"/>
    <w:rsid w:val="00AE0211"/>
    <w:rsid w:val="00AE061B"/>
    <w:rsid w:val="00AE067C"/>
    <w:rsid w:val="00AE06B3"/>
    <w:rsid w:val="00AE10A5"/>
    <w:rsid w:val="00AE1969"/>
    <w:rsid w:val="00AE22AC"/>
    <w:rsid w:val="00AE2973"/>
    <w:rsid w:val="00AE2AA9"/>
    <w:rsid w:val="00AE372E"/>
    <w:rsid w:val="00AE52F4"/>
    <w:rsid w:val="00AF0B93"/>
    <w:rsid w:val="00AF153F"/>
    <w:rsid w:val="00AF1900"/>
    <w:rsid w:val="00AF1F64"/>
    <w:rsid w:val="00AF3284"/>
    <w:rsid w:val="00AF559B"/>
    <w:rsid w:val="00AF687C"/>
    <w:rsid w:val="00AF7F14"/>
    <w:rsid w:val="00B00099"/>
    <w:rsid w:val="00B01919"/>
    <w:rsid w:val="00B01F91"/>
    <w:rsid w:val="00B03982"/>
    <w:rsid w:val="00B03B82"/>
    <w:rsid w:val="00B04F8B"/>
    <w:rsid w:val="00B0595C"/>
    <w:rsid w:val="00B06A0B"/>
    <w:rsid w:val="00B07295"/>
    <w:rsid w:val="00B1020A"/>
    <w:rsid w:val="00B10755"/>
    <w:rsid w:val="00B10D17"/>
    <w:rsid w:val="00B116B1"/>
    <w:rsid w:val="00B12369"/>
    <w:rsid w:val="00B125A0"/>
    <w:rsid w:val="00B12BDB"/>
    <w:rsid w:val="00B13F0B"/>
    <w:rsid w:val="00B15838"/>
    <w:rsid w:val="00B15D39"/>
    <w:rsid w:val="00B1768F"/>
    <w:rsid w:val="00B1784D"/>
    <w:rsid w:val="00B17FCC"/>
    <w:rsid w:val="00B20153"/>
    <w:rsid w:val="00B21932"/>
    <w:rsid w:val="00B21A82"/>
    <w:rsid w:val="00B21C9D"/>
    <w:rsid w:val="00B221A1"/>
    <w:rsid w:val="00B23AB4"/>
    <w:rsid w:val="00B25C33"/>
    <w:rsid w:val="00B26803"/>
    <w:rsid w:val="00B268EE"/>
    <w:rsid w:val="00B26F77"/>
    <w:rsid w:val="00B2703D"/>
    <w:rsid w:val="00B2766F"/>
    <w:rsid w:val="00B27B0A"/>
    <w:rsid w:val="00B30DDF"/>
    <w:rsid w:val="00B30F5A"/>
    <w:rsid w:val="00B31112"/>
    <w:rsid w:val="00B311F7"/>
    <w:rsid w:val="00B3140D"/>
    <w:rsid w:val="00B31DE1"/>
    <w:rsid w:val="00B33BA3"/>
    <w:rsid w:val="00B33C7D"/>
    <w:rsid w:val="00B34B68"/>
    <w:rsid w:val="00B35E97"/>
    <w:rsid w:val="00B36303"/>
    <w:rsid w:val="00B36627"/>
    <w:rsid w:val="00B37375"/>
    <w:rsid w:val="00B40AD5"/>
    <w:rsid w:val="00B40E70"/>
    <w:rsid w:val="00B40EC6"/>
    <w:rsid w:val="00B41427"/>
    <w:rsid w:val="00B41608"/>
    <w:rsid w:val="00B41DE2"/>
    <w:rsid w:val="00B41F09"/>
    <w:rsid w:val="00B4277A"/>
    <w:rsid w:val="00B431D3"/>
    <w:rsid w:val="00B43861"/>
    <w:rsid w:val="00B43D42"/>
    <w:rsid w:val="00B44104"/>
    <w:rsid w:val="00B45588"/>
    <w:rsid w:val="00B45C3F"/>
    <w:rsid w:val="00B463F0"/>
    <w:rsid w:val="00B46DF3"/>
    <w:rsid w:val="00B47416"/>
    <w:rsid w:val="00B50110"/>
    <w:rsid w:val="00B5054A"/>
    <w:rsid w:val="00B50DE6"/>
    <w:rsid w:val="00B514C0"/>
    <w:rsid w:val="00B517BE"/>
    <w:rsid w:val="00B536B8"/>
    <w:rsid w:val="00B54516"/>
    <w:rsid w:val="00B54ED8"/>
    <w:rsid w:val="00B54F77"/>
    <w:rsid w:val="00B55E8F"/>
    <w:rsid w:val="00B569DA"/>
    <w:rsid w:val="00B56F40"/>
    <w:rsid w:val="00B57615"/>
    <w:rsid w:val="00B57AF8"/>
    <w:rsid w:val="00B60419"/>
    <w:rsid w:val="00B60451"/>
    <w:rsid w:val="00B60651"/>
    <w:rsid w:val="00B6069F"/>
    <w:rsid w:val="00B61A94"/>
    <w:rsid w:val="00B63794"/>
    <w:rsid w:val="00B63E00"/>
    <w:rsid w:val="00B64059"/>
    <w:rsid w:val="00B648CC"/>
    <w:rsid w:val="00B64EDF"/>
    <w:rsid w:val="00B65D45"/>
    <w:rsid w:val="00B6754E"/>
    <w:rsid w:val="00B67826"/>
    <w:rsid w:val="00B67C27"/>
    <w:rsid w:val="00B70024"/>
    <w:rsid w:val="00B70FAC"/>
    <w:rsid w:val="00B71F50"/>
    <w:rsid w:val="00B74073"/>
    <w:rsid w:val="00B7442D"/>
    <w:rsid w:val="00B74477"/>
    <w:rsid w:val="00B7540A"/>
    <w:rsid w:val="00B76899"/>
    <w:rsid w:val="00B804A0"/>
    <w:rsid w:val="00B81555"/>
    <w:rsid w:val="00B8279D"/>
    <w:rsid w:val="00B842B0"/>
    <w:rsid w:val="00B851F7"/>
    <w:rsid w:val="00B8522F"/>
    <w:rsid w:val="00B85B59"/>
    <w:rsid w:val="00B870B0"/>
    <w:rsid w:val="00B87590"/>
    <w:rsid w:val="00B87C04"/>
    <w:rsid w:val="00B87C2A"/>
    <w:rsid w:val="00B9111E"/>
    <w:rsid w:val="00B9123F"/>
    <w:rsid w:val="00B915ED"/>
    <w:rsid w:val="00B917B0"/>
    <w:rsid w:val="00B9180B"/>
    <w:rsid w:val="00B91F89"/>
    <w:rsid w:val="00B92014"/>
    <w:rsid w:val="00B935E7"/>
    <w:rsid w:val="00B936B9"/>
    <w:rsid w:val="00B942AB"/>
    <w:rsid w:val="00B9701D"/>
    <w:rsid w:val="00BA11C3"/>
    <w:rsid w:val="00BA14AE"/>
    <w:rsid w:val="00BA206B"/>
    <w:rsid w:val="00BA21CB"/>
    <w:rsid w:val="00BA2C69"/>
    <w:rsid w:val="00BA3128"/>
    <w:rsid w:val="00BA370C"/>
    <w:rsid w:val="00BA38C9"/>
    <w:rsid w:val="00BA3BA6"/>
    <w:rsid w:val="00BA458D"/>
    <w:rsid w:val="00BA4A5C"/>
    <w:rsid w:val="00BA5486"/>
    <w:rsid w:val="00BA5A58"/>
    <w:rsid w:val="00BA7C6B"/>
    <w:rsid w:val="00BB0A1C"/>
    <w:rsid w:val="00BB206C"/>
    <w:rsid w:val="00BB2509"/>
    <w:rsid w:val="00BB3FDB"/>
    <w:rsid w:val="00BB56D4"/>
    <w:rsid w:val="00BB5B0C"/>
    <w:rsid w:val="00BB5BB6"/>
    <w:rsid w:val="00BB617E"/>
    <w:rsid w:val="00BB75BD"/>
    <w:rsid w:val="00BC1428"/>
    <w:rsid w:val="00BC2FD2"/>
    <w:rsid w:val="00BC3130"/>
    <w:rsid w:val="00BC38C6"/>
    <w:rsid w:val="00BC3E88"/>
    <w:rsid w:val="00BC4A98"/>
    <w:rsid w:val="00BC4AF3"/>
    <w:rsid w:val="00BC4B87"/>
    <w:rsid w:val="00BC777F"/>
    <w:rsid w:val="00BD1481"/>
    <w:rsid w:val="00BD1648"/>
    <w:rsid w:val="00BD1824"/>
    <w:rsid w:val="00BD1D58"/>
    <w:rsid w:val="00BD1FD4"/>
    <w:rsid w:val="00BD247A"/>
    <w:rsid w:val="00BD290C"/>
    <w:rsid w:val="00BD2BD0"/>
    <w:rsid w:val="00BD30BC"/>
    <w:rsid w:val="00BD31D1"/>
    <w:rsid w:val="00BD3992"/>
    <w:rsid w:val="00BD5D54"/>
    <w:rsid w:val="00BD5F05"/>
    <w:rsid w:val="00BD7864"/>
    <w:rsid w:val="00BD799F"/>
    <w:rsid w:val="00BE170D"/>
    <w:rsid w:val="00BE295F"/>
    <w:rsid w:val="00BE2C92"/>
    <w:rsid w:val="00BE3D17"/>
    <w:rsid w:val="00BE5387"/>
    <w:rsid w:val="00BE62B4"/>
    <w:rsid w:val="00BE75BD"/>
    <w:rsid w:val="00BE7892"/>
    <w:rsid w:val="00BE7C85"/>
    <w:rsid w:val="00BF010A"/>
    <w:rsid w:val="00BF0D8E"/>
    <w:rsid w:val="00BF16E0"/>
    <w:rsid w:val="00BF1ABC"/>
    <w:rsid w:val="00BF2400"/>
    <w:rsid w:val="00BF2BE4"/>
    <w:rsid w:val="00BF336F"/>
    <w:rsid w:val="00BF33B5"/>
    <w:rsid w:val="00BF3751"/>
    <w:rsid w:val="00BF4851"/>
    <w:rsid w:val="00BF6346"/>
    <w:rsid w:val="00BF6C42"/>
    <w:rsid w:val="00BF75B9"/>
    <w:rsid w:val="00BF7674"/>
    <w:rsid w:val="00BF77B6"/>
    <w:rsid w:val="00BF79F6"/>
    <w:rsid w:val="00BF7CDE"/>
    <w:rsid w:val="00C00CAB"/>
    <w:rsid w:val="00C00CEB"/>
    <w:rsid w:val="00C010CB"/>
    <w:rsid w:val="00C01108"/>
    <w:rsid w:val="00C012D2"/>
    <w:rsid w:val="00C01DA3"/>
    <w:rsid w:val="00C01DDD"/>
    <w:rsid w:val="00C0260A"/>
    <w:rsid w:val="00C02946"/>
    <w:rsid w:val="00C046D9"/>
    <w:rsid w:val="00C04CE3"/>
    <w:rsid w:val="00C05397"/>
    <w:rsid w:val="00C0557D"/>
    <w:rsid w:val="00C0586D"/>
    <w:rsid w:val="00C05AF0"/>
    <w:rsid w:val="00C05C7C"/>
    <w:rsid w:val="00C0753F"/>
    <w:rsid w:val="00C1062D"/>
    <w:rsid w:val="00C11F24"/>
    <w:rsid w:val="00C11FC7"/>
    <w:rsid w:val="00C1257A"/>
    <w:rsid w:val="00C13143"/>
    <w:rsid w:val="00C13993"/>
    <w:rsid w:val="00C139E1"/>
    <w:rsid w:val="00C14767"/>
    <w:rsid w:val="00C14A5D"/>
    <w:rsid w:val="00C16686"/>
    <w:rsid w:val="00C1723A"/>
    <w:rsid w:val="00C173FD"/>
    <w:rsid w:val="00C20788"/>
    <w:rsid w:val="00C20B50"/>
    <w:rsid w:val="00C22205"/>
    <w:rsid w:val="00C225F5"/>
    <w:rsid w:val="00C245BC"/>
    <w:rsid w:val="00C253C9"/>
    <w:rsid w:val="00C269DF"/>
    <w:rsid w:val="00C26E07"/>
    <w:rsid w:val="00C271EC"/>
    <w:rsid w:val="00C27D0B"/>
    <w:rsid w:val="00C30064"/>
    <w:rsid w:val="00C3016C"/>
    <w:rsid w:val="00C314B1"/>
    <w:rsid w:val="00C314D1"/>
    <w:rsid w:val="00C319DA"/>
    <w:rsid w:val="00C31A8D"/>
    <w:rsid w:val="00C3242D"/>
    <w:rsid w:val="00C329CF"/>
    <w:rsid w:val="00C32BC2"/>
    <w:rsid w:val="00C33533"/>
    <w:rsid w:val="00C3573D"/>
    <w:rsid w:val="00C36C85"/>
    <w:rsid w:val="00C3726E"/>
    <w:rsid w:val="00C37896"/>
    <w:rsid w:val="00C40310"/>
    <w:rsid w:val="00C40724"/>
    <w:rsid w:val="00C41A78"/>
    <w:rsid w:val="00C41BEA"/>
    <w:rsid w:val="00C41E53"/>
    <w:rsid w:val="00C42A4D"/>
    <w:rsid w:val="00C43318"/>
    <w:rsid w:val="00C43457"/>
    <w:rsid w:val="00C4349E"/>
    <w:rsid w:val="00C435D1"/>
    <w:rsid w:val="00C43861"/>
    <w:rsid w:val="00C44FE5"/>
    <w:rsid w:val="00C476E7"/>
    <w:rsid w:val="00C5007B"/>
    <w:rsid w:val="00C50084"/>
    <w:rsid w:val="00C5026D"/>
    <w:rsid w:val="00C50898"/>
    <w:rsid w:val="00C50FB7"/>
    <w:rsid w:val="00C51307"/>
    <w:rsid w:val="00C522E6"/>
    <w:rsid w:val="00C52B25"/>
    <w:rsid w:val="00C52C71"/>
    <w:rsid w:val="00C536E2"/>
    <w:rsid w:val="00C53917"/>
    <w:rsid w:val="00C54F25"/>
    <w:rsid w:val="00C55CB2"/>
    <w:rsid w:val="00C568E0"/>
    <w:rsid w:val="00C56AF0"/>
    <w:rsid w:val="00C56BBA"/>
    <w:rsid w:val="00C5739D"/>
    <w:rsid w:val="00C575D9"/>
    <w:rsid w:val="00C57E56"/>
    <w:rsid w:val="00C600DB"/>
    <w:rsid w:val="00C60CD6"/>
    <w:rsid w:val="00C61543"/>
    <w:rsid w:val="00C62483"/>
    <w:rsid w:val="00C62EFF"/>
    <w:rsid w:val="00C637AC"/>
    <w:rsid w:val="00C649A2"/>
    <w:rsid w:val="00C64AD6"/>
    <w:rsid w:val="00C6500C"/>
    <w:rsid w:val="00C65429"/>
    <w:rsid w:val="00C65693"/>
    <w:rsid w:val="00C65DB5"/>
    <w:rsid w:val="00C65E50"/>
    <w:rsid w:val="00C65FA6"/>
    <w:rsid w:val="00C6632E"/>
    <w:rsid w:val="00C66706"/>
    <w:rsid w:val="00C66846"/>
    <w:rsid w:val="00C67022"/>
    <w:rsid w:val="00C67035"/>
    <w:rsid w:val="00C67AA3"/>
    <w:rsid w:val="00C67EBC"/>
    <w:rsid w:val="00C7006C"/>
    <w:rsid w:val="00C70964"/>
    <w:rsid w:val="00C709B0"/>
    <w:rsid w:val="00C70EEC"/>
    <w:rsid w:val="00C71904"/>
    <w:rsid w:val="00C719B4"/>
    <w:rsid w:val="00C71E83"/>
    <w:rsid w:val="00C71F39"/>
    <w:rsid w:val="00C72726"/>
    <w:rsid w:val="00C7343C"/>
    <w:rsid w:val="00C739B5"/>
    <w:rsid w:val="00C73DE3"/>
    <w:rsid w:val="00C74481"/>
    <w:rsid w:val="00C752B6"/>
    <w:rsid w:val="00C753C1"/>
    <w:rsid w:val="00C76CC2"/>
    <w:rsid w:val="00C774F2"/>
    <w:rsid w:val="00C77861"/>
    <w:rsid w:val="00C779FE"/>
    <w:rsid w:val="00C77DE3"/>
    <w:rsid w:val="00C77F7D"/>
    <w:rsid w:val="00C80150"/>
    <w:rsid w:val="00C806B7"/>
    <w:rsid w:val="00C81A98"/>
    <w:rsid w:val="00C81B18"/>
    <w:rsid w:val="00C81F28"/>
    <w:rsid w:val="00C824B2"/>
    <w:rsid w:val="00C82F59"/>
    <w:rsid w:val="00C83BE1"/>
    <w:rsid w:val="00C83DE3"/>
    <w:rsid w:val="00C87835"/>
    <w:rsid w:val="00C901DA"/>
    <w:rsid w:val="00C902C7"/>
    <w:rsid w:val="00C90821"/>
    <w:rsid w:val="00C90A5E"/>
    <w:rsid w:val="00C90E6E"/>
    <w:rsid w:val="00C920EE"/>
    <w:rsid w:val="00C92249"/>
    <w:rsid w:val="00C93837"/>
    <w:rsid w:val="00C93AA1"/>
    <w:rsid w:val="00C95089"/>
    <w:rsid w:val="00C95B2E"/>
    <w:rsid w:val="00C95E2D"/>
    <w:rsid w:val="00C971C7"/>
    <w:rsid w:val="00C97BFE"/>
    <w:rsid w:val="00CA0949"/>
    <w:rsid w:val="00CA1047"/>
    <w:rsid w:val="00CA11E0"/>
    <w:rsid w:val="00CA2C23"/>
    <w:rsid w:val="00CA38D1"/>
    <w:rsid w:val="00CA3D69"/>
    <w:rsid w:val="00CA43AF"/>
    <w:rsid w:val="00CA4D5C"/>
    <w:rsid w:val="00CA4E92"/>
    <w:rsid w:val="00CA5E2A"/>
    <w:rsid w:val="00CA633A"/>
    <w:rsid w:val="00CA65D1"/>
    <w:rsid w:val="00CA7970"/>
    <w:rsid w:val="00CB1038"/>
    <w:rsid w:val="00CB2583"/>
    <w:rsid w:val="00CB2E9B"/>
    <w:rsid w:val="00CB2FD6"/>
    <w:rsid w:val="00CB30C8"/>
    <w:rsid w:val="00CB3843"/>
    <w:rsid w:val="00CB4081"/>
    <w:rsid w:val="00CB4BA0"/>
    <w:rsid w:val="00CB4F01"/>
    <w:rsid w:val="00CB5581"/>
    <w:rsid w:val="00CB6FFD"/>
    <w:rsid w:val="00CB73D4"/>
    <w:rsid w:val="00CB7B32"/>
    <w:rsid w:val="00CB7BE7"/>
    <w:rsid w:val="00CB7E09"/>
    <w:rsid w:val="00CB7EDC"/>
    <w:rsid w:val="00CC0675"/>
    <w:rsid w:val="00CC16EB"/>
    <w:rsid w:val="00CC1919"/>
    <w:rsid w:val="00CC199C"/>
    <w:rsid w:val="00CC205F"/>
    <w:rsid w:val="00CC20B8"/>
    <w:rsid w:val="00CC3C8C"/>
    <w:rsid w:val="00CC3CB8"/>
    <w:rsid w:val="00CC4540"/>
    <w:rsid w:val="00CC5AB1"/>
    <w:rsid w:val="00CC6B3B"/>
    <w:rsid w:val="00CC6CA7"/>
    <w:rsid w:val="00CC6EFC"/>
    <w:rsid w:val="00CC742E"/>
    <w:rsid w:val="00CC774E"/>
    <w:rsid w:val="00CC78FC"/>
    <w:rsid w:val="00CC7D8D"/>
    <w:rsid w:val="00CC7ECB"/>
    <w:rsid w:val="00CD08B5"/>
    <w:rsid w:val="00CD09BD"/>
    <w:rsid w:val="00CD0E16"/>
    <w:rsid w:val="00CD1DEE"/>
    <w:rsid w:val="00CD229D"/>
    <w:rsid w:val="00CD457A"/>
    <w:rsid w:val="00CD518F"/>
    <w:rsid w:val="00CD5487"/>
    <w:rsid w:val="00CD5C3D"/>
    <w:rsid w:val="00CD69CF"/>
    <w:rsid w:val="00CD79E3"/>
    <w:rsid w:val="00CE1D11"/>
    <w:rsid w:val="00CE2091"/>
    <w:rsid w:val="00CE2125"/>
    <w:rsid w:val="00CE24F9"/>
    <w:rsid w:val="00CE2663"/>
    <w:rsid w:val="00CE2EE5"/>
    <w:rsid w:val="00CE320C"/>
    <w:rsid w:val="00CE35BF"/>
    <w:rsid w:val="00CE3863"/>
    <w:rsid w:val="00CE4A9C"/>
    <w:rsid w:val="00CE61CE"/>
    <w:rsid w:val="00CE634B"/>
    <w:rsid w:val="00CE638A"/>
    <w:rsid w:val="00CE7CEA"/>
    <w:rsid w:val="00CF0777"/>
    <w:rsid w:val="00CF08F3"/>
    <w:rsid w:val="00CF26E6"/>
    <w:rsid w:val="00CF280E"/>
    <w:rsid w:val="00CF3307"/>
    <w:rsid w:val="00CF33B9"/>
    <w:rsid w:val="00CF5738"/>
    <w:rsid w:val="00CF583D"/>
    <w:rsid w:val="00CF6A8E"/>
    <w:rsid w:val="00CF7494"/>
    <w:rsid w:val="00CF7863"/>
    <w:rsid w:val="00D0040A"/>
    <w:rsid w:val="00D00D6A"/>
    <w:rsid w:val="00D011A0"/>
    <w:rsid w:val="00D01617"/>
    <w:rsid w:val="00D01E4E"/>
    <w:rsid w:val="00D02CE4"/>
    <w:rsid w:val="00D02ED8"/>
    <w:rsid w:val="00D02EF8"/>
    <w:rsid w:val="00D0367D"/>
    <w:rsid w:val="00D03AC9"/>
    <w:rsid w:val="00D03E89"/>
    <w:rsid w:val="00D0466D"/>
    <w:rsid w:val="00D05874"/>
    <w:rsid w:val="00D064B7"/>
    <w:rsid w:val="00D064DE"/>
    <w:rsid w:val="00D06B2D"/>
    <w:rsid w:val="00D06C10"/>
    <w:rsid w:val="00D06DD2"/>
    <w:rsid w:val="00D107F3"/>
    <w:rsid w:val="00D1100F"/>
    <w:rsid w:val="00D11412"/>
    <w:rsid w:val="00D114C1"/>
    <w:rsid w:val="00D11C68"/>
    <w:rsid w:val="00D12244"/>
    <w:rsid w:val="00D126FC"/>
    <w:rsid w:val="00D13E48"/>
    <w:rsid w:val="00D14252"/>
    <w:rsid w:val="00D14891"/>
    <w:rsid w:val="00D156E8"/>
    <w:rsid w:val="00D203C8"/>
    <w:rsid w:val="00D222FB"/>
    <w:rsid w:val="00D22383"/>
    <w:rsid w:val="00D23058"/>
    <w:rsid w:val="00D241C8"/>
    <w:rsid w:val="00D258CB"/>
    <w:rsid w:val="00D25BA1"/>
    <w:rsid w:val="00D25E7C"/>
    <w:rsid w:val="00D25F7A"/>
    <w:rsid w:val="00D263AA"/>
    <w:rsid w:val="00D306DF"/>
    <w:rsid w:val="00D30D30"/>
    <w:rsid w:val="00D30E11"/>
    <w:rsid w:val="00D31881"/>
    <w:rsid w:val="00D32299"/>
    <w:rsid w:val="00D32941"/>
    <w:rsid w:val="00D330C6"/>
    <w:rsid w:val="00D336E7"/>
    <w:rsid w:val="00D33953"/>
    <w:rsid w:val="00D33D2F"/>
    <w:rsid w:val="00D340AD"/>
    <w:rsid w:val="00D35712"/>
    <w:rsid w:val="00D35B17"/>
    <w:rsid w:val="00D35C4C"/>
    <w:rsid w:val="00D369EF"/>
    <w:rsid w:val="00D36BD5"/>
    <w:rsid w:val="00D402CC"/>
    <w:rsid w:val="00D417F4"/>
    <w:rsid w:val="00D42307"/>
    <w:rsid w:val="00D427A9"/>
    <w:rsid w:val="00D42984"/>
    <w:rsid w:val="00D42E31"/>
    <w:rsid w:val="00D434F4"/>
    <w:rsid w:val="00D44123"/>
    <w:rsid w:val="00D446DF"/>
    <w:rsid w:val="00D454A6"/>
    <w:rsid w:val="00D45917"/>
    <w:rsid w:val="00D4624C"/>
    <w:rsid w:val="00D46AA3"/>
    <w:rsid w:val="00D46FC1"/>
    <w:rsid w:val="00D50502"/>
    <w:rsid w:val="00D509C4"/>
    <w:rsid w:val="00D51482"/>
    <w:rsid w:val="00D51A29"/>
    <w:rsid w:val="00D52355"/>
    <w:rsid w:val="00D5263F"/>
    <w:rsid w:val="00D52D66"/>
    <w:rsid w:val="00D53042"/>
    <w:rsid w:val="00D5327B"/>
    <w:rsid w:val="00D53853"/>
    <w:rsid w:val="00D53EE6"/>
    <w:rsid w:val="00D5415F"/>
    <w:rsid w:val="00D54AF1"/>
    <w:rsid w:val="00D54CA5"/>
    <w:rsid w:val="00D55071"/>
    <w:rsid w:val="00D553C1"/>
    <w:rsid w:val="00D566E2"/>
    <w:rsid w:val="00D6035A"/>
    <w:rsid w:val="00D61D4A"/>
    <w:rsid w:val="00D620E4"/>
    <w:rsid w:val="00D625D8"/>
    <w:rsid w:val="00D626E9"/>
    <w:rsid w:val="00D63340"/>
    <w:rsid w:val="00D63578"/>
    <w:rsid w:val="00D64666"/>
    <w:rsid w:val="00D64F9C"/>
    <w:rsid w:val="00D6505C"/>
    <w:rsid w:val="00D66F96"/>
    <w:rsid w:val="00D67CA1"/>
    <w:rsid w:val="00D70E1D"/>
    <w:rsid w:val="00D72173"/>
    <w:rsid w:val="00D72351"/>
    <w:rsid w:val="00D72395"/>
    <w:rsid w:val="00D723C7"/>
    <w:rsid w:val="00D7271F"/>
    <w:rsid w:val="00D72BEB"/>
    <w:rsid w:val="00D7456B"/>
    <w:rsid w:val="00D757FE"/>
    <w:rsid w:val="00D76291"/>
    <w:rsid w:val="00D7639D"/>
    <w:rsid w:val="00D76DC7"/>
    <w:rsid w:val="00D76F22"/>
    <w:rsid w:val="00D77A5C"/>
    <w:rsid w:val="00D80A6B"/>
    <w:rsid w:val="00D83204"/>
    <w:rsid w:val="00D83331"/>
    <w:rsid w:val="00D8361E"/>
    <w:rsid w:val="00D842E2"/>
    <w:rsid w:val="00D84535"/>
    <w:rsid w:val="00D8512E"/>
    <w:rsid w:val="00D85714"/>
    <w:rsid w:val="00D85AA9"/>
    <w:rsid w:val="00D86F2A"/>
    <w:rsid w:val="00D871AD"/>
    <w:rsid w:val="00D87804"/>
    <w:rsid w:val="00D87FE1"/>
    <w:rsid w:val="00D911BF"/>
    <w:rsid w:val="00D91465"/>
    <w:rsid w:val="00D92687"/>
    <w:rsid w:val="00D92B08"/>
    <w:rsid w:val="00D94A95"/>
    <w:rsid w:val="00D94AAD"/>
    <w:rsid w:val="00D94B76"/>
    <w:rsid w:val="00D95781"/>
    <w:rsid w:val="00D963DB"/>
    <w:rsid w:val="00D96B5A"/>
    <w:rsid w:val="00D974D3"/>
    <w:rsid w:val="00D97C89"/>
    <w:rsid w:val="00DA0709"/>
    <w:rsid w:val="00DA1278"/>
    <w:rsid w:val="00DA2338"/>
    <w:rsid w:val="00DA2B1A"/>
    <w:rsid w:val="00DA2CE4"/>
    <w:rsid w:val="00DA32C5"/>
    <w:rsid w:val="00DA3551"/>
    <w:rsid w:val="00DA4B64"/>
    <w:rsid w:val="00DA6628"/>
    <w:rsid w:val="00DA6A25"/>
    <w:rsid w:val="00DA6A79"/>
    <w:rsid w:val="00DA78F3"/>
    <w:rsid w:val="00DB00E7"/>
    <w:rsid w:val="00DB1B73"/>
    <w:rsid w:val="00DB21D9"/>
    <w:rsid w:val="00DB25F6"/>
    <w:rsid w:val="00DB3C06"/>
    <w:rsid w:val="00DB5C5F"/>
    <w:rsid w:val="00DB5D46"/>
    <w:rsid w:val="00DB67A6"/>
    <w:rsid w:val="00DB68F4"/>
    <w:rsid w:val="00DB6C4D"/>
    <w:rsid w:val="00DB727D"/>
    <w:rsid w:val="00DB76EC"/>
    <w:rsid w:val="00DC0488"/>
    <w:rsid w:val="00DC0523"/>
    <w:rsid w:val="00DC0890"/>
    <w:rsid w:val="00DC0896"/>
    <w:rsid w:val="00DC133A"/>
    <w:rsid w:val="00DC21C2"/>
    <w:rsid w:val="00DC34A9"/>
    <w:rsid w:val="00DC42F9"/>
    <w:rsid w:val="00DC4C64"/>
    <w:rsid w:val="00DC4C75"/>
    <w:rsid w:val="00DC50A3"/>
    <w:rsid w:val="00DC5701"/>
    <w:rsid w:val="00DC5738"/>
    <w:rsid w:val="00DC5974"/>
    <w:rsid w:val="00DC66F1"/>
    <w:rsid w:val="00DC6F6E"/>
    <w:rsid w:val="00DD0493"/>
    <w:rsid w:val="00DD1250"/>
    <w:rsid w:val="00DD1415"/>
    <w:rsid w:val="00DD142C"/>
    <w:rsid w:val="00DD1667"/>
    <w:rsid w:val="00DD177F"/>
    <w:rsid w:val="00DD1FE7"/>
    <w:rsid w:val="00DD20E0"/>
    <w:rsid w:val="00DD25AA"/>
    <w:rsid w:val="00DD2714"/>
    <w:rsid w:val="00DD4293"/>
    <w:rsid w:val="00DD4DFC"/>
    <w:rsid w:val="00DD5E54"/>
    <w:rsid w:val="00DD5E7B"/>
    <w:rsid w:val="00DD6130"/>
    <w:rsid w:val="00DD66A8"/>
    <w:rsid w:val="00DD7399"/>
    <w:rsid w:val="00DD765A"/>
    <w:rsid w:val="00DD7EDE"/>
    <w:rsid w:val="00DE13BE"/>
    <w:rsid w:val="00DE2E6D"/>
    <w:rsid w:val="00DE3186"/>
    <w:rsid w:val="00DE33DD"/>
    <w:rsid w:val="00DE483B"/>
    <w:rsid w:val="00DE5E2C"/>
    <w:rsid w:val="00DE67BD"/>
    <w:rsid w:val="00DE69C1"/>
    <w:rsid w:val="00DE7376"/>
    <w:rsid w:val="00DE7B22"/>
    <w:rsid w:val="00DF0908"/>
    <w:rsid w:val="00DF1B0C"/>
    <w:rsid w:val="00DF2066"/>
    <w:rsid w:val="00DF2EEC"/>
    <w:rsid w:val="00DF461C"/>
    <w:rsid w:val="00DF548B"/>
    <w:rsid w:val="00DF5580"/>
    <w:rsid w:val="00DF5F2D"/>
    <w:rsid w:val="00DF6085"/>
    <w:rsid w:val="00DF659E"/>
    <w:rsid w:val="00DF6BB4"/>
    <w:rsid w:val="00DF6CE4"/>
    <w:rsid w:val="00DF7A30"/>
    <w:rsid w:val="00E0082A"/>
    <w:rsid w:val="00E012FF"/>
    <w:rsid w:val="00E014CE"/>
    <w:rsid w:val="00E01562"/>
    <w:rsid w:val="00E016EF"/>
    <w:rsid w:val="00E01D6D"/>
    <w:rsid w:val="00E030B7"/>
    <w:rsid w:val="00E03202"/>
    <w:rsid w:val="00E03254"/>
    <w:rsid w:val="00E03853"/>
    <w:rsid w:val="00E039FD"/>
    <w:rsid w:val="00E043E1"/>
    <w:rsid w:val="00E05170"/>
    <w:rsid w:val="00E05324"/>
    <w:rsid w:val="00E053F1"/>
    <w:rsid w:val="00E06B2A"/>
    <w:rsid w:val="00E079D6"/>
    <w:rsid w:val="00E10716"/>
    <w:rsid w:val="00E107B6"/>
    <w:rsid w:val="00E10C66"/>
    <w:rsid w:val="00E11373"/>
    <w:rsid w:val="00E114A8"/>
    <w:rsid w:val="00E12736"/>
    <w:rsid w:val="00E12FC1"/>
    <w:rsid w:val="00E1463B"/>
    <w:rsid w:val="00E14897"/>
    <w:rsid w:val="00E14C6C"/>
    <w:rsid w:val="00E17C2E"/>
    <w:rsid w:val="00E17D7E"/>
    <w:rsid w:val="00E21979"/>
    <w:rsid w:val="00E219C0"/>
    <w:rsid w:val="00E23BDF"/>
    <w:rsid w:val="00E24257"/>
    <w:rsid w:val="00E24AEE"/>
    <w:rsid w:val="00E2569F"/>
    <w:rsid w:val="00E2577A"/>
    <w:rsid w:val="00E25F86"/>
    <w:rsid w:val="00E2714A"/>
    <w:rsid w:val="00E27424"/>
    <w:rsid w:val="00E30D15"/>
    <w:rsid w:val="00E3176A"/>
    <w:rsid w:val="00E32EBB"/>
    <w:rsid w:val="00E330B4"/>
    <w:rsid w:val="00E335DD"/>
    <w:rsid w:val="00E339B7"/>
    <w:rsid w:val="00E341A3"/>
    <w:rsid w:val="00E349DF"/>
    <w:rsid w:val="00E34C46"/>
    <w:rsid w:val="00E35360"/>
    <w:rsid w:val="00E354CB"/>
    <w:rsid w:val="00E365A9"/>
    <w:rsid w:val="00E37797"/>
    <w:rsid w:val="00E37BE1"/>
    <w:rsid w:val="00E37BF2"/>
    <w:rsid w:val="00E37CF7"/>
    <w:rsid w:val="00E40518"/>
    <w:rsid w:val="00E40752"/>
    <w:rsid w:val="00E40D1C"/>
    <w:rsid w:val="00E40E2D"/>
    <w:rsid w:val="00E40E60"/>
    <w:rsid w:val="00E415C1"/>
    <w:rsid w:val="00E42183"/>
    <w:rsid w:val="00E43B71"/>
    <w:rsid w:val="00E44C97"/>
    <w:rsid w:val="00E454AC"/>
    <w:rsid w:val="00E46471"/>
    <w:rsid w:val="00E46FB9"/>
    <w:rsid w:val="00E473A1"/>
    <w:rsid w:val="00E47F11"/>
    <w:rsid w:val="00E50084"/>
    <w:rsid w:val="00E5137B"/>
    <w:rsid w:val="00E520BE"/>
    <w:rsid w:val="00E52A53"/>
    <w:rsid w:val="00E530EC"/>
    <w:rsid w:val="00E535A5"/>
    <w:rsid w:val="00E53D66"/>
    <w:rsid w:val="00E544B7"/>
    <w:rsid w:val="00E551E0"/>
    <w:rsid w:val="00E564D9"/>
    <w:rsid w:val="00E56EEB"/>
    <w:rsid w:val="00E577DF"/>
    <w:rsid w:val="00E57B39"/>
    <w:rsid w:val="00E61007"/>
    <w:rsid w:val="00E6102F"/>
    <w:rsid w:val="00E611D5"/>
    <w:rsid w:val="00E617B3"/>
    <w:rsid w:val="00E62DAE"/>
    <w:rsid w:val="00E642D5"/>
    <w:rsid w:val="00E6452E"/>
    <w:rsid w:val="00E64DA8"/>
    <w:rsid w:val="00E65DE3"/>
    <w:rsid w:val="00E6638D"/>
    <w:rsid w:val="00E66B69"/>
    <w:rsid w:val="00E70078"/>
    <w:rsid w:val="00E7141B"/>
    <w:rsid w:val="00E715AA"/>
    <w:rsid w:val="00E71DF5"/>
    <w:rsid w:val="00E72101"/>
    <w:rsid w:val="00E723B9"/>
    <w:rsid w:val="00E72ABF"/>
    <w:rsid w:val="00E72BE5"/>
    <w:rsid w:val="00E74071"/>
    <w:rsid w:val="00E744E7"/>
    <w:rsid w:val="00E7450C"/>
    <w:rsid w:val="00E7505F"/>
    <w:rsid w:val="00E76067"/>
    <w:rsid w:val="00E76B9F"/>
    <w:rsid w:val="00E82B81"/>
    <w:rsid w:val="00E83D03"/>
    <w:rsid w:val="00E83E6A"/>
    <w:rsid w:val="00E84467"/>
    <w:rsid w:val="00E84E5F"/>
    <w:rsid w:val="00E85312"/>
    <w:rsid w:val="00E8584A"/>
    <w:rsid w:val="00E8598B"/>
    <w:rsid w:val="00E85CCC"/>
    <w:rsid w:val="00E85EDC"/>
    <w:rsid w:val="00E85FD9"/>
    <w:rsid w:val="00E86046"/>
    <w:rsid w:val="00E86F2D"/>
    <w:rsid w:val="00E87E3E"/>
    <w:rsid w:val="00E87FC7"/>
    <w:rsid w:val="00E90285"/>
    <w:rsid w:val="00E90624"/>
    <w:rsid w:val="00E90826"/>
    <w:rsid w:val="00E91F29"/>
    <w:rsid w:val="00E92C9B"/>
    <w:rsid w:val="00E92DB1"/>
    <w:rsid w:val="00E938F4"/>
    <w:rsid w:val="00E9393A"/>
    <w:rsid w:val="00E93A89"/>
    <w:rsid w:val="00E94810"/>
    <w:rsid w:val="00E94E5C"/>
    <w:rsid w:val="00E9661A"/>
    <w:rsid w:val="00E971CD"/>
    <w:rsid w:val="00E97978"/>
    <w:rsid w:val="00E97FD9"/>
    <w:rsid w:val="00EA0943"/>
    <w:rsid w:val="00EA1261"/>
    <w:rsid w:val="00EA1284"/>
    <w:rsid w:val="00EA1576"/>
    <w:rsid w:val="00EA2DA4"/>
    <w:rsid w:val="00EA4228"/>
    <w:rsid w:val="00EA45A9"/>
    <w:rsid w:val="00EA790F"/>
    <w:rsid w:val="00EB0C7C"/>
    <w:rsid w:val="00EB1E79"/>
    <w:rsid w:val="00EB34CB"/>
    <w:rsid w:val="00EB3C5B"/>
    <w:rsid w:val="00EB3D4E"/>
    <w:rsid w:val="00EB5229"/>
    <w:rsid w:val="00EB54B2"/>
    <w:rsid w:val="00EB6B85"/>
    <w:rsid w:val="00EC0460"/>
    <w:rsid w:val="00EC0588"/>
    <w:rsid w:val="00EC0A84"/>
    <w:rsid w:val="00EC110E"/>
    <w:rsid w:val="00EC1E22"/>
    <w:rsid w:val="00EC29D8"/>
    <w:rsid w:val="00EC2F31"/>
    <w:rsid w:val="00EC2F48"/>
    <w:rsid w:val="00EC3763"/>
    <w:rsid w:val="00EC4373"/>
    <w:rsid w:val="00EC5667"/>
    <w:rsid w:val="00EC59EE"/>
    <w:rsid w:val="00EC5A23"/>
    <w:rsid w:val="00EC5A8B"/>
    <w:rsid w:val="00EC6F9E"/>
    <w:rsid w:val="00EC7E52"/>
    <w:rsid w:val="00ED0463"/>
    <w:rsid w:val="00ED1BBC"/>
    <w:rsid w:val="00ED20E3"/>
    <w:rsid w:val="00ED3F5D"/>
    <w:rsid w:val="00ED439B"/>
    <w:rsid w:val="00ED471A"/>
    <w:rsid w:val="00ED4F00"/>
    <w:rsid w:val="00ED5147"/>
    <w:rsid w:val="00ED64DD"/>
    <w:rsid w:val="00ED6719"/>
    <w:rsid w:val="00ED6A24"/>
    <w:rsid w:val="00ED764E"/>
    <w:rsid w:val="00ED7826"/>
    <w:rsid w:val="00EE2247"/>
    <w:rsid w:val="00EE3A8B"/>
    <w:rsid w:val="00EE49A0"/>
    <w:rsid w:val="00EE520A"/>
    <w:rsid w:val="00EE5899"/>
    <w:rsid w:val="00EE5DF2"/>
    <w:rsid w:val="00EE78B0"/>
    <w:rsid w:val="00EE7E52"/>
    <w:rsid w:val="00EE7E9C"/>
    <w:rsid w:val="00EF0084"/>
    <w:rsid w:val="00EF42EE"/>
    <w:rsid w:val="00EF4A73"/>
    <w:rsid w:val="00EF75BA"/>
    <w:rsid w:val="00F002F1"/>
    <w:rsid w:val="00F01D2F"/>
    <w:rsid w:val="00F039AE"/>
    <w:rsid w:val="00F057E7"/>
    <w:rsid w:val="00F05CA9"/>
    <w:rsid w:val="00F06531"/>
    <w:rsid w:val="00F066BA"/>
    <w:rsid w:val="00F071C2"/>
    <w:rsid w:val="00F07802"/>
    <w:rsid w:val="00F121D6"/>
    <w:rsid w:val="00F12707"/>
    <w:rsid w:val="00F1276D"/>
    <w:rsid w:val="00F13091"/>
    <w:rsid w:val="00F13266"/>
    <w:rsid w:val="00F137DF"/>
    <w:rsid w:val="00F13800"/>
    <w:rsid w:val="00F13F8F"/>
    <w:rsid w:val="00F141EA"/>
    <w:rsid w:val="00F15180"/>
    <w:rsid w:val="00F161F3"/>
    <w:rsid w:val="00F16BB8"/>
    <w:rsid w:val="00F17520"/>
    <w:rsid w:val="00F213F8"/>
    <w:rsid w:val="00F21D6B"/>
    <w:rsid w:val="00F2214E"/>
    <w:rsid w:val="00F22CC1"/>
    <w:rsid w:val="00F23441"/>
    <w:rsid w:val="00F2376A"/>
    <w:rsid w:val="00F23D03"/>
    <w:rsid w:val="00F23D8E"/>
    <w:rsid w:val="00F23F15"/>
    <w:rsid w:val="00F2471A"/>
    <w:rsid w:val="00F257AC"/>
    <w:rsid w:val="00F258DF"/>
    <w:rsid w:val="00F25DEE"/>
    <w:rsid w:val="00F25F17"/>
    <w:rsid w:val="00F26F71"/>
    <w:rsid w:val="00F26FD2"/>
    <w:rsid w:val="00F30308"/>
    <w:rsid w:val="00F31722"/>
    <w:rsid w:val="00F32629"/>
    <w:rsid w:val="00F33FD4"/>
    <w:rsid w:val="00F3450C"/>
    <w:rsid w:val="00F351FA"/>
    <w:rsid w:val="00F35FBF"/>
    <w:rsid w:val="00F36819"/>
    <w:rsid w:val="00F3743D"/>
    <w:rsid w:val="00F375FD"/>
    <w:rsid w:val="00F37791"/>
    <w:rsid w:val="00F4028E"/>
    <w:rsid w:val="00F403BC"/>
    <w:rsid w:val="00F40432"/>
    <w:rsid w:val="00F404C0"/>
    <w:rsid w:val="00F41E9E"/>
    <w:rsid w:val="00F428D8"/>
    <w:rsid w:val="00F433ED"/>
    <w:rsid w:val="00F439B6"/>
    <w:rsid w:val="00F43B3F"/>
    <w:rsid w:val="00F456C7"/>
    <w:rsid w:val="00F46E85"/>
    <w:rsid w:val="00F47125"/>
    <w:rsid w:val="00F47930"/>
    <w:rsid w:val="00F47D61"/>
    <w:rsid w:val="00F47FC7"/>
    <w:rsid w:val="00F50D61"/>
    <w:rsid w:val="00F517CA"/>
    <w:rsid w:val="00F52CB4"/>
    <w:rsid w:val="00F5382A"/>
    <w:rsid w:val="00F5472A"/>
    <w:rsid w:val="00F54B7C"/>
    <w:rsid w:val="00F57911"/>
    <w:rsid w:val="00F60D72"/>
    <w:rsid w:val="00F618AB"/>
    <w:rsid w:val="00F61AEE"/>
    <w:rsid w:val="00F62260"/>
    <w:rsid w:val="00F62347"/>
    <w:rsid w:val="00F62708"/>
    <w:rsid w:val="00F62B21"/>
    <w:rsid w:val="00F6305E"/>
    <w:rsid w:val="00F63558"/>
    <w:rsid w:val="00F63663"/>
    <w:rsid w:val="00F64644"/>
    <w:rsid w:val="00F64C45"/>
    <w:rsid w:val="00F64C92"/>
    <w:rsid w:val="00F64EBB"/>
    <w:rsid w:val="00F6530C"/>
    <w:rsid w:val="00F7011C"/>
    <w:rsid w:val="00F701B0"/>
    <w:rsid w:val="00F7074B"/>
    <w:rsid w:val="00F708F8"/>
    <w:rsid w:val="00F7250B"/>
    <w:rsid w:val="00F7271E"/>
    <w:rsid w:val="00F72E23"/>
    <w:rsid w:val="00F73280"/>
    <w:rsid w:val="00F74DC6"/>
    <w:rsid w:val="00F751E3"/>
    <w:rsid w:val="00F76191"/>
    <w:rsid w:val="00F76EEA"/>
    <w:rsid w:val="00F77E46"/>
    <w:rsid w:val="00F80549"/>
    <w:rsid w:val="00F80D79"/>
    <w:rsid w:val="00F813C3"/>
    <w:rsid w:val="00F81A9A"/>
    <w:rsid w:val="00F81C25"/>
    <w:rsid w:val="00F82C50"/>
    <w:rsid w:val="00F84165"/>
    <w:rsid w:val="00F844BA"/>
    <w:rsid w:val="00F8452A"/>
    <w:rsid w:val="00F84E36"/>
    <w:rsid w:val="00F8501F"/>
    <w:rsid w:val="00F85B75"/>
    <w:rsid w:val="00F85BC7"/>
    <w:rsid w:val="00F85C30"/>
    <w:rsid w:val="00F85F55"/>
    <w:rsid w:val="00F87623"/>
    <w:rsid w:val="00F906A4"/>
    <w:rsid w:val="00F9128F"/>
    <w:rsid w:val="00F9196E"/>
    <w:rsid w:val="00F925FA"/>
    <w:rsid w:val="00F93835"/>
    <w:rsid w:val="00F94767"/>
    <w:rsid w:val="00F94B14"/>
    <w:rsid w:val="00F94C1A"/>
    <w:rsid w:val="00F95165"/>
    <w:rsid w:val="00F95425"/>
    <w:rsid w:val="00F958AC"/>
    <w:rsid w:val="00F95B8A"/>
    <w:rsid w:val="00F961E8"/>
    <w:rsid w:val="00F96CF8"/>
    <w:rsid w:val="00F97092"/>
    <w:rsid w:val="00F97891"/>
    <w:rsid w:val="00FA15E3"/>
    <w:rsid w:val="00FA1F5D"/>
    <w:rsid w:val="00FA1F66"/>
    <w:rsid w:val="00FA2B2F"/>
    <w:rsid w:val="00FA2D8A"/>
    <w:rsid w:val="00FA2DAC"/>
    <w:rsid w:val="00FA2DC4"/>
    <w:rsid w:val="00FA4B2D"/>
    <w:rsid w:val="00FA4D21"/>
    <w:rsid w:val="00FA5757"/>
    <w:rsid w:val="00FA6441"/>
    <w:rsid w:val="00FA65D4"/>
    <w:rsid w:val="00FA66C3"/>
    <w:rsid w:val="00FB05FD"/>
    <w:rsid w:val="00FB0995"/>
    <w:rsid w:val="00FB1130"/>
    <w:rsid w:val="00FB179C"/>
    <w:rsid w:val="00FB1A3B"/>
    <w:rsid w:val="00FB2066"/>
    <w:rsid w:val="00FB2542"/>
    <w:rsid w:val="00FB2D96"/>
    <w:rsid w:val="00FB4AC0"/>
    <w:rsid w:val="00FB4B16"/>
    <w:rsid w:val="00FB51E0"/>
    <w:rsid w:val="00FB5372"/>
    <w:rsid w:val="00FB5E09"/>
    <w:rsid w:val="00FB6150"/>
    <w:rsid w:val="00FB7396"/>
    <w:rsid w:val="00FB752D"/>
    <w:rsid w:val="00FB7D35"/>
    <w:rsid w:val="00FC0204"/>
    <w:rsid w:val="00FC0848"/>
    <w:rsid w:val="00FC0981"/>
    <w:rsid w:val="00FC141E"/>
    <w:rsid w:val="00FC14DE"/>
    <w:rsid w:val="00FC346C"/>
    <w:rsid w:val="00FC423B"/>
    <w:rsid w:val="00FC4DDB"/>
    <w:rsid w:val="00FC5B73"/>
    <w:rsid w:val="00FC63F4"/>
    <w:rsid w:val="00FC67F4"/>
    <w:rsid w:val="00FC6E7B"/>
    <w:rsid w:val="00FC7CFE"/>
    <w:rsid w:val="00FD021A"/>
    <w:rsid w:val="00FD08B3"/>
    <w:rsid w:val="00FD1DD4"/>
    <w:rsid w:val="00FD1EF2"/>
    <w:rsid w:val="00FD37B7"/>
    <w:rsid w:val="00FD3D03"/>
    <w:rsid w:val="00FD4076"/>
    <w:rsid w:val="00FD48CB"/>
    <w:rsid w:val="00FD58C4"/>
    <w:rsid w:val="00FD5CEA"/>
    <w:rsid w:val="00FD6145"/>
    <w:rsid w:val="00FD62B8"/>
    <w:rsid w:val="00FD62E9"/>
    <w:rsid w:val="00FD6909"/>
    <w:rsid w:val="00FD6E74"/>
    <w:rsid w:val="00FD6F92"/>
    <w:rsid w:val="00FD72B9"/>
    <w:rsid w:val="00FD72FC"/>
    <w:rsid w:val="00FE0DBD"/>
    <w:rsid w:val="00FE13D5"/>
    <w:rsid w:val="00FE24FB"/>
    <w:rsid w:val="00FE2718"/>
    <w:rsid w:val="00FE35E7"/>
    <w:rsid w:val="00FE58B8"/>
    <w:rsid w:val="00FE6307"/>
    <w:rsid w:val="00FE72A9"/>
    <w:rsid w:val="00FE7DC3"/>
    <w:rsid w:val="00FF0263"/>
    <w:rsid w:val="00FF06E2"/>
    <w:rsid w:val="00FF0C51"/>
    <w:rsid w:val="00FF14E3"/>
    <w:rsid w:val="00FF1534"/>
    <w:rsid w:val="00FF168E"/>
    <w:rsid w:val="00FF1704"/>
    <w:rsid w:val="00FF1DCC"/>
    <w:rsid w:val="00FF22EA"/>
    <w:rsid w:val="06FF11EC"/>
    <w:rsid w:val="0F7618D2"/>
    <w:rsid w:val="11357601"/>
    <w:rsid w:val="172B1103"/>
    <w:rsid w:val="2963444D"/>
    <w:rsid w:val="49C31897"/>
    <w:rsid w:val="4D6A5FED"/>
    <w:rsid w:val="50C64E79"/>
    <w:rsid w:val="55CD4E53"/>
    <w:rsid w:val="56503B63"/>
    <w:rsid w:val="5C060BFD"/>
    <w:rsid w:val="5C270872"/>
    <w:rsid w:val="62ED06F3"/>
    <w:rsid w:val="69D364AE"/>
    <w:rsid w:val="6DEF3270"/>
    <w:rsid w:val="740214A2"/>
    <w:rsid w:val="79DC0293"/>
    <w:rsid w:val="7BCFD117"/>
    <w:rsid w:val="7EFF11D7"/>
    <w:rsid w:val="7FD36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326D655F-AAB8-41EB-AE17-D1EA8FB90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autoRedefine/>
    <w:uiPriority w:val="9"/>
    <w:qFormat/>
    <w:pPr>
      <w:keepNext/>
      <w:keepLines/>
      <w:adjustRightInd w:val="0"/>
      <w:snapToGrid w:val="0"/>
      <w:spacing w:beforeLines="100" w:before="326" w:afterLines="100" w:after="326" w:line="440" w:lineRule="exact"/>
      <w:jc w:val="center"/>
      <w:outlineLvl w:val="0"/>
    </w:pPr>
    <w:rPr>
      <w:b/>
      <w:snapToGrid w:val="0"/>
      <w:color w:val="196B24" w:themeColor="accent3"/>
      <w:kern w:val="44"/>
    </w:rPr>
  </w:style>
  <w:style w:type="paragraph" w:styleId="2">
    <w:name w:val="heading 2"/>
    <w:basedOn w:val="a"/>
    <w:next w:val="a"/>
    <w:link w:val="20"/>
    <w:uiPriority w:val="9"/>
    <w:semiHidden/>
    <w:unhideWhenUsed/>
    <w:qFormat/>
    <w:pPr>
      <w:keepNext/>
      <w:keepLines/>
      <w:spacing w:before="160" w:after="80"/>
      <w:ind w:firstLineChars="200" w:firstLine="200"/>
      <w:jc w:val="both"/>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ind w:firstLineChars="200" w:firstLine="200"/>
      <w:jc w:val="both"/>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pPr>
      <w:keepNext/>
      <w:keepLines/>
      <w:spacing w:before="80" w:after="40"/>
      <w:ind w:firstLineChars="200" w:firstLine="200"/>
      <w:jc w:val="both"/>
      <w:outlineLvl w:val="3"/>
    </w:pPr>
    <w:rPr>
      <w:rFonts w:ascii="Times New Roman" w:hAnsi="Times New Roman"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ind w:firstLineChars="200" w:firstLine="200"/>
      <w:jc w:val="both"/>
      <w:outlineLvl w:val="4"/>
    </w:pPr>
    <w:rPr>
      <w:rFonts w:ascii="Times New Roman" w:hAnsi="Times New Roman" w:cstheme="majorBidi"/>
      <w:color w:val="0F4761" w:themeColor="accent1" w:themeShade="BF"/>
      <w:sz w:val="21"/>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endnote text"/>
    <w:basedOn w:val="a"/>
    <w:link w:val="a6"/>
    <w:uiPriority w:val="99"/>
    <w:semiHidden/>
    <w:unhideWhenUsed/>
    <w:qFormat/>
    <w:pPr>
      <w:snapToGrid w:val="0"/>
    </w:pPr>
  </w:style>
  <w:style w:type="paragraph" w:styleId="a7">
    <w:name w:val="footer"/>
    <w:basedOn w:val="a"/>
    <w:link w:val="a8"/>
    <w:uiPriority w:val="99"/>
    <w:unhideWhenUsed/>
    <w:qFormat/>
    <w:pPr>
      <w:tabs>
        <w:tab w:val="center" w:pos="4153"/>
        <w:tab w:val="right" w:pos="8306"/>
      </w:tabs>
      <w:snapToGrid w:val="0"/>
      <w:ind w:firstLineChars="200" w:firstLine="200"/>
    </w:pPr>
    <w:rPr>
      <w:rFonts w:ascii="Times New Roman" w:hAnsi="Times New Roman"/>
      <w:color w:val="000000" w:themeColor="text1"/>
      <w:sz w:val="18"/>
      <w:szCs w:val="18"/>
    </w:rPr>
  </w:style>
  <w:style w:type="paragraph" w:styleId="a9">
    <w:name w:val="header"/>
    <w:basedOn w:val="a"/>
    <w:link w:val="aa"/>
    <w:uiPriority w:val="99"/>
    <w:unhideWhenUsed/>
    <w:qFormat/>
    <w:pPr>
      <w:tabs>
        <w:tab w:val="center" w:pos="4153"/>
        <w:tab w:val="right" w:pos="8306"/>
      </w:tabs>
      <w:snapToGrid w:val="0"/>
      <w:ind w:firstLineChars="200" w:firstLine="200"/>
      <w:jc w:val="center"/>
    </w:pPr>
    <w:rPr>
      <w:rFonts w:ascii="Times New Roman" w:hAnsi="Times New Roman"/>
      <w:color w:val="000000" w:themeColor="text1"/>
      <w:sz w:val="18"/>
      <w:szCs w:val="18"/>
    </w:rPr>
  </w:style>
  <w:style w:type="paragraph" w:styleId="ab">
    <w:name w:val="Subtitle"/>
    <w:basedOn w:val="a"/>
    <w:next w:val="a"/>
    <w:link w:val="ac"/>
    <w:uiPriority w:val="11"/>
    <w:qFormat/>
    <w:p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paragraph" w:styleId="ad">
    <w:name w:val="footnote text"/>
    <w:basedOn w:val="a"/>
    <w:link w:val="ae"/>
    <w:uiPriority w:val="99"/>
    <w:unhideWhenUsed/>
    <w:qFormat/>
    <w:pPr>
      <w:snapToGrid w:val="0"/>
      <w:ind w:firstLineChars="200" w:firstLine="200"/>
    </w:pPr>
    <w:rPr>
      <w:rFonts w:ascii="Times New Roman" w:hAnsi="Times New Roman"/>
      <w:color w:val="000000" w:themeColor="text1"/>
      <w:sz w:val="18"/>
      <w:szCs w:val="18"/>
    </w:rPr>
  </w:style>
  <w:style w:type="paragraph" w:styleId="af">
    <w:name w:val="Normal (Web)"/>
    <w:basedOn w:val="a"/>
    <w:uiPriority w:val="99"/>
    <w:unhideWhenUsed/>
    <w:qFormat/>
    <w:pPr>
      <w:spacing w:before="100" w:beforeAutospacing="1" w:after="100" w:afterAutospacing="1"/>
    </w:pPr>
  </w:style>
  <w:style w:type="paragraph" w:styleId="af0">
    <w:name w:val="Title"/>
    <w:basedOn w:val="a"/>
    <w:next w:val="a"/>
    <w:link w:val="af1"/>
    <w:uiPriority w:val="10"/>
    <w:qFormat/>
    <w:pPr>
      <w:spacing w:after="80"/>
      <w:ind w:firstLineChars="200" w:firstLine="200"/>
      <w:contextualSpacing/>
      <w:jc w:val="center"/>
    </w:pPr>
    <w:rPr>
      <w:rFonts w:asciiTheme="majorHAnsi" w:eastAsiaTheme="majorEastAsia" w:hAnsiTheme="majorHAnsi" w:cstheme="majorBidi"/>
      <w:color w:val="000000" w:themeColor="text1"/>
      <w:spacing w:val="-10"/>
      <w:kern w:val="28"/>
      <w:sz w:val="56"/>
      <w:szCs w:val="56"/>
    </w:rPr>
  </w:style>
  <w:style w:type="paragraph" w:styleId="af2">
    <w:name w:val="annotation subject"/>
    <w:basedOn w:val="a3"/>
    <w:next w:val="a3"/>
    <w:link w:val="af3"/>
    <w:uiPriority w:val="99"/>
    <w:semiHidden/>
    <w:unhideWhenUsed/>
    <w:qFormat/>
    <w:rPr>
      <w:b/>
      <w:bCs/>
    </w:rPr>
  </w:style>
  <w:style w:type="table" w:styleId="af4">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Pr>
      <w:b/>
      <w:bCs/>
    </w:rPr>
  </w:style>
  <w:style w:type="character" w:styleId="af6">
    <w:name w:val="endnote reference"/>
    <w:basedOn w:val="a0"/>
    <w:uiPriority w:val="99"/>
    <w:semiHidden/>
    <w:unhideWhenUsed/>
    <w:qFormat/>
    <w:rPr>
      <w:vertAlign w:val="superscript"/>
    </w:rPr>
  </w:style>
  <w:style w:type="character" w:styleId="af7">
    <w:name w:val="FollowedHyperlink"/>
    <w:basedOn w:val="a0"/>
    <w:uiPriority w:val="99"/>
    <w:semiHidden/>
    <w:unhideWhenUsed/>
    <w:qFormat/>
    <w:rPr>
      <w:color w:val="96607D" w:themeColor="followedHyperlink"/>
      <w:u w:val="single"/>
    </w:rPr>
  </w:style>
  <w:style w:type="character" w:styleId="af8">
    <w:name w:val="Emphasis"/>
    <w:basedOn w:val="a0"/>
    <w:uiPriority w:val="20"/>
    <w:qFormat/>
    <w:rPr>
      <w:i/>
      <w:iCs/>
    </w:rPr>
  </w:style>
  <w:style w:type="character" w:styleId="af9">
    <w:name w:val="Hyperlink"/>
    <w:basedOn w:val="a0"/>
    <w:uiPriority w:val="99"/>
    <w:unhideWhenUsed/>
    <w:qFormat/>
    <w:rPr>
      <w:color w:val="467886" w:themeColor="hyperlink"/>
      <w:u w:val="single"/>
    </w:rPr>
  </w:style>
  <w:style w:type="character" w:styleId="afa">
    <w:name w:val="annotation reference"/>
    <w:basedOn w:val="a0"/>
    <w:uiPriority w:val="99"/>
    <w:semiHidden/>
    <w:unhideWhenUsed/>
    <w:qFormat/>
    <w:rPr>
      <w:sz w:val="21"/>
      <w:szCs w:val="21"/>
    </w:rPr>
  </w:style>
  <w:style w:type="character" w:styleId="afb">
    <w:name w:val="footnote reference"/>
    <w:basedOn w:val="a0"/>
    <w:uiPriority w:val="99"/>
    <w:semiHidden/>
    <w:unhideWhenUsed/>
    <w:qFormat/>
    <w:rPr>
      <w:vertAlign w:val="superscript"/>
    </w:rPr>
  </w:style>
  <w:style w:type="character" w:customStyle="1" w:styleId="10">
    <w:name w:val="标题 1 字符"/>
    <w:basedOn w:val="a0"/>
    <w:link w:val="1"/>
    <w:autoRedefine/>
    <w:uiPriority w:val="9"/>
    <w:qFormat/>
    <w:rPr>
      <w:rFonts w:ascii="宋体" w:hAnsi="宋体" w:cs="宋体"/>
      <w:b/>
      <w:snapToGrid w:val="0"/>
      <w:color w:val="196B24" w:themeColor="accent3"/>
      <w:kern w:val="44"/>
      <w:sz w:val="24"/>
      <w:szCs w:val="24"/>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1">
    <w:name w:val="标题 字符"/>
    <w:basedOn w:val="a0"/>
    <w:link w:val="af0"/>
    <w:uiPriority w:val="10"/>
    <w:qFormat/>
    <w:rPr>
      <w:rFonts w:asciiTheme="majorHAnsi" w:eastAsiaTheme="majorEastAsia" w:hAnsiTheme="majorHAnsi" w:cstheme="majorBidi"/>
      <w:spacing w:val="-10"/>
      <w:kern w:val="28"/>
      <w:sz w:val="56"/>
      <w:szCs w:val="56"/>
    </w:rPr>
  </w:style>
  <w:style w:type="character" w:customStyle="1" w:styleId="ac">
    <w:name w:val="副标题 字符"/>
    <w:basedOn w:val="a0"/>
    <w:link w:val="ab"/>
    <w:uiPriority w:val="11"/>
    <w:qFormat/>
    <w:rPr>
      <w:rFonts w:asciiTheme="majorHAnsi" w:eastAsiaTheme="majorEastAsia" w:hAnsiTheme="majorHAnsi" w:cstheme="majorBidi"/>
      <w:color w:val="595959" w:themeColor="text1" w:themeTint="A6"/>
      <w:spacing w:val="15"/>
      <w:sz w:val="28"/>
      <w:szCs w:val="28"/>
    </w:rPr>
  </w:style>
  <w:style w:type="paragraph" w:styleId="afc">
    <w:name w:val="Quote"/>
    <w:basedOn w:val="a"/>
    <w:next w:val="a"/>
    <w:link w:val="afd"/>
    <w:uiPriority w:val="29"/>
    <w:qFormat/>
    <w:pPr>
      <w:spacing w:before="160" w:after="160"/>
      <w:ind w:firstLineChars="200" w:firstLine="200"/>
      <w:jc w:val="center"/>
    </w:pPr>
    <w:rPr>
      <w:rFonts w:ascii="Times New Roman" w:hAnsi="Times New Roman"/>
      <w:i/>
      <w:iCs/>
      <w:color w:val="404040" w:themeColor="text1" w:themeTint="BF"/>
      <w:sz w:val="21"/>
    </w:rPr>
  </w:style>
  <w:style w:type="character" w:customStyle="1" w:styleId="afd">
    <w:name w:val="引用 字符"/>
    <w:basedOn w:val="a0"/>
    <w:link w:val="afc"/>
    <w:uiPriority w:val="29"/>
    <w:qFormat/>
    <w:rPr>
      <w:i/>
      <w:iCs/>
      <w:color w:val="404040" w:themeColor="text1" w:themeTint="BF"/>
    </w:rPr>
  </w:style>
  <w:style w:type="paragraph" w:styleId="afe">
    <w:name w:val="List Paragraph"/>
    <w:basedOn w:val="a"/>
    <w:uiPriority w:val="34"/>
    <w:qFormat/>
    <w:pPr>
      <w:ind w:left="720" w:firstLineChars="200" w:firstLine="200"/>
      <w:contextualSpacing/>
      <w:jc w:val="both"/>
    </w:pPr>
    <w:rPr>
      <w:rFonts w:ascii="Times New Roman" w:hAnsi="Times New Roman"/>
      <w:color w:val="000000" w:themeColor="text1"/>
      <w:sz w:val="21"/>
    </w:rPr>
  </w:style>
  <w:style w:type="character" w:customStyle="1" w:styleId="11">
    <w:name w:val="明显强调1"/>
    <w:basedOn w:val="a0"/>
    <w:uiPriority w:val="21"/>
    <w:qFormat/>
    <w:rPr>
      <w:i/>
      <w:iCs/>
      <w:color w:val="0F4761" w:themeColor="accent1" w:themeShade="BF"/>
    </w:rPr>
  </w:style>
  <w:style w:type="paragraph" w:styleId="aff">
    <w:name w:val="Intense Quote"/>
    <w:basedOn w:val="a"/>
    <w:next w:val="a"/>
    <w:link w:val="aff0"/>
    <w:uiPriority w:val="30"/>
    <w:qFormat/>
    <w:pPr>
      <w:pBdr>
        <w:top w:val="single" w:sz="4" w:space="10" w:color="0F4761" w:themeColor="accent1" w:themeShade="BF"/>
        <w:bottom w:val="single" w:sz="4" w:space="10" w:color="0F4761" w:themeColor="accent1" w:themeShade="BF"/>
      </w:pBdr>
      <w:spacing w:before="360" w:after="360"/>
      <w:ind w:left="864" w:right="864" w:firstLineChars="200" w:firstLine="200"/>
      <w:jc w:val="center"/>
    </w:pPr>
    <w:rPr>
      <w:rFonts w:ascii="Times New Roman" w:hAnsi="Times New Roman"/>
      <w:i/>
      <w:iCs/>
      <w:color w:val="0F4761" w:themeColor="accent1" w:themeShade="BF"/>
      <w:sz w:val="21"/>
    </w:rPr>
  </w:style>
  <w:style w:type="character" w:customStyle="1" w:styleId="aff0">
    <w:name w:val="明显引用 字符"/>
    <w:basedOn w:val="a0"/>
    <w:link w:val="af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批注文字 字符"/>
    <w:basedOn w:val="a0"/>
    <w:link w:val="a3"/>
    <w:uiPriority w:val="99"/>
    <w:semiHidden/>
    <w:qFormat/>
    <w:rPr>
      <w:rFonts w:ascii="宋体" w:eastAsia="宋体" w:hAnsi="宋体" w:cs="宋体"/>
      <w:kern w:val="0"/>
      <w:sz w:val="24"/>
    </w:rPr>
  </w:style>
  <w:style w:type="character" w:customStyle="1" w:styleId="af3">
    <w:name w:val="批注主题 字符"/>
    <w:basedOn w:val="a4"/>
    <w:link w:val="af2"/>
    <w:uiPriority w:val="99"/>
    <w:semiHidden/>
    <w:qFormat/>
    <w:rPr>
      <w:rFonts w:ascii="宋体" w:eastAsia="宋体" w:hAnsi="宋体" w:cs="宋体"/>
      <w:b/>
      <w:bCs/>
      <w:kern w:val="0"/>
      <w:sz w:val="24"/>
    </w:rPr>
  </w:style>
  <w:style w:type="paragraph" w:customStyle="1" w:styleId="13">
    <w:name w:val="修订1"/>
    <w:hidden/>
    <w:uiPriority w:val="99"/>
    <w:qFormat/>
    <w:rPr>
      <w:rFonts w:ascii="宋体" w:hAnsi="宋体" w:cs="宋体"/>
      <w:sz w:val="24"/>
      <w:szCs w:val="24"/>
    </w:rPr>
  </w:style>
  <w:style w:type="character" w:styleId="aff1">
    <w:name w:val="Placeholder Text"/>
    <w:basedOn w:val="a0"/>
    <w:uiPriority w:val="99"/>
    <w:semiHidden/>
    <w:qFormat/>
    <w:rPr>
      <w:color w:val="666666"/>
    </w:rPr>
  </w:style>
  <w:style w:type="paragraph" w:customStyle="1" w:styleId="SCI1">
    <w:name w:val="SCI标题1"/>
    <w:next w:val="SCI"/>
    <w:qFormat/>
    <w:pPr>
      <w:spacing w:line="360" w:lineRule="auto"/>
      <w:ind w:firstLineChars="200" w:firstLine="200"/>
      <w:jc w:val="both"/>
      <w:outlineLvl w:val="0"/>
    </w:pPr>
    <w:rPr>
      <w:rFonts w:cs="Times New Roman (正文 CS 字体)"/>
      <w:b/>
      <w:bCs/>
      <w:snapToGrid w:val="0"/>
      <w:color w:val="000000" w:themeColor="text1"/>
      <w:kern w:val="44"/>
      <w:sz w:val="24"/>
      <w:szCs w:val="44"/>
    </w:rPr>
  </w:style>
  <w:style w:type="paragraph" w:customStyle="1" w:styleId="SCI">
    <w:name w:val="SCI正文"/>
    <w:basedOn w:val="a"/>
    <w:qFormat/>
    <w:pPr>
      <w:ind w:firstLineChars="200" w:firstLine="200"/>
      <w:jc w:val="both"/>
    </w:pPr>
    <w:rPr>
      <w:rFonts w:ascii="Times New Roman" w:hAnsi="Times New Roman" w:cs="Times New Roman (正文 CS 字体)"/>
      <w:bCs/>
      <w:snapToGrid w:val="0"/>
      <w:color w:val="000000" w:themeColor="text1"/>
      <w:kern w:val="44"/>
      <w:sz w:val="21"/>
      <w:szCs w:val="44"/>
    </w:rPr>
  </w:style>
  <w:style w:type="paragraph" w:customStyle="1" w:styleId="SCI2">
    <w:name w:val="SCI标题2"/>
    <w:next w:val="SCI"/>
    <w:qFormat/>
    <w:pPr>
      <w:ind w:firstLineChars="200" w:firstLine="200"/>
      <w:jc w:val="both"/>
      <w:outlineLvl w:val="1"/>
    </w:pPr>
    <w:rPr>
      <w:rFonts w:cs="Times New Roman (正文 CS 字体)"/>
      <w:b/>
      <w:bCs/>
      <w:snapToGrid w:val="0"/>
      <w:color w:val="000000" w:themeColor="text1"/>
      <w:kern w:val="44"/>
      <w:sz w:val="21"/>
      <w:szCs w:val="44"/>
    </w:rPr>
  </w:style>
  <w:style w:type="paragraph" w:customStyle="1" w:styleId="SCI3">
    <w:name w:val="SCI标题3"/>
    <w:basedOn w:val="SCI2"/>
    <w:next w:val="SCI"/>
    <w:qFormat/>
    <w:pPr>
      <w:outlineLvl w:val="2"/>
    </w:pPr>
    <w:rPr>
      <w:b w:val="0"/>
    </w:rPr>
  </w:style>
  <w:style w:type="paragraph" w:customStyle="1" w:styleId="p1">
    <w:name w:val="p1"/>
    <w:basedOn w:val="a"/>
    <w:qFormat/>
    <w:pPr>
      <w:spacing w:before="100" w:beforeAutospacing="1" w:after="100" w:afterAutospacing="1"/>
    </w:pPr>
  </w:style>
  <w:style w:type="character" w:customStyle="1" w:styleId="s1">
    <w:name w:val="s1"/>
    <w:basedOn w:val="a0"/>
    <w:qFormat/>
  </w:style>
  <w:style w:type="character" w:customStyle="1" w:styleId="aa">
    <w:name w:val="页眉 字符"/>
    <w:basedOn w:val="a0"/>
    <w:link w:val="a9"/>
    <w:uiPriority w:val="99"/>
    <w:qFormat/>
    <w:rPr>
      <w:rFonts w:ascii="Times New Roman" w:eastAsia="宋体" w:hAnsi="Times New Roman" w:cs="宋体"/>
      <w:color w:val="000000" w:themeColor="text1"/>
      <w:kern w:val="0"/>
      <w:sz w:val="18"/>
      <w:szCs w:val="18"/>
    </w:rPr>
  </w:style>
  <w:style w:type="character" w:customStyle="1" w:styleId="a8">
    <w:name w:val="页脚 字符"/>
    <w:basedOn w:val="a0"/>
    <w:link w:val="a7"/>
    <w:uiPriority w:val="99"/>
    <w:qFormat/>
    <w:rPr>
      <w:rFonts w:ascii="Times New Roman" w:eastAsia="宋体" w:hAnsi="Times New Roman" w:cs="宋体"/>
      <w:color w:val="000000" w:themeColor="text1"/>
      <w:kern w:val="0"/>
      <w:sz w:val="18"/>
      <w:szCs w:val="18"/>
    </w:rPr>
  </w:style>
  <w:style w:type="paragraph" w:styleId="aff2">
    <w:name w:val="No Spacing"/>
    <w:uiPriority w:val="1"/>
    <w:qFormat/>
    <w:rPr>
      <w:rFonts w:asciiTheme="minorHAnsi" w:eastAsia="Microsoft YaHei UI" w:hAnsiTheme="minorHAnsi" w:cstheme="minorBidi"/>
      <w:sz w:val="22"/>
      <w:szCs w:val="22"/>
    </w:rPr>
  </w:style>
  <w:style w:type="character" w:customStyle="1" w:styleId="ae">
    <w:name w:val="脚注文本 字符"/>
    <w:basedOn w:val="a0"/>
    <w:link w:val="ad"/>
    <w:uiPriority w:val="99"/>
    <w:qFormat/>
    <w:rPr>
      <w:rFonts w:ascii="Times New Roman" w:eastAsia="宋体" w:hAnsi="Times New Roman" w:cs="宋体"/>
      <w:color w:val="000000" w:themeColor="text1"/>
      <w:kern w:val="0"/>
      <w:sz w:val="18"/>
      <w:szCs w:val="18"/>
    </w:rPr>
  </w:style>
  <w:style w:type="character" w:customStyle="1" w:styleId="a6">
    <w:name w:val="尾注文本 字符"/>
    <w:basedOn w:val="a0"/>
    <w:link w:val="a5"/>
    <w:uiPriority w:val="99"/>
    <w:semiHidden/>
    <w:qFormat/>
    <w:rPr>
      <w:rFonts w:ascii="Times New Roman" w:eastAsia="宋体" w:hAnsi="Times New Roman" w:cs="宋体"/>
      <w:color w:val="000000" w:themeColor="text1"/>
      <w:kern w:val="0"/>
    </w:rPr>
  </w:style>
  <w:style w:type="character" w:customStyle="1" w:styleId="14">
    <w:name w:val="未处理的提及1"/>
    <w:basedOn w:val="a0"/>
    <w:uiPriority w:val="99"/>
    <w:semiHidden/>
    <w:unhideWhenUsed/>
    <w:qFormat/>
    <w:rPr>
      <w:color w:val="605E5C"/>
      <w:shd w:val="clear" w:color="auto" w:fill="E1DFDD"/>
    </w:rPr>
  </w:style>
  <w:style w:type="character" w:customStyle="1" w:styleId="21">
    <w:name w:val="未处理的提及2"/>
    <w:basedOn w:val="a0"/>
    <w:uiPriority w:val="99"/>
    <w:semiHidden/>
    <w:unhideWhenUsed/>
    <w:qFormat/>
    <w:rPr>
      <w:color w:val="605E5C"/>
      <w:shd w:val="clear" w:color="auto" w:fill="E1DFDD"/>
    </w:rPr>
  </w:style>
  <w:style w:type="paragraph" w:customStyle="1" w:styleId="22">
    <w:name w:val="修订2"/>
    <w:hidden/>
    <w:uiPriority w:val="99"/>
    <w:unhideWhenUsed/>
    <w:qFormat/>
    <w:rPr>
      <w:rFonts w:cs="宋体"/>
      <w:color w:val="000000" w:themeColor="text1"/>
      <w:sz w:val="21"/>
      <w:szCs w:val="24"/>
    </w:rPr>
  </w:style>
  <w:style w:type="character" w:customStyle="1" w:styleId="23">
    <w:name w:val="明显强调2"/>
    <w:basedOn w:val="a0"/>
    <w:uiPriority w:val="21"/>
    <w:qFormat/>
    <w:rPr>
      <w:i/>
      <w:iCs/>
      <w:color w:val="0F4761" w:themeColor="accent1" w:themeShade="BF"/>
    </w:rPr>
  </w:style>
  <w:style w:type="character" w:customStyle="1" w:styleId="24">
    <w:name w:val="明显参考2"/>
    <w:basedOn w:val="a0"/>
    <w:uiPriority w:val="32"/>
    <w:qFormat/>
    <w:rPr>
      <w:b/>
      <w:bCs/>
      <w:smallCaps/>
      <w:color w:val="0F4761" w:themeColor="accent1" w:themeShade="BF"/>
      <w:spacing w:val="5"/>
    </w:rPr>
  </w:style>
  <w:style w:type="paragraph" w:customStyle="1" w:styleId="31">
    <w:name w:val="修订3"/>
    <w:hidden/>
    <w:uiPriority w:val="99"/>
    <w:semiHidden/>
    <w:qFormat/>
    <w:rPr>
      <w:rFonts w:ascii="宋体" w:hAnsi="宋体" w:cs="宋体"/>
      <w:sz w:val="24"/>
      <w:szCs w:val="24"/>
    </w:rPr>
  </w:style>
  <w:style w:type="paragraph" w:customStyle="1" w:styleId="41">
    <w:name w:val="修订4"/>
    <w:hidden/>
    <w:uiPriority w:val="99"/>
    <w:unhideWhenUsed/>
    <w:qFormat/>
    <w:rPr>
      <w:rFonts w:cs="宋体"/>
      <w:color w:val="000000" w:themeColor="text1"/>
      <w:sz w:val="21"/>
      <w:szCs w:val="24"/>
    </w:rPr>
  </w:style>
  <w:style w:type="paragraph" w:customStyle="1" w:styleId="aff3">
    <w:name w:val="中文期刊题目"/>
    <w:basedOn w:val="a"/>
    <w:next w:val="a"/>
    <w:qFormat/>
    <w:pPr>
      <w:widowControl w:val="0"/>
      <w:spacing w:line="360" w:lineRule="auto"/>
      <w:ind w:firstLineChars="200" w:firstLine="200"/>
      <w:jc w:val="center"/>
    </w:pPr>
    <w:rPr>
      <w:rFonts w:ascii="Times New Roman" w:hAnsi="Times New Roman" w:cs="Times New Roman"/>
      <w:color w:val="000000" w:themeColor="text1"/>
      <w:kern w:val="2"/>
      <w:sz w:val="28"/>
    </w:rPr>
  </w:style>
  <w:style w:type="paragraph" w:customStyle="1" w:styleId="aff4">
    <w:name w:val="中文期刊一级标题"/>
    <w:basedOn w:val="a"/>
    <w:next w:val="a"/>
    <w:qFormat/>
    <w:pPr>
      <w:widowControl w:val="0"/>
      <w:spacing w:line="360" w:lineRule="auto"/>
      <w:jc w:val="center"/>
    </w:pPr>
    <w:rPr>
      <w:rFonts w:ascii="Times New Roman" w:hAnsi="Times New Roman" w:cs="Times New Roman"/>
      <w:color w:val="000000" w:themeColor="text1"/>
      <w:kern w:val="2"/>
    </w:rPr>
  </w:style>
  <w:style w:type="paragraph" w:customStyle="1" w:styleId="15">
    <w:name w:val="样式1"/>
    <w:basedOn w:val="a"/>
    <w:next w:val="a"/>
    <w:qFormat/>
    <w:pPr>
      <w:widowControl w:val="0"/>
      <w:spacing w:line="360" w:lineRule="auto"/>
      <w:ind w:firstLineChars="200" w:firstLine="200"/>
      <w:jc w:val="both"/>
    </w:pPr>
    <w:rPr>
      <w:rFonts w:ascii="Times New Roman" w:hAnsi="Times New Roman" w:cs="Times New Roman"/>
      <w:color w:val="000000" w:themeColor="text1"/>
      <w:kern w:val="2"/>
    </w:rPr>
  </w:style>
  <w:style w:type="paragraph" w:customStyle="1" w:styleId="aff5">
    <w:name w:val="中文期刊二级标题"/>
    <w:basedOn w:val="a"/>
    <w:next w:val="a"/>
    <w:qFormat/>
    <w:pPr>
      <w:widowControl w:val="0"/>
      <w:spacing w:line="360" w:lineRule="auto"/>
      <w:ind w:firstLineChars="200" w:firstLine="200"/>
      <w:jc w:val="both"/>
    </w:pPr>
    <w:rPr>
      <w:rFonts w:ascii="Times New Roman" w:hAnsi="Times New Roman" w:cs="Times New Roman"/>
      <w:color w:val="000000" w:themeColor="text1"/>
      <w:kern w:val="2"/>
    </w:rPr>
  </w:style>
  <w:style w:type="paragraph" w:customStyle="1" w:styleId="aff6">
    <w:name w:val="中文期刊三级标题"/>
    <w:basedOn w:val="a"/>
    <w:next w:val="a"/>
    <w:qFormat/>
    <w:pPr>
      <w:widowControl w:val="0"/>
      <w:ind w:firstLineChars="200" w:firstLine="200"/>
      <w:jc w:val="both"/>
    </w:pPr>
    <w:rPr>
      <w:rFonts w:ascii="Times New Roman" w:hAnsi="Times New Roman" w:cs="Times New Roman"/>
      <w:color w:val="000000" w:themeColor="text1"/>
      <w:kern w:val="2"/>
      <w:sz w:val="21"/>
    </w:rPr>
  </w:style>
  <w:style w:type="character" w:customStyle="1" w:styleId="16">
    <w:name w:val="脚注文本 字符1"/>
    <w:basedOn w:val="a0"/>
    <w:uiPriority w:val="99"/>
    <w:semiHidden/>
    <w:qFormat/>
    <w:rPr>
      <w:rFonts w:cs="Times New Roman (正文 CS 字体)"/>
      <w:kern w:val="2"/>
      <w:sz w:val="18"/>
      <w:szCs w:val="18"/>
    </w:rPr>
  </w:style>
  <w:style w:type="character" w:customStyle="1" w:styleId="s2">
    <w:name w:val="s2"/>
    <w:basedOn w:val="a0"/>
    <w:qFormat/>
  </w:style>
  <w:style w:type="character" w:customStyle="1" w:styleId="32">
    <w:name w:val="未处理的提及3"/>
    <w:basedOn w:val="a0"/>
    <w:uiPriority w:val="99"/>
    <w:semiHidden/>
    <w:unhideWhenUsed/>
    <w:qFormat/>
    <w:rPr>
      <w:color w:val="605E5C"/>
      <w:shd w:val="clear" w:color="auto" w:fill="E1DFDD"/>
    </w:rPr>
  </w:style>
  <w:style w:type="paragraph" w:customStyle="1" w:styleId="pdq2pgselectionanchorcontainer">
    <w:name w:val="pdq2pg_selectionanchorcontainer"/>
    <w:basedOn w:val="a"/>
    <w:qFormat/>
    <w:pPr>
      <w:spacing w:before="100" w:beforeAutospacing="1" w:after="100" w:afterAutospacing="1"/>
    </w:pPr>
  </w:style>
  <w:style w:type="character" w:customStyle="1" w:styleId="mord">
    <w:name w:val="mord"/>
    <w:basedOn w:val="a0"/>
  </w:style>
  <w:style w:type="character" w:customStyle="1" w:styleId="vlist-s">
    <w:name w:val="vlist-s"/>
    <w:basedOn w:val="a0"/>
  </w:style>
  <w:style w:type="character" w:customStyle="1" w:styleId="mpunct">
    <w:name w:val="mpunct"/>
    <w:basedOn w:val="a0"/>
    <w:qFormat/>
  </w:style>
  <w:style w:type="character" w:customStyle="1" w:styleId="mbin">
    <w:name w:val="mbin"/>
    <w:basedOn w:val="a0"/>
  </w:style>
  <w:style w:type="character" w:customStyle="1" w:styleId="mopen">
    <w:name w:val="mopen"/>
    <w:basedOn w:val="a0"/>
  </w:style>
  <w:style w:type="character" w:customStyle="1" w:styleId="mclose">
    <w:name w:val="mclose"/>
    <w:basedOn w:val="a0"/>
  </w:style>
  <w:style w:type="character" w:customStyle="1" w:styleId="310">
    <w:name w:val="未处理的提及31"/>
    <w:basedOn w:val="a0"/>
    <w:uiPriority w:val="99"/>
    <w:semiHidden/>
    <w:unhideWhenUsed/>
    <w:qFormat/>
    <w:rPr>
      <w:color w:val="605E5C"/>
      <w:shd w:val="clear" w:color="auto" w:fill="E1DFDD"/>
    </w:rPr>
  </w:style>
  <w:style w:type="character" w:customStyle="1" w:styleId="katex">
    <w:name w:val="katex"/>
    <w:basedOn w:val="a0"/>
    <w:qFormat/>
  </w:style>
  <w:style w:type="character" w:customStyle="1" w:styleId="UnresolvedMention">
    <w:name w:val="Unresolved Mention"/>
    <w:basedOn w:val="a0"/>
    <w:uiPriority w:val="99"/>
    <w:semiHidden/>
    <w:unhideWhenUsed/>
    <w:qFormat/>
    <w:rPr>
      <w:color w:val="605E5C"/>
      <w:shd w:val="clear" w:color="auto" w:fill="E1DFDD"/>
    </w:rPr>
  </w:style>
  <w:style w:type="numbering" w:customStyle="1" w:styleId="17">
    <w:name w:val="无列表1"/>
    <w:next w:val="a2"/>
    <w:uiPriority w:val="99"/>
    <w:semiHidden/>
    <w:unhideWhenUsed/>
    <w:rsid w:val="00694719"/>
  </w:style>
  <w:style w:type="paragraph" w:customStyle="1" w:styleId="110">
    <w:name w:val="标题 11"/>
    <w:basedOn w:val="a"/>
    <w:next w:val="a"/>
    <w:autoRedefine/>
    <w:uiPriority w:val="9"/>
    <w:qFormat/>
    <w:rsid w:val="00694719"/>
    <w:pPr>
      <w:keepNext/>
      <w:keepLines/>
      <w:adjustRightInd w:val="0"/>
      <w:snapToGrid w:val="0"/>
      <w:spacing w:beforeLines="100" w:before="326" w:afterLines="100" w:after="326" w:line="440" w:lineRule="exact"/>
      <w:jc w:val="center"/>
      <w:outlineLvl w:val="0"/>
    </w:pPr>
    <w:rPr>
      <w:b/>
      <w:snapToGrid w:val="0"/>
      <w:color w:val="196B24"/>
      <w:kern w:val="44"/>
    </w:rPr>
  </w:style>
  <w:style w:type="paragraph" w:customStyle="1" w:styleId="210">
    <w:name w:val="标题 21"/>
    <w:basedOn w:val="a"/>
    <w:next w:val="a"/>
    <w:uiPriority w:val="9"/>
    <w:semiHidden/>
    <w:unhideWhenUsed/>
    <w:qFormat/>
    <w:rsid w:val="00694719"/>
    <w:pPr>
      <w:keepNext/>
      <w:keepLines/>
      <w:spacing w:before="160" w:after="80"/>
      <w:ind w:firstLineChars="200" w:firstLine="200"/>
      <w:jc w:val="both"/>
      <w:outlineLvl w:val="1"/>
    </w:pPr>
    <w:rPr>
      <w:rFonts w:ascii="等线 Light" w:eastAsia="等线 Light" w:hAnsi="等线 Light" w:cs="Times New Roman"/>
      <w:color w:val="0F4761"/>
      <w:sz w:val="40"/>
      <w:szCs w:val="40"/>
    </w:rPr>
  </w:style>
  <w:style w:type="paragraph" w:customStyle="1" w:styleId="311">
    <w:name w:val="标题 31"/>
    <w:basedOn w:val="a"/>
    <w:next w:val="a"/>
    <w:uiPriority w:val="9"/>
    <w:unhideWhenUsed/>
    <w:qFormat/>
    <w:rsid w:val="00694719"/>
    <w:pPr>
      <w:keepNext/>
      <w:keepLines/>
      <w:spacing w:before="160" w:after="80"/>
      <w:ind w:firstLineChars="200" w:firstLine="200"/>
      <w:jc w:val="both"/>
      <w:outlineLvl w:val="2"/>
    </w:pPr>
    <w:rPr>
      <w:rFonts w:ascii="等线 Light" w:eastAsia="等线 Light" w:hAnsi="等线 Light" w:cs="Times New Roman"/>
      <w:color w:val="0F4761"/>
      <w:sz w:val="32"/>
      <w:szCs w:val="32"/>
    </w:rPr>
  </w:style>
  <w:style w:type="paragraph" w:customStyle="1" w:styleId="410">
    <w:name w:val="标题 41"/>
    <w:basedOn w:val="a"/>
    <w:next w:val="a"/>
    <w:uiPriority w:val="9"/>
    <w:unhideWhenUsed/>
    <w:qFormat/>
    <w:rsid w:val="00694719"/>
    <w:pPr>
      <w:keepNext/>
      <w:keepLines/>
      <w:spacing w:before="80" w:after="40"/>
      <w:ind w:firstLineChars="200" w:firstLine="200"/>
      <w:jc w:val="both"/>
      <w:outlineLvl w:val="3"/>
    </w:pPr>
    <w:rPr>
      <w:rFonts w:ascii="Times New Roman" w:hAnsi="Times New Roman" w:cs="Times New Roman"/>
      <w:color w:val="0F4761"/>
      <w:sz w:val="28"/>
      <w:szCs w:val="28"/>
    </w:rPr>
  </w:style>
  <w:style w:type="paragraph" w:customStyle="1" w:styleId="51">
    <w:name w:val="标题 51"/>
    <w:basedOn w:val="a"/>
    <w:next w:val="a"/>
    <w:uiPriority w:val="9"/>
    <w:semiHidden/>
    <w:unhideWhenUsed/>
    <w:qFormat/>
    <w:rsid w:val="00694719"/>
    <w:pPr>
      <w:keepNext/>
      <w:keepLines/>
      <w:spacing w:before="80" w:after="40"/>
      <w:ind w:firstLineChars="200" w:firstLine="200"/>
      <w:jc w:val="both"/>
      <w:outlineLvl w:val="4"/>
    </w:pPr>
    <w:rPr>
      <w:rFonts w:ascii="Times New Roman" w:hAnsi="Times New Roman" w:cs="Times New Roman"/>
      <w:color w:val="0F4761"/>
      <w:sz w:val="21"/>
    </w:rPr>
  </w:style>
  <w:style w:type="paragraph" w:customStyle="1" w:styleId="61">
    <w:name w:val="标题 61"/>
    <w:basedOn w:val="a"/>
    <w:next w:val="a"/>
    <w:uiPriority w:val="9"/>
    <w:semiHidden/>
    <w:unhideWhenUsed/>
    <w:qFormat/>
    <w:rsid w:val="00694719"/>
    <w:pPr>
      <w:keepNext/>
      <w:keepLines/>
      <w:spacing w:before="40"/>
      <w:outlineLvl w:val="5"/>
    </w:pPr>
    <w:rPr>
      <w:rFonts w:cs="Times New Roman"/>
      <w:b/>
      <w:bCs/>
      <w:color w:val="0F4761"/>
    </w:rPr>
  </w:style>
  <w:style w:type="paragraph" w:customStyle="1" w:styleId="71">
    <w:name w:val="标题 71"/>
    <w:basedOn w:val="a"/>
    <w:next w:val="a"/>
    <w:uiPriority w:val="9"/>
    <w:semiHidden/>
    <w:unhideWhenUsed/>
    <w:qFormat/>
    <w:rsid w:val="00694719"/>
    <w:pPr>
      <w:keepNext/>
      <w:keepLines/>
      <w:spacing w:before="40"/>
      <w:outlineLvl w:val="6"/>
    </w:pPr>
    <w:rPr>
      <w:rFonts w:cs="Times New Roman"/>
      <w:b/>
      <w:bCs/>
      <w:color w:val="595959"/>
    </w:rPr>
  </w:style>
  <w:style w:type="paragraph" w:customStyle="1" w:styleId="81">
    <w:name w:val="标题 81"/>
    <w:basedOn w:val="a"/>
    <w:next w:val="a"/>
    <w:uiPriority w:val="9"/>
    <w:semiHidden/>
    <w:unhideWhenUsed/>
    <w:qFormat/>
    <w:rsid w:val="00694719"/>
    <w:pPr>
      <w:keepNext/>
      <w:keepLines/>
      <w:outlineLvl w:val="7"/>
    </w:pPr>
    <w:rPr>
      <w:rFonts w:cs="Times New Roman"/>
      <w:color w:val="595959"/>
    </w:rPr>
  </w:style>
  <w:style w:type="paragraph" w:customStyle="1" w:styleId="91">
    <w:name w:val="标题 91"/>
    <w:basedOn w:val="a"/>
    <w:next w:val="a"/>
    <w:uiPriority w:val="9"/>
    <w:semiHidden/>
    <w:unhideWhenUsed/>
    <w:qFormat/>
    <w:rsid w:val="00694719"/>
    <w:pPr>
      <w:keepNext/>
      <w:keepLines/>
      <w:outlineLvl w:val="8"/>
    </w:pPr>
    <w:rPr>
      <w:rFonts w:eastAsia="等线 Light" w:cs="Times New Roman"/>
      <w:color w:val="595959"/>
    </w:rPr>
  </w:style>
  <w:style w:type="numbering" w:customStyle="1" w:styleId="111">
    <w:name w:val="无列表11"/>
    <w:next w:val="a2"/>
    <w:uiPriority w:val="99"/>
    <w:semiHidden/>
    <w:unhideWhenUsed/>
    <w:rsid w:val="00694719"/>
  </w:style>
  <w:style w:type="paragraph" w:customStyle="1" w:styleId="18">
    <w:name w:val="页脚1"/>
    <w:basedOn w:val="a"/>
    <w:next w:val="a7"/>
    <w:uiPriority w:val="99"/>
    <w:unhideWhenUsed/>
    <w:qFormat/>
    <w:rsid w:val="00694719"/>
    <w:pPr>
      <w:tabs>
        <w:tab w:val="center" w:pos="4153"/>
        <w:tab w:val="right" w:pos="8306"/>
      </w:tabs>
      <w:snapToGrid w:val="0"/>
      <w:ind w:firstLineChars="200" w:firstLine="200"/>
    </w:pPr>
    <w:rPr>
      <w:rFonts w:ascii="等线" w:eastAsia="等线" w:hAnsi="等线"/>
      <w:color w:val="000000"/>
      <w:kern w:val="2"/>
      <w:sz w:val="18"/>
      <w:szCs w:val="18"/>
    </w:rPr>
  </w:style>
  <w:style w:type="paragraph" w:customStyle="1" w:styleId="19">
    <w:name w:val="页眉1"/>
    <w:basedOn w:val="a"/>
    <w:next w:val="a9"/>
    <w:uiPriority w:val="99"/>
    <w:unhideWhenUsed/>
    <w:qFormat/>
    <w:rsid w:val="00694719"/>
    <w:pPr>
      <w:tabs>
        <w:tab w:val="center" w:pos="4153"/>
        <w:tab w:val="right" w:pos="8306"/>
      </w:tabs>
      <w:snapToGrid w:val="0"/>
      <w:ind w:firstLineChars="200" w:firstLine="200"/>
      <w:jc w:val="center"/>
    </w:pPr>
    <w:rPr>
      <w:rFonts w:ascii="等线" w:eastAsia="等线" w:hAnsi="等线"/>
      <w:color w:val="000000"/>
      <w:kern w:val="2"/>
      <w:sz w:val="18"/>
      <w:szCs w:val="18"/>
    </w:rPr>
  </w:style>
  <w:style w:type="paragraph" w:customStyle="1" w:styleId="1a">
    <w:name w:val="副标题1"/>
    <w:basedOn w:val="a"/>
    <w:next w:val="a"/>
    <w:uiPriority w:val="11"/>
    <w:qFormat/>
    <w:rsid w:val="00694719"/>
    <w:pPr>
      <w:spacing w:after="160"/>
      <w:ind w:firstLineChars="200" w:firstLine="200"/>
      <w:jc w:val="center"/>
    </w:pPr>
    <w:rPr>
      <w:rFonts w:ascii="等线 Light" w:eastAsia="等线 Light" w:hAnsi="等线 Light" w:cs="Times New Roman"/>
      <w:color w:val="595959"/>
      <w:spacing w:val="15"/>
      <w:sz w:val="28"/>
      <w:szCs w:val="28"/>
    </w:rPr>
  </w:style>
  <w:style w:type="paragraph" w:customStyle="1" w:styleId="1b">
    <w:name w:val="脚注文本1"/>
    <w:basedOn w:val="a"/>
    <w:next w:val="ad"/>
    <w:uiPriority w:val="99"/>
    <w:unhideWhenUsed/>
    <w:qFormat/>
    <w:rsid w:val="00694719"/>
    <w:pPr>
      <w:snapToGrid w:val="0"/>
      <w:ind w:firstLineChars="200" w:firstLine="200"/>
    </w:pPr>
    <w:rPr>
      <w:rFonts w:ascii="等线" w:eastAsia="等线" w:hAnsi="等线"/>
      <w:color w:val="000000"/>
      <w:kern w:val="2"/>
      <w:sz w:val="18"/>
      <w:szCs w:val="18"/>
    </w:rPr>
  </w:style>
  <w:style w:type="paragraph" w:customStyle="1" w:styleId="1c">
    <w:name w:val="标题1"/>
    <w:basedOn w:val="a"/>
    <w:next w:val="a"/>
    <w:uiPriority w:val="10"/>
    <w:qFormat/>
    <w:rsid w:val="00694719"/>
    <w:pPr>
      <w:spacing w:after="80"/>
      <w:ind w:firstLineChars="200" w:firstLine="200"/>
      <w:contextualSpacing/>
      <w:jc w:val="center"/>
    </w:pPr>
    <w:rPr>
      <w:rFonts w:ascii="等线 Light" w:eastAsia="等线 Light" w:hAnsi="等线 Light" w:cs="Times New Roman"/>
      <w:color w:val="000000"/>
      <w:spacing w:val="-10"/>
      <w:kern w:val="28"/>
      <w:sz w:val="56"/>
      <w:szCs w:val="56"/>
    </w:rPr>
  </w:style>
  <w:style w:type="character" w:customStyle="1" w:styleId="1d">
    <w:name w:val="访问过的超链接1"/>
    <w:basedOn w:val="a0"/>
    <w:uiPriority w:val="99"/>
    <w:semiHidden/>
    <w:unhideWhenUsed/>
    <w:qFormat/>
    <w:rsid w:val="00694719"/>
    <w:rPr>
      <w:color w:val="96607D"/>
      <w:u w:val="single"/>
    </w:rPr>
  </w:style>
  <w:style w:type="character" w:customStyle="1" w:styleId="1e">
    <w:name w:val="超链接1"/>
    <w:basedOn w:val="a0"/>
    <w:uiPriority w:val="99"/>
    <w:unhideWhenUsed/>
    <w:qFormat/>
    <w:rsid w:val="00694719"/>
    <w:rPr>
      <w:color w:val="467886"/>
      <w:u w:val="single"/>
    </w:rPr>
  </w:style>
  <w:style w:type="paragraph" w:customStyle="1" w:styleId="1f">
    <w:name w:val="引用1"/>
    <w:basedOn w:val="a"/>
    <w:next w:val="a"/>
    <w:uiPriority w:val="29"/>
    <w:qFormat/>
    <w:rsid w:val="00694719"/>
    <w:pPr>
      <w:spacing w:before="160" w:after="160"/>
      <w:ind w:firstLineChars="200" w:firstLine="200"/>
      <w:jc w:val="center"/>
    </w:pPr>
    <w:rPr>
      <w:rFonts w:ascii="Times New Roman" w:hAnsi="Times New Roman"/>
      <w:i/>
      <w:iCs/>
      <w:color w:val="404040"/>
      <w:sz w:val="21"/>
    </w:rPr>
  </w:style>
  <w:style w:type="paragraph" w:customStyle="1" w:styleId="1f0">
    <w:name w:val="列出段落1"/>
    <w:basedOn w:val="a"/>
    <w:next w:val="afe"/>
    <w:uiPriority w:val="99"/>
    <w:qFormat/>
    <w:rsid w:val="00694719"/>
    <w:pPr>
      <w:ind w:left="720" w:firstLineChars="200" w:firstLine="200"/>
      <w:contextualSpacing/>
      <w:jc w:val="both"/>
    </w:pPr>
    <w:rPr>
      <w:rFonts w:ascii="Times New Roman" w:hAnsi="Times New Roman"/>
      <w:color w:val="000000"/>
      <w:sz w:val="21"/>
    </w:rPr>
  </w:style>
  <w:style w:type="paragraph" w:customStyle="1" w:styleId="1f1">
    <w:name w:val="明显引用1"/>
    <w:basedOn w:val="a"/>
    <w:next w:val="a"/>
    <w:uiPriority w:val="30"/>
    <w:qFormat/>
    <w:rsid w:val="00694719"/>
    <w:pPr>
      <w:pBdr>
        <w:top w:val="single" w:sz="4" w:space="10" w:color="0F4761"/>
        <w:bottom w:val="single" w:sz="4" w:space="10" w:color="0F4761"/>
      </w:pBdr>
      <w:spacing w:before="360" w:after="360"/>
      <w:ind w:left="864" w:right="864" w:firstLineChars="200" w:firstLine="200"/>
      <w:jc w:val="center"/>
    </w:pPr>
    <w:rPr>
      <w:rFonts w:ascii="Times New Roman" w:hAnsi="Times New Roman"/>
      <w:i/>
      <w:iCs/>
      <w:color w:val="0F4761"/>
      <w:sz w:val="21"/>
    </w:rPr>
  </w:style>
  <w:style w:type="paragraph" w:customStyle="1" w:styleId="1f2">
    <w:name w:val="无间隔1"/>
    <w:next w:val="aff2"/>
    <w:uiPriority w:val="1"/>
    <w:qFormat/>
    <w:rsid w:val="00694719"/>
    <w:rPr>
      <w:rFonts w:ascii="等线" w:eastAsia="Microsoft YaHei UI" w:hAnsi="等线"/>
      <w:sz w:val="22"/>
      <w:szCs w:val="22"/>
    </w:rPr>
  </w:style>
  <w:style w:type="character" w:customStyle="1" w:styleId="112">
    <w:name w:val="标题 1 字符1"/>
    <w:basedOn w:val="a0"/>
    <w:uiPriority w:val="9"/>
    <w:rsid w:val="00694719"/>
    <w:rPr>
      <w:b/>
      <w:bCs/>
      <w:kern w:val="44"/>
      <w:sz w:val="44"/>
      <w:szCs w:val="44"/>
    </w:rPr>
  </w:style>
  <w:style w:type="character" w:customStyle="1" w:styleId="211">
    <w:name w:val="标题 2 字符1"/>
    <w:basedOn w:val="a0"/>
    <w:uiPriority w:val="9"/>
    <w:semiHidden/>
    <w:rsid w:val="00694719"/>
    <w:rPr>
      <w:rFonts w:ascii="等线 Light" w:eastAsia="等线 Light" w:hAnsi="等线 Light" w:cs="Times New Roman"/>
      <w:b/>
      <w:bCs/>
      <w:sz w:val="32"/>
      <w:szCs w:val="32"/>
    </w:rPr>
  </w:style>
  <w:style w:type="character" w:customStyle="1" w:styleId="312">
    <w:name w:val="标题 3 字符1"/>
    <w:basedOn w:val="a0"/>
    <w:uiPriority w:val="9"/>
    <w:semiHidden/>
    <w:rsid w:val="00694719"/>
    <w:rPr>
      <w:b/>
      <w:bCs/>
      <w:sz w:val="32"/>
      <w:szCs w:val="32"/>
    </w:rPr>
  </w:style>
  <w:style w:type="character" w:customStyle="1" w:styleId="411">
    <w:name w:val="标题 4 字符1"/>
    <w:basedOn w:val="a0"/>
    <w:uiPriority w:val="9"/>
    <w:semiHidden/>
    <w:rsid w:val="00694719"/>
    <w:rPr>
      <w:rFonts w:ascii="等线 Light" w:eastAsia="等线 Light" w:hAnsi="等线 Light" w:cs="Times New Roman"/>
      <w:b/>
      <w:bCs/>
      <w:sz w:val="28"/>
      <w:szCs w:val="28"/>
    </w:rPr>
  </w:style>
  <w:style w:type="character" w:customStyle="1" w:styleId="510">
    <w:name w:val="标题 5 字符1"/>
    <w:basedOn w:val="a0"/>
    <w:uiPriority w:val="9"/>
    <w:semiHidden/>
    <w:rsid w:val="00694719"/>
    <w:rPr>
      <w:b/>
      <w:bCs/>
      <w:sz w:val="28"/>
      <w:szCs w:val="28"/>
    </w:rPr>
  </w:style>
  <w:style w:type="character" w:customStyle="1" w:styleId="610">
    <w:name w:val="标题 6 字符1"/>
    <w:basedOn w:val="a0"/>
    <w:uiPriority w:val="9"/>
    <w:semiHidden/>
    <w:rsid w:val="00694719"/>
    <w:rPr>
      <w:rFonts w:ascii="等线 Light" w:eastAsia="等线 Light" w:hAnsi="等线 Light" w:cs="Times New Roman"/>
      <w:b/>
      <w:bCs/>
      <w:sz w:val="24"/>
      <w:szCs w:val="24"/>
    </w:rPr>
  </w:style>
  <w:style w:type="character" w:customStyle="1" w:styleId="710">
    <w:name w:val="标题 7 字符1"/>
    <w:basedOn w:val="a0"/>
    <w:uiPriority w:val="9"/>
    <w:semiHidden/>
    <w:rsid w:val="00694719"/>
    <w:rPr>
      <w:b/>
      <w:bCs/>
      <w:sz w:val="24"/>
      <w:szCs w:val="24"/>
    </w:rPr>
  </w:style>
  <w:style w:type="character" w:customStyle="1" w:styleId="810">
    <w:name w:val="标题 8 字符1"/>
    <w:basedOn w:val="a0"/>
    <w:uiPriority w:val="9"/>
    <w:semiHidden/>
    <w:rsid w:val="00694719"/>
    <w:rPr>
      <w:rFonts w:ascii="等线 Light" w:eastAsia="等线 Light" w:hAnsi="等线 Light" w:cs="Times New Roman"/>
      <w:sz w:val="24"/>
      <w:szCs w:val="24"/>
    </w:rPr>
  </w:style>
  <w:style w:type="character" w:customStyle="1" w:styleId="910">
    <w:name w:val="标题 9 字符1"/>
    <w:basedOn w:val="a0"/>
    <w:uiPriority w:val="9"/>
    <w:semiHidden/>
    <w:rsid w:val="00694719"/>
    <w:rPr>
      <w:rFonts w:ascii="等线 Light" w:eastAsia="等线 Light" w:hAnsi="等线 Light" w:cs="Times New Roman"/>
      <w:szCs w:val="21"/>
    </w:rPr>
  </w:style>
  <w:style w:type="character" w:customStyle="1" w:styleId="1f3">
    <w:name w:val="页脚 字符1"/>
    <w:basedOn w:val="a0"/>
    <w:uiPriority w:val="99"/>
    <w:semiHidden/>
    <w:rsid w:val="00694719"/>
    <w:rPr>
      <w:sz w:val="18"/>
      <w:szCs w:val="18"/>
    </w:rPr>
  </w:style>
  <w:style w:type="character" w:customStyle="1" w:styleId="1f4">
    <w:name w:val="页眉 字符1"/>
    <w:basedOn w:val="a0"/>
    <w:uiPriority w:val="99"/>
    <w:semiHidden/>
    <w:rsid w:val="00694719"/>
    <w:rPr>
      <w:sz w:val="18"/>
      <w:szCs w:val="18"/>
    </w:rPr>
  </w:style>
  <w:style w:type="character" w:customStyle="1" w:styleId="1f5">
    <w:name w:val="副标题 字符1"/>
    <w:basedOn w:val="a0"/>
    <w:uiPriority w:val="11"/>
    <w:rsid w:val="00694719"/>
    <w:rPr>
      <w:b/>
      <w:bCs/>
      <w:kern w:val="28"/>
      <w:sz w:val="32"/>
      <w:szCs w:val="32"/>
    </w:rPr>
  </w:style>
  <w:style w:type="character" w:customStyle="1" w:styleId="25">
    <w:name w:val="脚注文本 字符2"/>
    <w:basedOn w:val="a0"/>
    <w:uiPriority w:val="99"/>
    <w:semiHidden/>
    <w:rsid w:val="00694719"/>
    <w:rPr>
      <w:sz w:val="18"/>
      <w:szCs w:val="18"/>
    </w:rPr>
  </w:style>
  <w:style w:type="character" w:customStyle="1" w:styleId="1f6">
    <w:name w:val="标题 字符1"/>
    <w:basedOn w:val="a0"/>
    <w:uiPriority w:val="10"/>
    <w:rsid w:val="00694719"/>
    <w:rPr>
      <w:rFonts w:ascii="等线 Light" w:eastAsia="等线 Light" w:hAnsi="等线 Light" w:cs="Times New Roman"/>
      <w:b/>
      <w:bCs/>
      <w:sz w:val="32"/>
      <w:szCs w:val="32"/>
    </w:rPr>
  </w:style>
  <w:style w:type="character" w:customStyle="1" w:styleId="1f7">
    <w:name w:val="引用 字符1"/>
    <w:basedOn w:val="a0"/>
    <w:uiPriority w:val="29"/>
    <w:rsid w:val="00694719"/>
    <w:rPr>
      <w:i/>
      <w:iCs/>
      <w:color w:val="404040"/>
    </w:rPr>
  </w:style>
  <w:style w:type="character" w:customStyle="1" w:styleId="1f8">
    <w:name w:val="明显引用 字符1"/>
    <w:basedOn w:val="a0"/>
    <w:uiPriority w:val="30"/>
    <w:rsid w:val="00694719"/>
    <w:rPr>
      <w:i/>
      <w:iCs/>
      <w:color w:val="5B9B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4469">
      <w:bodyDiv w:val="1"/>
      <w:marLeft w:val="0"/>
      <w:marRight w:val="0"/>
      <w:marTop w:val="0"/>
      <w:marBottom w:val="0"/>
      <w:divBdr>
        <w:top w:val="none" w:sz="0" w:space="0" w:color="auto"/>
        <w:left w:val="none" w:sz="0" w:space="0" w:color="auto"/>
        <w:bottom w:val="none" w:sz="0" w:space="0" w:color="auto"/>
        <w:right w:val="none" w:sz="0" w:space="0" w:color="auto"/>
      </w:divBdr>
      <w:divsChild>
        <w:div w:id="1696426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9964207">
      <w:bodyDiv w:val="1"/>
      <w:marLeft w:val="0"/>
      <w:marRight w:val="0"/>
      <w:marTop w:val="0"/>
      <w:marBottom w:val="0"/>
      <w:divBdr>
        <w:top w:val="none" w:sz="0" w:space="0" w:color="auto"/>
        <w:left w:val="none" w:sz="0" w:space="0" w:color="auto"/>
        <w:bottom w:val="none" w:sz="0" w:space="0" w:color="auto"/>
        <w:right w:val="none" w:sz="0" w:space="0" w:color="auto"/>
      </w:divBdr>
      <w:divsChild>
        <w:div w:id="382290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0157670">
      <w:bodyDiv w:val="1"/>
      <w:marLeft w:val="0"/>
      <w:marRight w:val="0"/>
      <w:marTop w:val="0"/>
      <w:marBottom w:val="0"/>
      <w:divBdr>
        <w:top w:val="none" w:sz="0" w:space="0" w:color="auto"/>
        <w:left w:val="none" w:sz="0" w:space="0" w:color="auto"/>
        <w:bottom w:val="none" w:sz="0" w:space="0" w:color="auto"/>
        <w:right w:val="none" w:sz="0" w:space="0" w:color="auto"/>
      </w:divBdr>
      <w:divsChild>
        <w:div w:id="1158770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022709">
      <w:bodyDiv w:val="1"/>
      <w:marLeft w:val="0"/>
      <w:marRight w:val="0"/>
      <w:marTop w:val="0"/>
      <w:marBottom w:val="0"/>
      <w:divBdr>
        <w:top w:val="none" w:sz="0" w:space="0" w:color="auto"/>
        <w:left w:val="none" w:sz="0" w:space="0" w:color="auto"/>
        <w:bottom w:val="none" w:sz="0" w:space="0" w:color="auto"/>
        <w:right w:val="none" w:sz="0" w:space="0" w:color="auto"/>
      </w:divBdr>
      <w:divsChild>
        <w:div w:id="1900746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6510309">
      <w:bodyDiv w:val="1"/>
      <w:marLeft w:val="0"/>
      <w:marRight w:val="0"/>
      <w:marTop w:val="0"/>
      <w:marBottom w:val="0"/>
      <w:divBdr>
        <w:top w:val="none" w:sz="0" w:space="0" w:color="auto"/>
        <w:left w:val="none" w:sz="0" w:space="0" w:color="auto"/>
        <w:bottom w:val="none" w:sz="0" w:space="0" w:color="auto"/>
        <w:right w:val="none" w:sz="0" w:space="0" w:color="auto"/>
      </w:divBdr>
      <w:divsChild>
        <w:div w:id="864250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687099">
      <w:bodyDiv w:val="1"/>
      <w:marLeft w:val="0"/>
      <w:marRight w:val="0"/>
      <w:marTop w:val="0"/>
      <w:marBottom w:val="0"/>
      <w:divBdr>
        <w:top w:val="none" w:sz="0" w:space="0" w:color="auto"/>
        <w:left w:val="none" w:sz="0" w:space="0" w:color="auto"/>
        <w:bottom w:val="none" w:sz="0" w:space="0" w:color="auto"/>
        <w:right w:val="none" w:sz="0" w:space="0" w:color="auto"/>
      </w:divBdr>
      <w:divsChild>
        <w:div w:id="1533810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092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7945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30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26194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6619040">
      <w:bodyDiv w:val="1"/>
      <w:marLeft w:val="0"/>
      <w:marRight w:val="0"/>
      <w:marTop w:val="0"/>
      <w:marBottom w:val="0"/>
      <w:divBdr>
        <w:top w:val="none" w:sz="0" w:space="0" w:color="auto"/>
        <w:left w:val="none" w:sz="0" w:space="0" w:color="auto"/>
        <w:bottom w:val="none" w:sz="0" w:space="0" w:color="auto"/>
        <w:right w:val="none" w:sz="0" w:space="0" w:color="auto"/>
      </w:divBdr>
      <w:divsChild>
        <w:div w:id="1244953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5840818">
      <w:bodyDiv w:val="1"/>
      <w:marLeft w:val="0"/>
      <w:marRight w:val="0"/>
      <w:marTop w:val="0"/>
      <w:marBottom w:val="0"/>
      <w:divBdr>
        <w:top w:val="none" w:sz="0" w:space="0" w:color="auto"/>
        <w:left w:val="none" w:sz="0" w:space="0" w:color="auto"/>
        <w:bottom w:val="none" w:sz="0" w:space="0" w:color="auto"/>
        <w:right w:val="none" w:sz="0" w:space="0" w:color="auto"/>
      </w:divBdr>
      <w:divsChild>
        <w:div w:id="39207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4940071">
      <w:bodyDiv w:val="1"/>
      <w:marLeft w:val="0"/>
      <w:marRight w:val="0"/>
      <w:marTop w:val="0"/>
      <w:marBottom w:val="0"/>
      <w:divBdr>
        <w:top w:val="none" w:sz="0" w:space="0" w:color="auto"/>
        <w:left w:val="none" w:sz="0" w:space="0" w:color="auto"/>
        <w:bottom w:val="none" w:sz="0" w:space="0" w:color="auto"/>
        <w:right w:val="none" w:sz="0" w:space="0" w:color="auto"/>
      </w:divBdr>
      <w:divsChild>
        <w:div w:id="2096977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848704">
      <w:bodyDiv w:val="1"/>
      <w:marLeft w:val="0"/>
      <w:marRight w:val="0"/>
      <w:marTop w:val="0"/>
      <w:marBottom w:val="0"/>
      <w:divBdr>
        <w:top w:val="none" w:sz="0" w:space="0" w:color="auto"/>
        <w:left w:val="none" w:sz="0" w:space="0" w:color="auto"/>
        <w:bottom w:val="none" w:sz="0" w:space="0" w:color="auto"/>
        <w:right w:val="none" w:sz="0" w:space="0" w:color="auto"/>
      </w:divBdr>
      <w:divsChild>
        <w:div w:id="923028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7706360">
      <w:bodyDiv w:val="1"/>
      <w:marLeft w:val="0"/>
      <w:marRight w:val="0"/>
      <w:marTop w:val="0"/>
      <w:marBottom w:val="0"/>
      <w:divBdr>
        <w:top w:val="none" w:sz="0" w:space="0" w:color="auto"/>
        <w:left w:val="none" w:sz="0" w:space="0" w:color="auto"/>
        <w:bottom w:val="none" w:sz="0" w:space="0" w:color="auto"/>
        <w:right w:val="none" w:sz="0" w:space="0" w:color="auto"/>
      </w:divBdr>
      <w:divsChild>
        <w:div w:id="2027363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5502788">
      <w:bodyDiv w:val="1"/>
      <w:marLeft w:val="0"/>
      <w:marRight w:val="0"/>
      <w:marTop w:val="0"/>
      <w:marBottom w:val="0"/>
      <w:divBdr>
        <w:top w:val="none" w:sz="0" w:space="0" w:color="auto"/>
        <w:left w:val="none" w:sz="0" w:space="0" w:color="auto"/>
        <w:bottom w:val="none" w:sz="0" w:space="0" w:color="auto"/>
        <w:right w:val="none" w:sz="0" w:space="0" w:color="auto"/>
      </w:divBdr>
      <w:divsChild>
        <w:div w:id="203457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098359">
      <w:bodyDiv w:val="1"/>
      <w:marLeft w:val="0"/>
      <w:marRight w:val="0"/>
      <w:marTop w:val="0"/>
      <w:marBottom w:val="0"/>
      <w:divBdr>
        <w:top w:val="none" w:sz="0" w:space="0" w:color="auto"/>
        <w:left w:val="none" w:sz="0" w:space="0" w:color="auto"/>
        <w:bottom w:val="none" w:sz="0" w:space="0" w:color="auto"/>
        <w:right w:val="none" w:sz="0" w:space="0" w:color="auto"/>
      </w:divBdr>
    </w:div>
    <w:div w:id="1094403521">
      <w:bodyDiv w:val="1"/>
      <w:marLeft w:val="0"/>
      <w:marRight w:val="0"/>
      <w:marTop w:val="0"/>
      <w:marBottom w:val="0"/>
      <w:divBdr>
        <w:top w:val="none" w:sz="0" w:space="0" w:color="auto"/>
        <w:left w:val="none" w:sz="0" w:space="0" w:color="auto"/>
        <w:bottom w:val="none" w:sz="0" w:space="0" w:color="auto"/>
        <w:right w:val="none" w:sz="0" w:space="0" w:color="auto"/>
      </w:divBdr>
    </w:div>
    <w:div w:id="1190485867">
      <w:bodyDiv w:val="1"/>
      <w:marLeft w:val="0"/>
      <w:marRight w:val="0"/>
      <w:marTop w:val="0"/>
      <w:marBottom w:val="0"/>
      <w:divBdr>
        <w:top w:val="none" w:sz="0" w:space="0" w:color="auto"/>
        <w:left w:val="none" w:sz="0" w:space="0" w:color="auto"/>
        <w:bottom w:val="none" w:sz="0" w:space="0" w:color="auto"/>
        <w:right w:val="none" w:sz="0" w:space="0" w:color="auto"/>
      </w:divBdr>
      <w:divsChild>
        <w:div w:id="494422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618223">
      <w:bodyDiv w:val="1"/>
      <w:marLeft w:val="0"/>
      <w:marRight w:val="0"/>
      <w:marTop w:val="0"/>
      <w:marBottom w:val="0"/>
      <w:divBdr>
        <w:top w:val="none" w:sz="0" w:space="0" w:color="auto"/>
        <w:left w:val="none" w:sz="0" w:space="0" w:color="auto"/>
        <w:bottom w:val="none" w:sz="0" w:space="0" w:color="auto"/>
        <w:right w:val="none" w:sz="0" w:space="0" w:color="auto"/>
      </w:divBdr>
    </w:div>
    <w:div w:id="1216771611">
      <w:bodyDiv w:val="1"/>
      <w:marLeft w:val="0"/>
      <w:marRight w:val="0"/>
      <w:marTop w:val="0"/>
      <w:marBottom w:val="0"/>
      <w:divBdr>
        <w:top w:val="none" w:sz="0" w:space="0" w:color="auto"/>
        <w:left w:val="none" w:sz="0" w:space="0" w:color="auto"/>
        <w:bottom w:val="none" w:sz="0" w:space="0" w:color="auto"/>
        <w:right w:val="none" w:sz="0" w:space="0" w:color="auto"/>
      </w:divBdr>
      <w:divsChild>
        <w:div w:id="355541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5820487">
      <w:bodyDiv w:val="1"/>
      <w:marLeft w:val="0"/>
      <w:marRight w:val="0"/>
      <w:marTop w:val="0"/>
      <w:marBottom w:val="0"/>
      <w:divBdr>
        <w:top w:val="none" w:sz="0" w:space="0" w:color="auto"/>
        <w:left w:val="none" w:sz="0" w:space="0" w:color="auto"/>
        <w:bottom w:val="none" w:sz="0" w:space="0" w:color="auto"/>
        <w:right w:val="none" w:sz="0" w:space="0" w:color="auto"/>
      </w:divBdr>
    </w:div>
    <w:div w:id="1534154038">
      <w:bodyDiv w:val="1"/>
      <w:marLeft w:val="0"/>
      <w:marRight w:val="0"/>
      <w:marTop w:val="0"/>
      <w:marBottom w:val="0"/>
      <w:divBdr>
        <w:top w:val="none" w:sz="0" w:space="0" w:color="auto"/>
        <w:left w:val="none" w:sz="0" w:space="0" w:color="auto"/>
        <w:bottom w:val="none" w:sz="0" w:space="0" w:color="auto"/>
        <w:right w:val="none" w:sz="0" w:space="0" w:color="auto"/>
      </w:divBdr>
    </w:div>
    <w:div w:id="1856505156">
      <w:bodyDiv w:val="1"/>
      <w:marLeft w:val="0"/>
      <w:marRight w:val="0"/>
      <w:marTop w:val="0"/>
      <w:marBottom w:val="0"/>
      <w:divBdr>
        <w:top w:val="none" w:sz="0" w:space="0" w:color="auto"/>
        <w:left w:val="none" w:sz="0" w:space="0" w:color="auto"/>
        <w:bottom w:val="none" w:sz="0" w:space="0" w:color="auto"/>
        <w:right w:val="none" w:sz="0" w:space="0" w:color="auto"/>
      </w:divBdr>
      <w:divsChild>
        <w:div w:id="677274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5142927">
      <w:bodyDiv w:val="1"/>
      <w:marLeft w:val="0"/>
      <w:marRight w:val="0"/>
      <w:marTop w:val="0"/>
      <w:marBottom w:val="0"/>
      <w:divBdr>
        <w:top w:val="none" w:sz="0" w:space="0" w:color="auto"/>
        <w:left w:val="none" w:sz="0" w:space="0" w:color="auto"/>
        <w:bottom w:val="none" w:sz="0" w:space="0" w:color="auto"/>
        <w:right w:val="none" w:sz="0" w:space="0" w:color="auto"/>
      </w:divBdr>
      <w:divsChild>
        <w:div w:id="1259100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46/annurev-economics-080217-053433" TargetMode="External"/><Relationship Id="rId13" Type="http://schemas.openxmlformats.org/officeDocument/2006/relationships/hyperlink" Target="https://doi.org/10.1038/nmeth.4642" TargetMode="External"/><Relationship Id="rId18" Type="http://schemas.openxmlformats.org/officeDocument/2006/relationships/hyperlink" Target="https://doi.org/10.1002/mde.4292"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016/j.eneco.2024.107745" TargetMode="External"/><Relationship Id="rId7" Type="http://schemas.openxmlformats.org/officeDocument/2006/relationships/endnotes" Target="endnotes.xml"/><Relationship Id="rId12" Type="http://schemas.openxmlformats.org/officeDocument/2006/relationships/hyperlink" Target="https://doi.org/10.1214/ss/1009213726" TargetMode="External"/><Relationship Id="rId17" Type="http://schemas.openxmlformats.org/officeDocument/2006/relationships/hyperlink" Target="https://doi.org/10.1016/j.neucom.2020.03.100" TargetMode="External"/><Relationship Id="rId25" Type="http://schemas.openxmlformats.org/officeDocument/2006/relationships/hyperlink" Target="https://doi.org/10.1257/jep.28.2.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80/24725854.2023.2176951" TargetMode="External"/><Relationship Id="rId20" Type="http://schemas.openxmlformats.org/officeDocument/2006/relationships/hyperlink" Target="https://doi.org/10.1038/s42256-019-0138-9?utm_source=chatgpt.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462-020-09896-5" TargetMode="External"/><Relationship Id="rId24" Type="http://schemas.openxmlformats.org/officeDocument/2006/relationships/hyperlink" Target="https://doi.org/10.1016/j.seps.2021.101145?utm_source=chatgpt.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jik.2025.100933?utm_source=chatgpt.com" TargetMode="External"/><Relationship Id="rId23" Type="http://schemas.openxmlformats.org/officeDocument/2006/relationships/hyperlink" Target="https://doi.org/10.1073/pnas.1900654116" TargetMode="External"/><Relationship Id="rId28" Type="http://schemas.openxmlformats.org/officeDocument/2006/relationships/footer" Target="footer1.xml"/><Relationship Id="rId10" Type="http://schemas.openxmlformats.org/officeDocument/2006/relationships/hyperlink" Target="https://doi.org/10.1287/mnsc.2020.3682" TargetMode="External"/><Relationship Id="rId19" Type="http://schemas.openxmlformats.org/officeDocument/2006/relationships/hyperlink" Target="https://doi.org/10.1016/j.techfore.2023.123107"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16/j.inffus.2019.12.012?utm_source=chatgpt.com" TargetMode="External"/><Relationship Id="rId14" Type="http://schemas.openxmlformats.org/officeDocument/2006/relationships/hyperlink" Target="https://doi.org/10.1016/j.jsis.2026.101971" TargetMode="External"/><Relationship Id="rId22" Type="http://schemas.openxmlformats.org/officeDocument/2006/relationships/hyperlink" Target="https://doi.org/10.1257/jep.31.2.87"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F732C41C-4E0A-49D9-9FD5-D41BF070E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7652</Words>
  <Characters>43622</Characters>
  <Application>Microsoft Office Word</Application>
  <DocSecurity>0</DocSecurity>
  <Lines>363</Lines>
  <Paragraphs>102</Paragraphs>
  <ScaleCrop>false</ScaleCrop>
  <Company/>
  <LinksUpToDate>false</LinksUpToDate>
  <CharactersWithSpaces>51172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Administrator</cp:lastModifiedBy>
  <cp:revision>6</cp:revision>
  <cp:lastPrinted>2026-04-29T18:49:00Z</cp:lastPrinted>
  <dcterms:created xsi:type="dcterms:W3CDTF">2026-10-02T13:24:00Z</dcterms:created>
  <dcterms:modified xsi:type="dcterms:W3CDTF">2026-10-02T13:57:00Z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6668384864034B099E4240A9EE0419A5_13</vt:lpwstr>
  </property>
  <property fmtid="{D5CDD505-2E9C-101B-9397-08002B2CF9AE}" pid="4" name="KSOTemplateDocerSaveRecord">
    <vt:lpwstr>eyJoZGlkIjoiMzhjZDQ2MGY2MjA0YjFkODA0ZDU1ZTA4YTYwMGMyOWYiLCJ1c2VySWQiOiIxODA0MzU3MjU4In0=</vt:lpwstr>
  </property>
</Properties>
</file>