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Times New Roman" w:hAnsi="Times New Roman" w:cs="Times New Roman"/>
          <w:b/>
          <w:bCs/>
          <w:sz w:val="18"/>
        </w:rPr>
      </w:pPr>
      <w:r>
        <w:rPr>
          <w:rFonts w:ascii="Times New Roman" w:hAnsi="Times New Roman" w:eastAsia="等线" w:cs="Times New Roman"/>
          <w:b/>
          <w:bCs/>
          <w:kern w:val="2"/>
          <w:sz w:val="18"/>
          <w:szCs w:val="24"/>
          <w:lang w:val="en-US" w:eastAsia="zh-CN" w:bidi="ar-SA"/>
        </w:rPr>
        <w:pict>
          <v:shape id="图片 1" o:spid="_x0000_s1026" type="#_x0000_t75" style="position:absolute;left:0;margin-left:0pt;margin-top:0pt;height:274.75pt;width:415pt;mso-wrap-distance-bottom:0pt;mso-wrap-distance-top:0pt;rotation:0f;z-index:251658240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topAndBottom"/>
          </v:shape>
        </w:pict>
      </w:r>
      <w:r>
        <w:rPr>
          <w:rFonts w:ascii="Times New Roman" w:hAnsi="Times New Roman" w:cs="Times New Roman"/>
          <w:b/>
          <w:bCs/>
          <w:sz w:val="18"/>
        </w:rPr>
        <w:t xml:space="preserve">Supplementary Figure 1. </w:t>
      </w:r>
      <w:r>
        <w:rPr>
          <w:rFonts w:ascii="Times New Roman" w:hAnsi="Times New Roman" w:eastAsia="等线" w:cs="Times New Roman"/>
          <w:b/>
          <w:bCs/>
          <w:sz w:val="18"/>
        </w:rPr>
        <w:t>Identification of</w:t>
      </w:r>
      <w:r>
        <w:rPr>
          <w:rFonts w:ascii="Times New Roman" w:hAnsi="Times New Roman" w:cs="Times New Roman"/>
          <w:b/>
          <w:bCs/>
          <w:sz w:val="18"/>
        </w:rPr>
        <w:t xml:space="preserve"> primary macrophages and </w:t>
      </w:r>
      <w:r>
        <w:rPr>
          <w:rFonts w:ascii="Times New Roman" w:hAnsi="Times New Roman" w:eastAsia="等线" w:cs="Times New Roman"/>
          <w:b/>
          <w:bCs/>
          <w:sz w:val="18"/>
        </w:rPr>
        <w:t>their</w:t>
      </w:r>
      <w:r>
        <w:rPr>
          <w:rFonts w:ascii="Times New Roman" w:hAnsi="Times New Roman" w:cs="Times New Roman"/>
          <w:b/>
          <w:bCs/>
          <w:sz w:val="18"/>
        </w:rPr>
        <w:t xml:space="preserve"> activation.</w:t>
      </w:r>
    </w:p>
    <w:p>
      <w:pPr>
        <w:spacing w:line="400" w:lineRule="exact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(A)</w:t>
      </w:r>
      <w:r>
        <w:rPr>
          <w:rFonts w:ascii="Times New Roman" w:hAnsi="Times New Roman" w:eastAsia="等线" w:cs="Times New Roman"/>
          <w:sz w:val="18"/>
        </w:rPr>
        <w:t xml:space="preserve"> </w:t>
      </w:r>
      <w:r>
        <w:rPr>
          <w:rFonts w:ascii="Times New Roman" w:hAnsi="Times New Roman" w:cs="Times New Roman"/>
          <w:sz w:val="18"/>
        </w:rPr>
        <w:t xml:space="preserve">Murine </w:t>
      </w:r>
      <w:r>
        <w:rPr>
          <w:rFonts w:ascii="Times New Roman" w:hAnsi="Times New Roman" w:eastAsia="等线" w:cs="Times New Roman"/>
          <w:sz w:val="18"/>
        </w:rPr>
        <w:t>BMDMs</w:t>
      </w:r>
      <w:r>
        <w:rPr>
          <w:rFonts w:ascii="Times New Roman" w:hAnsi="Times New Roman" w:cs="Times New Roman"/>
          <w:sz w:val="18"/>
        </w:rPr>
        <w:t xml:space="preserve"> were obtained and stimulated with LPS (100 ng/ml), </w:t>
      </w:r>
      <w:r>
        <w:rPr>
          <w:rFonts w:ascii="Times New Roman" w:hAnsi="Times New Roman" w:eastAsia="等线" w:cs="Times New Roman"/>
          <w:sz w:val="18"/>
        </w:rPr>
        <w:t xml:space="preserve">and </w:t>
      </w:r>
      <w:r>
        <w:rPr>
          <w:rFonts w:ascii="Times New Roman" w:hAnsi="Times New Roman" w:cs="Times New Roman"/>
          <w:sz w:val="18"/>
        </w:rPr>
        <w:t xml:space="preserve">FACS analysis was conducted </w:t>
      </w:r>
      <w:r>
        <w:rPr>
          <w:rFonts w:ascii="Times New Roman" w:hAnsi="Times New Roman" w:eastAsia="等线" w:cs="Times New Roman"/>
          <w:sz w:val="18"/>
        </w:rPr>
        <w:t xml:space="preserve">to detect </w:t>
      </w:r>
      <w:r>
        <w:rPr>
          <w:rFonts w:ascii="Times New Roman" w:hAnsi="Times New Roman" w:cs="Times New Roman"/>
          <w:sz w:val="18"/>
        </w:rPr>
        <w:t>F4/80+ and CD11b+ cells</w:t>
      </w:r>
      <w:r>
        <w:rPr>
          <w:rFonts w:ascii="Times New Roman" w:hAnsi="Times New Roman" w:eastAsia="等线" w:cs="Times New Roman"/>
          <w:sz w:val="18"/>
        </w:rPr>
        <w:t>, which constituted</w:t>
      </w:r>
      <w:r>
        <w:rPr>
          <w:rFonts w:ascii="Times New Roman" w:hAnsi="Times New Roman" w:cs="Times New Roman"/>
          <w:sz w:val="18"/>
        </w:rPr>
        <w:t xml:space="preserve"> 99.6% of the cells.</w:t>
      </w:r>
      <w:r>
        <w:rPr>
          <w:rFonts w:ascii="Times New Roman" w:hAnsi="Times New Roman" w:eastAsia="等线" w:cs="Times New Roman"/>
          <w:sz w:val="18"/>
        </w:rPr>
        <w:t xml:space="preserve"> </w:t>
      </w:r>
      <w:r>
        <w:rPr>
          <w:rFonts w:ascii="Times New Roman" w:hAnsi="Times New Roman" w:cs="Times New Roman"/>
          <w:sz w:val="18"/>
        </w:rPr>
        <w:t xml:space="preserve">CD86 </w:t>
      </w:r>
      <w:r>
        <w:rPr>
          <w:rFonts w:ascii="Times New Roman" w:hAnsi="Times New Roman" w:eastAsia="等线" w:cs="Times New Roman"/>
          <w:sz w:val="18"/>
        </w:rPr>
        <w:t xml:space="preserve">was </w:t>
      </w:r>
      <w:r>
        <w:rPr>
          <w:rFonts w:ascii="Times New Roman" w:hAnsi="Times New Roman" w:cs="Times New Roman"/>
          <w:sz w:val="18"/>
        </w:rPr>
        <w:t xml:space="preserve">detected in the LPS group (n = 3 per group). </w:t>
      </w:r>
      <w:r>
        <w:rPr>
          <w:rFonts w:ascii="Times New Roman" w:hAnsi="Times New Roman" w:cs="Times New Roman"/>
          <w:sz w:val="18"/>
          <w:vertAlign w:val="superscript"/>
        </w:rPr>
        <w:t>##</w:t>
      </w:r>
      <w:r>
        <w:rPr>
          <w:rFonts w:ascii="Times New Roman" w:hAnsi="Times New Roman" w:cs="Times New Roman"/>
          <w:sz w:val="18"/>
        </w:rPr>
        <w:t>P &lt; 0.01 vs. the control group. (B)</w:t>
      </w:r>
      <w:r>
        <w:rPr>
          <w:rFonts w:ascii="Times New Roman" w:hAnsi="Times New Roman" w:eastAsia="等线" w:cs="Times New Roman"/>
          <w:sz w:val="18"/>
        </w:rPr>
        <w:t xml:space="preserve"> Macrophages</w:t>
      </w:r>
      <w:r>
        <w:rPr>
          <w:rFonts w:ascii="Times New Roman" w:hAnsi="Times New Roman" w:cs="Times New Roman"/>
          <w:sz w:val="18"/>
        </w:rPr>
        <w:t xml:space="preserve"> with or without LPS </w:t>
      </w:r>
      <w:r>
        <w:rPr>
          <w:rFonts w:ascii="Times New Roman" w:hAnsi="Times New Roman" w:eastAsia="等线" w:cs="Times New Roman"/>
          <w:sz w:val="18"/>
        </w:rPr>
        <w:t>induction were</w:t>
      </w:r>
      <w:r>
        <w:rPr>
          <w:rFonts w:ascii="Times New Roman" w:hAnsi="Times New Roman" w:cs="Times New Roman"/>
          <w:sz w:val="18"/>
        </w:rPr>
        <w:t xml:space="preserve"> collected</w:t>
      </w:r>
      <w:r>
        <w:rPr>
          <w:rFonts w:ascii="Times New Roman" w:hAnsi="Times New Roman" w:eastAsia="等线" w:cs="Times New Roman"/>
          <w:sz w:val="18"/>
        </w:rPr>
        <w:t>,</w:t>
      </w:r>
      <w:r>
        <w:rPr>
          <w:rFonts w:ascii="Times New Roman" w:hAnsi="Times New Roman" w:cs="Times New Roman"/>
          <w:sz w:val="18"/>
        </w:rPr>
        <w:t xml:space="preserve"> and the </w:t>
      </w:r>
      <w:r>
        <w:rPr>
          <w:rFonts w:ascii="Times New Roman" w:hAnsi="Times New Roman" w:eastAsia="等线" w:cs="Times New Roman"/>
          <w:sz w:val="18"/>
        </w:rPr>
        <w:t>levels</w:t>
      </w:r>
      <w:r>
        <w:rPr>
          <w:rFonts w:ascii="Times New Roman" w:hAnsi="Times New Roman" w:cs="Times New Roman"/>
          <w:sz w:val="18"/>
        </w:rPr>
        <w:t xml:space="preserve"> of IL-18, TNF-α and IL-6 were analyzed by RT-PCR (n=3). </w:t>
      </w:r>
      <w:r>
        <w:rPr>
          <w:rFonts w:ascii="Times New Roman" w:hAnsi="Times New Roman" w:cs="Times New Roman"/>
          <w:sz w:val="18"/>
          <w:vertAlign w:val="superscript"/>
        </w:rPr>
        <w:t>**</w:t>
      </w:r>
      <w:r>
        <w:rPr>
          <w:rFonts w:ascii="Times New Roman" w:hAnsi="Times New Roman" w:cs="Times New Roman"/>
          <w:sz w:val="18"/>
        </w:rPr>
        <w:t xml:space="preserve"> P &lt; 0.01 vs. the control group.</w:t>
      </w:r>
    </w:p>
    <w:p>
      <w:pPr>
        <w:spacing w:line="400" w:lineRule="exact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br w:type="page"/>
      </w:r>
    </w:p>
    <w:p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eastAsia="等线" w:cs="Times New Roman"/>
          <w:kern w:val="2"/>
          <w:sz w:val="18"/>
          <w:szCs w:val="24"/>
          <w:lang w:val="en-US" w:eastAsia="zh-CN" w:bidi="ar-SA"/>
        </w:rPr>
        <w:pict>
          <v:shape id="图片 2" o:spid="_x0000_s1027" type="#_x0000_t75" style="height:257.25pt;width:360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400" w:lineRule="exact"/>
        <w:rPr>
          <w:rFonts w:ascii="Times New Roman" w:hAnsi="Times New Roman" w:cs="Times New Roman"/>
          <w:b/>
          <w:bCs/>
          <w:sz w:val="18"/>
        </w:rPr>
      </w:pPr>
      <w:r>
        <w:rPr>
          <w:rFonts w:ascii="Times New Roman" w:hAnsi="Times New Roman" w:cs="Times New Roman"/>
          <w:b/>
          <w:bCs/>
          <w:sz w:val="18"/>
        </w:rPr>
        <w:t>Supplementary Figure 2. Model for how to establish the co-culture system.</w:t>
      </w:r>
    </w:p>
    <w:p>
      <w:pPr>
        <w:spacing w:line="400" w:lineRule="exact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Stable macrophage strains (miR-223 agomir NC, miR-223 agomir, miR-223 antagomir NC, and miR-223 antagomir) were plated on up-side of transwell insert membrane for a minimum incubation of 12 h with LPS (100 ng/m) stimulation. After cell attachment rate is about 60%, cocultured with mouse and human organoids in the presence of LPS (100 ng/m, refresh every 24h).</w:t>
      </w:r>
    </w:p>
    <w:p>
      <w:pPr>
        <w:spacing w:line="400" w:lineRule="exact"/>
        <w:rPr>
          <w:rFonts w:ascii="Times New Roman" w:hAnsi="Times New Roman" w:cs="Times New Roman"/>
          <w:sz w:val="18"/>
        </w:rPr>
      </w:pPr>
    </w:p>
    <w:p>
      <w:pPr>
        <w:spacing w:line="400" w:lineRule="exact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br w:type="page"/>
      </w:r>
    </w:p>
    <w:p>
      <w:pPr>
        <w:spacing w:line="400" w:lineRule="exact"/>
        <w:rPr>
          <w:rFonts w:ascii="Times New Roman" w:hAnsi="Times New Roman" w:cs="Times New Roman"/>
          <w:b/>
          <w:bCs/>
          <w:sz w:val="18"/>
        </w:rPr>
      </w:pPr>
      <w:bookmarkStart w:id="0" w:name="_GoBack"/>
      <w:r>
        <w:rPr>
          <w:rFonts w:hint="eastAsia" w:ascii="Times New Roman" w:hAnsi="Times New Roman" w:eastAsia="等线" w:cs="Times New Roman"/>
          <w:kern w:val="2"/>
          <w:sz w:val="18"/>
          <w:szCs w:val="24"/>
          <w:lang w:val="en-US" w:eastAsia="zh-CN" w:bidi="ar-SA"/>
        </w:rPr>
        <w:pict>
          <v:shape id="图片 3" o:spid="_x0000_s1028" type="#_x0000_t75" style="position:absolute;left:0;margin-left:0.35pt;margin-top:-0.6pt;height:350.05pt;width:415pt;mso-wrap-distance-bottom:0pt;mso-wrap-distance-top:0pt;rotation:0f;z-index:251659264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topAndBottom"/>
          </v:shape>
        </w:pict>
      </w:r>
      <w:bookmarkEnd w:id="0"/>
      <w:r>
        <w:rPr>
          <w:rFonts w:ascii="Times New Roman" w:hAnsi="Times New Roman" w:cs="Times New Roman"/>
          <w:b/>
          <w:bCs/>
          <w:sz w:val="18"/>
        </w:rPr>
        <w:t>Supplementary Figure 3. A proposed working model for the role of macrophage-derived microRNA-223 in IBD.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53912"/>
    <w:rsid w:val="00007029"/>
    <w:rsid w:val="000328AB"/>
    <w:rsid w:val="00036E72"/>
    <w:rsid w:val="00053912"/>
    <w:rsid w:val="00061E49"/>
    <w:rsid w:val="000630E8"/>
    <w:rsid w:val="00075C76"/>
    <w:rsid w:val="000842B7"/>
    <w:rsid w:val="00094C3D"/>
    <w:rsid w:val="000A2958"/>
    <w:rsid w:val="000B2990"/>
    <w:rsid w:val="000C1E64"/>
    <w:rsid w:val="000E18DD"/>
    <w:rsid w:val="000E5EC2"/>
    <w:rsid w:val="000F5CC9"/>
    <w:rsid w:val="00105902"/>
    <w:rsid w:val="001269A7"/>
    <w:rsid w:val="00131288"/>
    <w:rsid w:val="001559B5"/>
    <w:rsid w:val="00170E5A"/>
    <w:rsid w:val="001A1A89"/>
    <w:rsid w:val="001B0595"/>
    <w:rsid w:val="00240DE8"/>
    <w:rsid w:val="002423BC"/>
    <w:rsid w:val="002778D1"/>
    <w:rsid w:val="002E3522"/>
    <w:rsid w:val="003042A2"/>
    <w:rsid w:val="00330B7E"/>
    <w:rsid w:val="00342F9A"/>
    <w:rsid w:val="003509A2"/>
    <w:rsid w:val="003A6855"/>
    <w:rsid w:val="003B5145"/>
    <w:rsid w:val="003C60E4"/>
    <w:rsid w:val="003D34C7"/>
    <w:rsid w:val="004318AD"/>
    <w:rsid w:val="00435D3F"/>
    <w:rsid w:val="0047560F"/>
    <w:rsid w:val="00481F27"/>
    <w:rsid w:val="00484DCC"/>
    <w:rsid w:val="00490A18"/>
    <w:rsid w:val="00490D39"/>
    <w:rsid w:val="00494E65"/>
    <w:rsid w:val="004965E3"/>
    <w:rsid w:val="004B37AD"/>
    <w:rsid w:val="004D246D"/>
    <w:rsid w:val="00552CCC"/>
    <w:rsid w:val="00583CBA"/>
    <w:rsid w:val="005A3F77"/>
    <w:rsid w:val="005B2E7C"/>
    <w:rsid w:val="005C0C94"/>
    <w:rsid w:val="005D44AB"/>
    <w:rsid w:val="005F3698"/>
    <w:rsid w:val="00610F1B"/>
    <w:rsid w:val="00617994"/>
    <w:rsid w:val="00671FD9"/>
    <w:rsid w:val="00684331"/>
    <w:rsid w:val="006D4E6A"/>
    <w:rsid w:val="006E0705"/>
    <w:rsid w:val="006F6E51"/>
    <w:rsid w:val="006F7C55"/>
    <w:rsid w:val="006F7E9B"/>
    <w:rsid w:val="00710514"/>
    <w:rsid w:val="00727115"/>
    <w:rsid w:val="00734499"/>
    <w:rsid w:val="00781BE9"/>
    <w:rsid w:val="00785D5B"/>
    <w:rsid w:val="00793CC5"/>
    <w:rsid w:val="007C3A95"/>
    <w:rsid w:val="007E270A"/>
    <w:rsid w:val="00801B0E"/>
    <w:rsid w:val="0085634C"/>
    <w:rsid w:val="008656F2"/>
    <w:rsid w:val="0089082E"/>
    <w:rsid w:val="008B12FA"/>
    <w:rsid w:val="008C1926"/>
    <w:rsid w:val="008C1C37"/>
    <w:rsid w:val="008C4211"/>
    <w:rsid w:val="008C5F2D"/>
    <w:rsid w:val="008D251F"/>
    <w:rsid w:val="00912AC5"/>
    <w:rsid w:val="00942C7A"/>
    <w:rsid w:val="00956CF5"/>
    <w:rsid w:val="009657BA"/>
    <w:rsid w:val="00970A68"/>
    <w:rsid w:val="00971D95"/>
    <w:rsid w:val="009E6E8C"/>
    <w:rsid w:val="009F1705"/>
    <w:rsid w:val="009F2847"/>
    <w:rsid w:val="009F2FCB"/>
    <w:rsid w:val="009F4358"/>
    <w:rsid w:val="009F5D57"/>
    <w:rsid w:val="00A65CBF"/>
    <w:rsid w:val="00A9099E"/>
    <w:rsid w:val="00AA419E"/>
    <w:rsid w:val="00AA5132"/>
    <w:rsid w:val="00AB0499"/>
    <w:rsid w:val="00B0602B"/>
    <w:rsid w:val="00B22692"/>
    <w:rsid w:val="00B367AA"/>
    <w:rsid w:val="00B57457"/>
    <w:rsid w:val="00BA40E7"/>
    <w:rsid w:val="00BC4CAB"/>
    <w:rsid w:val="00BC60BE"/>
    <w:rsid w:val="00BF5235"/>
    <w:rsid w:val="00C32AC1"/>
    <w:rsid w:val="00C9128F"/>
    <w:rsid w:val="00CD0051"/>
    <w:rsid w:val="00CD5F6F"/>
    <w:rsid w:val="00CE3242"/>
    <w:rsid w:val="00D205DB"/>
    <w:rsid w:val="00D30DF9"/>
    <w:rsid w:val="00D41412"/>
    <w:rsid w:val="00D53889"/>
    <w:rsid w:val="00D6500A"/>
    <w:rsid w:val="00D9325F"/>
    <w:rsid w:val="00DA6D77"/>
    <w:rsid w:val="00DF1D9A"/>
    <w:rsid w:val="00E119BC"/>
    <w:rsid w:val="00E326B1"/>
    <w:rsid w:val="00E74DB6"/>
    <w:rsid w:val="00E9647D"/>
    <w:rsid w:val="00EA6BF6"/>
    <w:rsid w:val="00EA7411"/>
    <w:rsid w:val="00EC69F0"/>
    <w:rsid w:val="00EF1EAE"/>
    <w:rsid w:val="00F303CB"/>
    <w:rsid w:val="00F675E5"/>
    <w:rsid w:val="00F723A5"/>
    <w:rsid w:val="00F74068"/>
    <w:rsid w:val="00FB5083"/>
    <w:rsid w:val="02307A95"/>
    <w:rsid w:val="78734D0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Style w:val="10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annotation subject"/>
    <w:basedOn w:val="3"/>
    <w:next w:val="3"/>
    <w:link w:val="17"/>
    <w:unhideWhenUsed/>
    <w:qFormat/>
    <w:uiPriority w:val="99"/>
    <w:rPr>
      <w:b/>
      <w:bCs/>
    </w:rPr>
  </w:style>
  <w:style w:type="paragraph" w:styleId="3">
    <w:name w:val="annotation text"/>
    <w:basedOn w:val="1"/>
    <w:link w:val="16"/>
    <w:unhideWhenUsed/>
    <w:qFormat/>
    <w:uiPriority w:val="0"/>
    <w:rPr>
      <w:rFonts w:ascii="Tahoma" w:hAnsi="Tahoma" w:cs="Tahoma"/>
      <w:sz w:val="16"/>
      <w:szCs w:val="20"/>
    </w:rPr>
  </w:style>
  <w:style w:type="paragraph" w:styleId="4">
    <w:name w:val="Balloon Text"/>
    <w:basedOn w:val="1"/>
    <w:link w:val="18"/>
    <w:unhideWhenUsed/>
    <w:qFormat/>
    <w:uiPriority w:val="99"/>
    <w:rPr>
      <w:rFonts w:ascii="Segoe UI" w:hAnsi="Segoe UI" w:cs="Segoe UI"/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Times New Roman" w:cs="Times New Roman"/>
      <w:kern w:val="0"/>
      <w:sz w:val="24"/>
      <w:lang w:eastAsia="en-US"/>
    </w:rPr>
  </w:style>
  <w:style w:type="character" w:styleId="9">
    <w:name w:val="annotation reference"/>
    <w:basedOn w:val="8"/>
    <w:qFormat/>
    <w:uiPriority w:val="99"/>
    <w:rPr>
      <w:rFonts w:ascii="Tahoma" w:hAnsi="Tahoma" w:cs="Tahoma"/>
      <w:sz w:val="16"/>
      <w:szCs w:val="16"/>
      <w:u w:val="none"/>
    </w:rPr>
  </w:style>
  <w:style w:type="paragraph" w:customStyle="1" w:styleId="11">
    <w:name w:val="EndNote Bibliography"/>
    <w:basedOn w:val="1"/>
    <w:link w:val="13"/>
    <w:qFormat/>
    <w:uiPriority w:val="99"/>
    <w:rPr>
      <w:rFonts w:ascii="等线" w:hAnsi="等线" w:eastAsia="等线"/>
      <w:sz w:val="20"/>
    </w:rPr>
  </w:style>
  <w:style w:type="paragraph" w:customStyle="1" w:styleId="12">
    <w:name w:val="修订1"/>
    <w:hidden/>
    <w:semiHidden/>
    <w:qFormat/>
    <w:uiPriority w:val="99"/>
    <w:rPr>
      <w:rFonts w:ascii="等线" w:hAnsi="等线" w:eastAsia="等线"/>
      <w:kern w:val="2"/>
      <w:sz w:val="21"/>
      <w:szCs w:val="24"/>
      <w:lang w:val="en-US" w:eastAsia="zh-CN" w:bidi="ar-SA"/>
    </w:rPr>
  </w:style>
  <w:style w:type="character" w:customStyle="1" w:styleId="13">
    <w:name w:val="EndNote Bibliography 字符"/>
    <w:basedOn w:val="8"/>
    <w:link w:val="11"/>
    <w:uiPriority w:val="99"/>
    <w:rPr>
      <w:rFonts w:ascii="等线" w:hAnsi="等线" w:eastAsia="等线"/>
      <w:sz w:val="20"/>
      <w:szCs w:val="24"/>
    </w:rPr>
  </w:style>
  <w:style w:type="character" w:customStyle="1" w:styleId="14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6">
    <w:name w:val="批注文字 字符"/>
    <w:basedOn w:val="8"/>
    <w:link w:val="3"/>
    <w:qFormat/>
    <w:uiPriority w:val="0"/>
    <w:rPr>
      <w:rFonts w:ascii="Tahoma" w:hAnsi="Tahoma" w:cs="Tahoma"/>
      <w:sz w:val="16"/>
      <w:szCs w:val="20"/>
    </w:rPr>
  </w:style>
  <w:style w:type="character" w:customStyle="1" w:styleId="17">
    <w:name w:val="批注主题 字符"/>
    <w:basedOn w:val="16"/>
    <w:link w:val="2"/>
    <w:semiHidden/>
    <w:qFormat/>
    <w:uiPriority w:val="99"/>
    <w:rPr>
      <w:rFonts w:ascii="Tahoma" w:hAnsi="Tahoma" w:cs="Tahoma"/>
      <w:b/>
      <w:bCs/>
      <w:sz w:val="16"/>
      <w:szCs w:val="20"/>
    </w:rPr>
  </w:style>
  <w:style w:type="character" w:customStyle="1" w:styleId="18">
    <w:name w:val="批注框文本 字符"/>
    <w:basedOn w:val="8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158</Words>
  <Characters>905</Characters>
  <Lines>7</Lines>
  <Paragraphs>2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2021-08-11T00:56:00Z</dcterms:created>
  <dc:creator>WSL</dc:creator>
  <cp:lastModifiedBy>Administrator</cp:lastModifiedBy>
  <dcterms:modified xsi:type="dcterms:W3CDTF">2021-10-14T08:33:30Z</dcterms:modified>
  <dc:title>Supplementary Figure 1. Identification of primary macrophages and their activation.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