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8F75BB">
      <w:pPr>
        <w:jc w:val="center"/>
        <w:rPr>
          <w:rFonts w:ascii="Times New Roman" w:hAnsi="Times New Roman" w:eastAsia="宋体"/>
          <w:b/>
          <w:i w:val="0"/>
          <w:sz w:val="20"/>
        </w:rPr>
      </w:pPr>
      <w:r>
        <w:rPr>
          <w:rFonts w:ascii="Times New Roman" w:hAnsi="Times New Roman" w:eastAsia="宋体"/>
          <w:b/>
          <w:i w:val="0"/>
          <w:sz w:val="20"/>
        </w:rPr>
        <w:t>Supplementary Results and Appendices</w:t>
      </w:r>
    </w:p>
    <w:sdt>
      <w:sdtPr>
        <w:rPr>
          <w:rFonts w:ascii="宋体" w:hAnsi="宋体" w:eastAsia="宋体" w:cstheme="minorBidi"/>
          <w:sz w:val="21"/>
          <w:szCs w:val="22"/>
          <w:lang w:val="en-US" w:eastAsia="en-US" w:bidi="ar-SA"/>
        </w:rPr>
        <w:id w:val="147451379"/>
        <w15:color w:val="DBDBDB"/>
        <w:docPartObj>
          <w:docPartGallery w:val="Table of Contents"/>
          <w:docPartUnique/>
        </w:docPartObj>
      </w:sdtPr>
      <w:sdtEndPr>
        <w:rPr>
          <w:rFonts w:ascii="Times New Roman" w:hAnsi="Times New Roman" w:eastAsia="宋体" w:cstheme="minorBidi"/>
          <w:i w:val="0"/>
          <w:sz w:val="20"/>
          <w:szCs w:val="22"/>
          <w:lang w:val="en-US" w:eastAsia="en-US" w:bidi="ar-SA"/>
        </w:rPr>
      </w:sdtEndPr>
      <w:sdtContent>
        <w:p w14:paraId="526CA741">
          <w:pPr>
            <w:spacing w:before="0" w:beforeLines="0" w:after="0" w:afterLines="0" w:line="240" w:lineRule="auto"/>
            <w:ind w:left="0" w:leftChars="0" w:right="0" w:rightChars="0" w:firstLine="0" w:firstLineChars="0"/>
            <w:jc w:val="center"/>
          </w:pPr>
        </w:p>
        <w:p w14:paraId="1D77E630">
          <w:pPr>
            <w:pStyle w:val="27"/>
            <w:tabs>
              <w:tab w:val="right" w:leader="dot" w:pos="12960"/>
            </w:tabs>
          </w:pPr>
          <w:r>
            <w:rPr>
              <w:rFonts w:ascii="Times New Roman" w:hAnsi="Times New Roman" w:eastAsia="宋体" w:cstheme="minorBidi"/>
              <w:i w:val="0"/>
              <w:sz w:val="20"/>
              <w:szCs w:val="22"/>
              <w:lang w:val="en-US" w:eastAsia="en-US" w:bidi="ar-SA"/>
            </w:rPr>
            <w:fldChar w:fldCharType="begin"/>
          </w:r>
          <w:r>
            <w:rPr>
              <w:rFonts w:ascii="Times New Roman" w:hAnsi="Times New Roman" w:eastAsia="宋体" w:cstheme="minorBidi"/>
              <w:i w:val="0"/>
              <w:sz w:val="20"/>
              <w:szCs w:val="22"/>
              <w:lang w:val="en-US" w:eastAsia="en-US" w:bidi="ar-SA"/>
            </w:rPr>
            <w:instrText xml:space="preserve">TOC \o "1-3" \h \u </w:instrText>
          </w:r>
          <w:r>
            <w:rPr>
              <w:rFonts w:ascii="Times New Roman" w:hAnsi="Times New Roman" w:eastAsia="宋体" w:cstheme="minorBidi"/>
              <w:i w:val="0"/>
              <w:sz w:val="20"/>
              <w:szCs w:val="22"/>
              <w:lang w:val="en-US" w:eastAsia="en-US" w:bidi="ar-SA"/>
            </w:rPr>
            <w:fldChar w:fldCharType="separate"/>
          </w:r>
          <w:r>
            <w:rPr>
              <w:rFonts w:ascii="Times New Roman" w:hAnsi="Times New Roman" w:eastAsia="宋体" w:cstheme="minorBidi"/>
              <w:i w:val="0"/>
              <w:szCs w:val="22"/>
              <w:lang w:val="en-US" w:eastAsia="en-US" w:bidi="ar-SA"/>
            </w:rPr>
            <w:fldChar w:fldCharType="begin"/>
          </w:r>
          <w:r>
            <w:rPr>
              <w:rFonts w:ascii="Times New Roman" w:hAnsi="Times New Roman" w:eastAsia="宋体" w:cstheme="minorBidi"/>
              <w:i w:val="0"/>
              <w:szCs w:val="22"/>
              <w:lang w:val="en-US" w:eastAsia="en-US" w:bidi="ar-SA"/>
            </w:rPr>
            <w:instrText xml:space="preserve"> HYPERLINK \l _Toc11948 </w:instrText>
          </w:r>
          <w:r>
            <w:rPr>
              <w:rFonts w:ascii="Times New Roman" w:hAnsi="Times New Roman" w:eastAsia="宋体" w:cstheme="minorBidi"/>
              <w:i w:val="0"/>
              <w:szCs w:val="22"/>
              <w:lang w:val="en-US" w:eastAsia="en-US" w:bidi="ar-SA"/>
            </w:rPr>
            <w:fldChar w:fldCharType="separate"/>
          </w:r>
          <w:r>
            <w:rPr>
              <w:rFonts w:ascii="Times New Roman" w:hAnsi="Times New Roman" w:eastAsia="宋体"/>
              <w:i w:val="0"/>
            </w:rPr>
            <w:t>Supplementary Tables</w:t>
          </w:r>
          <w:r>
            <w:tab/>
          </w:r>
          <w:r>
            <w:fldChar w:fldCharType="begin"/>
          </w:r>
          <w:r>
            <w:instrText xml:space="preserve"> PAGEREF _Toc11948 \h </w:instrText>
          </w:r>
          <w:r>
            <w:fldChar w:fldCharType="separate"/>
          </w:r>
          <w:r>
            <w:t>1</w:t>
          </w:r>
          <w:r>
            <w:fldChar w:fldCharType="end"/>
          </w:r>
          <w:r>
            <w:rPr>
              <w:rFonts w:ascii="Times New Roman" w:hAnsi="Times New Roman" w:eastAsia="宋体" w:cstheme="minorBidi"/>
              <w:i w:val="0"/>
              <w:szCs w:val="22"/>
              <w:lang w:val="en-US" w:eastAsia="en-US" w:bidi="ar-SA"/>
            </w:rPr>
            <w:fldChar w:fldCharType="end"/>
          </w:r>
        </w:p>
        <w:p w14:paraId="13A6CF2F">
          <w:pPr>
            <w:pStyle w:val="30"/>
            <w:tabs>
              <w:tab w:val="right" w:leader="dot" w:pos="12960"/>
            </w:tabs>
          </w:pPr>
          <w:r>
            <w:rPr>
              <w:rFonts w:ascii="Times New Roman" w:hAnsi="Times New Roman" w:eastAsia="宋体" w:cstheme="minorBidi"/>
              <w:i w:val="0"/>
              <w:szCs w:val="22"/>
              <w:lang w:val="en-US" w:eastAsia="en-US" w:bidi="ar-SA"/>
            </w:rPr>
            <w:fldChar w:fldCharType="begin"/>
          </w:r>
          <w:r>
            <w:rPr>
              <w:rFonts w:ascii="Times New Roman" w:hAnsi="Times New Roman" w:eastAsia="宋体" w:cstheme="minorBidi"/>
              <w:i w:val="0"/>
              <w:szCs w:val="22"/>
              <w:lang w:val="en-US" w:eastAsia="en-US" w:bidi="ar-SA"/>
            </w:rPr>
            <w:instrText xml:space="preserve"> HYPERLINK \l _Toc13554 </w:instrText>
          </w:r>
          <w:r>
            <w:rPr>
              <w:rFonts w:ascii="Times New Roman" w:hAnsi="Times New Roman" w:eastAsia="宋体" w:cstheme="minorBidi"/>
              <w:i w:val="0"/>
              <w:szCs w:val="22"/>
              <w:lang w:val="en-US" w:eastAsia="en-US" w:bidi="ar-SA"/>
            </w:rPr>
            <w:fldChar w:fldCharType="separate"/>
          </w:r>
          <w:r>
            <w:rPr>
              <w:rFonts w:ascii="Times New Roman" w:hAnsi="Times New Roman"/>
            </w:rPr>
            <w:t>Supplementary Table S1. Search strategies and retrieval counts</w:t>
          </w:r>
          <w:r>
            <w:tab/>
          </w:r>
          <w:r>
            <w:fldChar w:fldCharType="begin"/>
          </w:r>
          <w:r>
            <w:instrText xml:space="preserve"> PAGEREF _Toc13554 \h </w:instrText>
          </w:r>
          <w:r>
            <w:fldChar w:fldCharType="separate"/>
          </w:r>
          <w:r>
            <w:t>1</w:t>
          </w:r>
          <w:r>
            <w:fldChar w:fldCharType="end"/>
          </w:r>
          <w:r>
            <w:rPr>
              <w:rFonts w:ascii="Times New Roman" w:hAnsi="Times New Roman" w:eastAsia="宋体" w:cstheme="minorBidi"/>
              <w:i w:val="0"/>
              <w:szCs w:val="22"/>
              <w:lang w:val="en-US" w:eastAsia="en-US" w:bidi="ar-SA"/>
            </w:rPr>
            <w:fldChar w:fldCharType="end"/>
          </w:r>
        </w:p>
        <w:p w14:paraId="55CF2CFD">
          <w:pPr>
            <w:pStyle w:val="30"/>
            <w:tabs>
              <w:tab w:val="right" w:leader="dot" w:pos="12960"/>
            </w:tabs>
          </w:pPr>
          <w:r>
            <w:rPr>
              <w:rFonts w:ascii="Times New Roman" w:hAnsi="Times New Roman" w:eastAsia="宋体" w:cstheme="minorBidi"/>
              <w:i w:val="0"/>
              <w:szCs w:val="22"/>
              <w:lang w:val="en-US" w:eastAsia="en-US" w:bidi="ar-SA"/>
            </w:rPr>
            <w:fldChar w:fldCharType="begin"/>
          </w:r>
          <w:r>
            <w:rPr>
              <w:rFonts w:ascii="Times New Roman" w:hAnsi="Times New Roman" w:eastAsia="宋体" w:cstheme="minorBidi"/>
              <w:i w:val="0"/>
              <w:szCs w:val="22"/>
              <w:lang w:val="en-US" w:eastAsia="en-US" w:bidi="ar-SA"/>
            </w:rPr>
            <w:instrText xml:space="preserve"> HYPERLINK \l _Toc2702 </w:instrText>
          </w:r>
          <w:r>
            <w:rPr>
              <w:rFonts w:ascii="Times New Roman" w:hAnsi="Times New Roman" w:eastAsia="宋体" w:cstheme="minorBidi"/>
              <w:i w:val="0"/>
              <w:szCs w:val="22"/>
              <w:lang w:val="en-US" w:eastAsia="en-US" w:bidi="ar-SA"/>
            </w:rPr>
            <w:fldChar w:fldCharType="separate"/>
          </w:r>
          <w:r>
            <w:rPr>
              <w:rFonts w:ascii="Times New Roman" w:hAnsi="Times New Roman"/>
              <w:lang w:val="en-US" w:eastAsia="en-US"/>
            </w:rPr>
            <w:t>Supplementary Table S</w:t>
          </w:r>
          <w:r>
            <w:rPr>
              <w:rFonts w:hint="eastAsia" w:eastAsia="宋体"/>
              <w:lang w:val="en-US" w:eastAsia="zh-CN"/>
            </w:rPr>
            <w:t>2</w:t>
          </w:r>
          <w:r>
            <w:rPr>
              <w:rFonts w:ascii="Times New Roman" w:hAnsi="Times New Roman"/>
              <w:lang w:val="en-US" w:eastAsia="en-US"/>
            </w:rPr>
            <w:t>. Complete effect extraction and analysis-eligibility ledger</w:t>
          </w:r>
          <w:r>
            <w:tab/>
          </w:r>
          <w:r>
            <w:fldChar w:fldCharType="begin"/>
          </w:r>
          <w:r>
            <w:instrText xml:space="preserve"> PAGEREF _Toc2702 \h </w:instrText>
          </w:r>
          <w:r>
            <w:fldChar w:fldCharType="separate"/>
          </w:r>
          <w:r>
            <w:t>6</w:t>
          </w:r>
          <w:r>
            <w:fldChar w:fldCharType="end"/>
          </w:r>
          <w:r>
            <w:rPr>
              <w:rFonts w:ascii="Times New Roman" w:hAnsi="Times New Roman" w:eastAsia="宋体" w:cstheme="minorBidi"/>
              <w:i w:val="0"/>
              <w:szCs w:val="22"/>
              <w:lang w:val="en-US" w:eastAsia="en-US" w:bidi="ar-SA"/>
            </w:rPr>
            <w:fldChar w:fldCharType="end"/>
          </w:r>
        </w:p>
        <w:p w14:paraId="5E0BB67A">
          <w:pPr>
            <w:pStyle w:val="30"/>
            <w:tabs>
              <w:tab w:val="right" w:leader="dot" w:pos="12960"/>
            </w:tabs>
          </w:pPr>
          <w:r>
            <w:rPr>
              <w:rFonts w:ascii="Times New Roman" w:hAnsi="Times New Roman" w:eastAsia="宋体" w:cstheme="minorBidi"/>
              <w:i w:val="0"/>
              <w:szCs w:val="22"/>
              <w:lang w:val="en-US" w:eastAsia="en-US" w:bidi="ar-SA"/>
            </w:rPr>
            <w:fldChar w:fldCharType="begin"/>
          </w:r>
          <w:r>
            <w:rPr>
              <w:rFonts w:ascii="Times New Roman" w:hAnsi="Times New Roman" w:eastAsia="宋体" w:cstheme="minorBidi"/>
              <w:i w:val="0"/>
              <w:szCs w:val="22"/>
              <w:lang w:val="en-US" w:eastAsia="en-US" w:bidi="ar-SA"/>
            </w:rPr>
            <w:instrText xml:space="preserve"> HYPERLINK \l _Toc1447 </w:instrText>
          </w:r>
          <w:r>
            <w:rPr>
              <w:rFonts w:ascii="Times New Roman" w:hAnsi="Times New Roman" w:eastAsia="宋体" w:cstheme="minorBidi"/>
              <w:i w:val="0"/>
              <w:szCs w:val="22"/>
              <w:lang w:val="en-US" w:eastAsia="en-US" w:bidi="ar-SA"/>
            </w:rPr>
            <w:fldChar w:fldCharType="separate"/>
          </w:r>
          <w:r>
            <w:rPr>
              <w:rFonts w:ascii="Times New Roman" w:hAnsi="Times New Roman"/>
            </w:rPr>
            <w:t>Supplementary Table S</w:t>
          </w:r>
          <w:r>
            <w:rPr>
              <w:rFonts w:hint="eastAsia" w:eastAsia="宋体"/>
              <w:lang w:val="en-US" w:eastAsia="zh-CN"/>
            </w:rPr>
            <w:t>3</w:t>
          </w:r>
          <w:r>
            <w:rPr>
              <w:rFonts w:ascii="Times New Roman" w:hAnsi="Times New Roman"/>
            </w:rPr>
            <w:t>. Full-text reports excluded and primary reasons</w:t>
          </w:r>
          <w:r>
            <w:tab/>
          </w:r>
          <w:r>
            <w:fldChar w:fldCharType="begin"/>
          </w:r>
          <w:r>
            <w:instrText xml:space="preserve"> PAGEREF _Toc1447 \h </w:instrText>
          </w:r>
          <w:r>
            <w:fldChar w:fldCharType="separate"/>
          </w:r>
          <w:r>
            <w:t>16</w:t>
          </w:r>
          <w:r>
            <w:fldChar w:fldCharType="end"/>
          </w:r>
          <w:r>
            <w:rPr>
              <w:rFonts w:ascii="Times New Roman" w:hAnsi="Times New Roman" w:eastAsia="宋体" w:cstheme="minorBidi"/>
              <w:i w:val="0"/>
              <w:szCs w:val="22"/>
              <w:lang w:val="en-US" w:eastAsia="en-US" w:bidi="ar-SA"/>
            </w:rPr>
            <w:fldChar w:fldCharType="end"/>
          </w:r>
        </w:p>
        <w:p w14:paraId="6C5E66A7">
          <w:pPr>
            <w:pStyle w:val="30"/>
            <w:tabs>
              <w:tab w:val="right" w:leader="dot" w:pos="12960"/>
            </w:tabs>
          </w:pPr>
          <w:r>
            <w:rPr>
              <w:rFonts w:ascii="Times New Roman" w:hAnsi="Times New Roman" w:eastAsia="宋体" w:cstheme="minorBidi"/>
              <w:i w:val="0"/>
              <w:szCs w:val="22"/>
              <w:lang w:val="en-US" w:eastAsia="en-US" w:bidi="ar-SA"/>
            </w:rPr>
            <w:fldChar w:fldCharType="begin"/>
          </w:r>
          <w:r>
            <w:rPr>
              <w:rFonts w:ascii="Times New Roman" w:hAnsi="Times New Roman" w:eastAsia="宋体" w:cstheme="minorBidi"/>
              <w:i w:val="0"/>
              <w:szCs w:val="22"/>
              <w:lang w:val="en-US" w:eastAsia="en-US" w:bidi="ar-SA"/>
            </w:rPr>
            <w:instrText xml:space="preserve"> HYPERLINK \l _Toc16643 </w:instrText>
          </w:r>
          <w:r>
            <w:rPr>
              <w:rFonts w:ascii="Times New Roman" w:hAnsi="Times New Roman" w:eastAsia="宋体" w:cstheme="minorBidi"/>
              <w:i w:val="0"/>
              <w:szCs w:val="22"/>
              <w:lang w:val="en-US" w:eastAsia="en-US" w:bidi="ar-SA"/>
            </w:rPr>
            <w:fldChar w:fldCharType="separate"/>
          </w:r>
          <w:r>
            <w:rPr>
              <w:rFonts w:ascii="Times New Roman" w:hAnsi="Times New Roman"/>
            </w:rPr>
            <w:t>Supplementary Table S</w:t>
          </w:r>
          <w:r>
            <w:rPr>
              <w:rFonts w:hint="eastAsia" w:eastAsia="宋体"/>
              <w:lang w:val="en-US" w:eastAsia="zh-CN"/>
            </w:rPr>
            <w:t>4</w:t>
          </w:r>
          <w:r>
            <w:rPr>
              <w:rFonts w:ascii="Times New Roman" w:hAnsi="Times New Roman"/>
            </w:rPr>
            <w:t>. Characteristics of included systematic reviews</w:t>
          </w:r>
          <w:r>
            <w:tab/>
          </w:r>
          <w:r>
            <w:fldChar w:fldCharType="begin"/>
          </w:r>
          <w:r>
            <w:instrText xml:space="preserve"> PAGEREF _Toc16643 \h </w:instrText>
          </w:r>
          <w:r>
            <w:fldChar w:fldCharType="separate"/>
          </w:r>
          <w:r>
            <w:t>22</w:t>
          </w:r>
          <w:r>
            <w:fldChar w:fldCharType="end"/>
          </w:r>
          <w:r>
            <w:rPr>
              <w:rFonts w:ascii="Times New Roman" w:hAnsi="Times New Roman" w:eastAsia="宋体" w:cstheme="minorBidi"/>
              <w:i w:val="0"/>
              <w:szCs w:val="22"/>
              <w:lang w:val="en-US" w:eastAsia="en-US" w:bidi="ar-SA"/>
            </w:rPr>
            <w:fldChar w:fldCharType="end"/>
          </w:r>
        </w:p>
        <w:p w14:paraId="175BB218">
          <w:pPr>
            <w:pStyle w:val="30"/>
            <w:tabs>
              <w:tab w:val="right" w:leader="dot" w:pos="12960"/>
            </w:tabs>
          </w:pPr>
          <w:r>
            <w:rPr>
              <w:rFonts w:ascii="Times New Roman" w:hAnsi="Times New Roman" w:eastAsia="宋体" w:cstheme="minorBidi"/>
              <w:i w:val="0"/>
              <w:szCs w:val="22"/>
              <w:lang w:val="en-US" w:eastAsia="en-US" w:bidi="ar-SA"/>
            </w:rPr>
            <w:fldChar w:fldCharType="begin"/>
          </w:r>
          <w:r>
            <w:rPr>
              <w:rFonts w:ascii="Times New Roman" w:hAnsi="Times New Roman" w:eastAsia="宋体" w:cstheme="minorBidi"/>
              <w:i w:val="0"/>
              <w:szCs w:val="22"/>
              <w:lang w:val="en-US" w:eastAsia="en-US" w:bidi="ar-SA"/>
            </w:rPr>
            <w:instrText xml:space="preserve"> HYPERLINK \l _Toc26535 </w:instrText>
          </w:r>
          <w:r>
            <w:rPr>
              <w:rFonts w:ascii="Times New Roman" w:hAnsi="Times New Roman" w:eastAsia="宋体" w:cstheme="minorBidi"/>
              <w:i w:val="0"/>
              <w:szCs w:val="22"/>
              <w:lang w:val="en-US" w:eastAsia="en-US" w:bidi="ar-SA"/>
            </w:rPr>
            <w:fldChar w:fldCharType="separate"/>
          </w:r>
          <w:r>
            <w:rPr>
              <w:rFonts w:ascii="Times New Roman" w:hAnsi="Times New Roman"/>
              <w:lang w:val="en-US" w:eastAsia="en-US"/>
            </w:rPr>
            <w:t>Supplementary Table S</w:t>
          </w:r>
          <w:r>
            <w:rPr>
              <w:rFonts w:hint="eastAsia" w:eastAsia="宋体"/>
              <w:lang w:val="en-US" w:eastAsia="zh-CN"/>
            </w:rPr>
            <w:t>5</w:t>
          </w:r>
          <w:r>
            <w:rPr>
              <w:rFonts w:ascii="Times New Roman" w:hAnsi="Times New Roman"/>
              <w:lang w:val="en-US" w:eastAsia="en-US"/>
            </w:rPr>
            <w:t>. Strict-primary review–RCT membership</w:t>
          </w:r>
          <w:r>
            <w:tab/>
          </w:r>
          <w:r>
            <w:fldChar w:fldCharType="begin"/>
          </w:r>
          <w:r>
            <w:instrText xml:space="preserve"> PAGEREF _Toc26535 \h </w:instrText>
          </w:r>
          <w:r>
            <w:fldChar w:fldCharType="separate"/>
          </w:r>
          <w:r>
            <w:t>26</w:t>
          </w:r>
          <w:r>
            <w:fldChar w:fldCharType="end"/>
          </w:r>
          <w:r>
            <w:rPr>
              <w:rFonts w:ascii="Times New Roman" w:hAnsi="Times New Roman" w:eastAsia="宋体" w:cstheme="minorBidi"/>
              <w:i w:val="0"/>
              <w:szCs w:val="22"/>
              <w:lang w:val="en-US" w:eastAsia="en-US" w:bidi="ar-SA"/>
            </w:rPr>
            <w:fldChar w:fldCharType="end"/>
          </w:r>
        </w:p>
        <w:p w14:paraId="2CA3B67B">
          <w:pPr>
            <w:pStyle w:val="30"/>
            <w:tabs>
              <w:tab w:val="right" w:leader="dot" w:pos="12960"/>
            </w:tabs>
          </w:pPr>
          <w:r>
            <w:rPr>
              <w:rFonts w:ascii="Times New Roman" w:hAnsi="Times New Roman" w:eastAsia="宋体" w:cstheme="minorBidi"/>
              <w:i w:val="0"/>
              <w:szCs w:val="22"/>
              <w:lang w:val="en-US" w:eastAsia="en-US" w:bidi="ar-SA"/>
            </w:rPr>
            <w:fldChar w:fldCharType="begin"/>
          </w:r>
          <w:r>
            <w:rPr>
              <w:rFonts w:ascii="Times New Roman" w:hAnsi="Times New Roman" w:eastAsia="宋体" w:cstheme="minorBidi"/>
              <w:i w:val="0"/>
              <w:szCs w:val="22"/>
              <w:lang w:val="en-US" w:eastAsia="en-US" w:bidi="ar-SA"/>
            </w:rPr>
            <w:instrText xml:space="preserve"> HYPERLINK \l _Toc3458 </w:instrText>
          </w:r>
          <w:r>
            <w:rPr>
              <w:rFonts w:ascii="Times New Roman" w:hAnsi="Times New Roman" w:eastAsia="宋体" w:cstheme="minorBidi"/>
              <w:i w:val="0"/>
              <w:szCs w:val="22"/>
              <w:lang w:val="en-US" w:eastAsia="en-US" w:bidi="ar-SA"/>
            </w:rPr>
            <w:fldChar w:fldCharType="separate"/>
          </w:r>
          <w:r>
            <w:rPr>
              <w:rFonts w:ascii="Times New Roman" w:hAnsi="Times New Roman"/>
              <w:lang w:val="en-US" w:eastAsia="en-US"/>
            </w:rPr>
            <w:t>Supplementary Table S</w:t>
          </w:r>
          <w:r>
            <w:rPr>
              <w:rFonts w:hint="eastAsia" w:eastAsia="宋体"/>
              <w:lang w:val="en-US" w:eastAsia="zh-CN"/>
            </w:rPr>
            <w:t>6</w:t>
          </w:r>
          <w:r>
            <w:rPr>
              <w:rFonts w:ascii="Times New Roman" w:hAnsi="Times New Roman"/>
              <w:lang w:val="en-US" w:eastAsia="en-US"/>
            </w:rPr>
            <w:t>. AMSTAR 2 methodological quality and overall confidence ratings</w:t>
          </w:r>
          <w:r>
            <w:tab/>
          </w:r>
          <w:r>
            <w:fldChar w:fldCharType="begin"/>
          </w:r>
          <w:r>
            <w:instrText xml:space="preserve"> PAGEREF _Toc3458 \h </w:instrText>
          </w:r>
          <w:r>
            <w:fldChar w:fldCharType="separate"/>
          </w:r>
          <w:r>
            <w:t>27</w:t>
          </w:r>
          <w:r>
            <w:fldChar w:fldCharType="end"/>
          </w:r>
          <w:r>
            <w:rPr>
              <w:rFonts w:ascii="Times New Roman" w:hAnsi="Times New Roman" w:eastAsia="宋体" w:cstheme="minorBidi"/>
              <w:i w:val="0"/>
              <w:szCs w:val="22"/>
              <w:lang w:val="en-US" w:eastAsia="en-US" w:bidi="ar-SA"/>
            </w:rPr>
            <w:fldChar w:fldCharType="end"/>
          </w:r>
        </w:p>
        <w:p w14:paraId="2457E05D">
          <w:pPr>
            <w:pStyle w:val="30"/>
            <w:tabs>
              <w:tab w:val="right" w:leader="dot" w:pos="12960"/>
            </w:tabs>
          </w:pPr>
          <w:r>
            <w:rPr>
              <w:rFonts w:ascii="Times New Roman" w:hAnsi="Times New Roman" w:eastAsia="宋体" w:cstheme="minorBidi"/>
              <w:i w:val="0"/>
              <w:szCs w:val="22"/>
              <w:lang w:val="en-US" w:eastAsia="en-US" w:bidi="ar-SA"/>
            </w:rPr>
            <w:fldChar w:fldCharType="begin"/>
          </w:r>
          <w:r>
            <w:rPr>
              <w:rFonts w:ascii="Times New Roman" w:hAnsi="Times New Roman" w:eastAsia="宋体" w:cstheme="minorBidi"/>
              <w:i w:val="0"/>
              <w:szCs w:val="22"/>
              <w:lang w:val="en-US" w:eastAsia="en-US" w:bidi="ar-SA"/>
            </w:rPr>
            <w:instrText xml:space="preserve"> HYPERLINK \l _Toc8909 </w:instrText>
          </w:r>
          <w:r>
            <w:rPr>
              <w:rFonts w:ascii="Times New Roman" w:hAnsi="Times New Roman" w:eastAsia="宋体" w:cstheme="minorBidi"/>
              <w:i w:val="0"/>
              <w:szCs w:val="22"/>
              <w:lang w:val="en-US" w:eastAsia="en-US" w:bidi="ar-SA"/>
            </w:rPr>
            <w:fldChar w:fldCharType="separate"/>
          </w:r>
          <w:r>
            <w:rPr>
              <w:rFonts w:ascii="Times New Roman" w:hAnsi="Times New Roman"/>
              <w:lang w:val="en-US" w:eastAsia="en-US"/>
            </w:rPr>
            <w:t>Supplementary Table S7. Leave-one-review-out sensitivity analysis</w:t>
          </w:r>
          <w:r>
            <w:tab/>
          </w:r>
          <w:r>
            <w:fldChar w:fldCharType="begin"/>
          </w:r>
          <w:r>
            <w:instrText xml:space="preserve"> PAGEREF _Toc8909 \h </w:instrText>
          </w:r>
          <w:r>
            <w:fldChar w:fldCharType="separate"/>
          </w:r>
          <w:r>
            <w:t>29</w:t>
          </w:r>
          <w:r>
            <w:fldChar w:fldCharType="end"/>
          </w:r>
          <w:r>
            <w:rPr>
              <w:rFonts w:ascii="Times New Roman" w:hAnsi="Times New Roman" w:eastAsia="宋体" w:cstheme="minorBidi"/>
              <w:i w:val="0"/>
              <w:szCs w:val="22"/>
              <w:lang w:val="en-US" w:eastAsia="en-US" w:bidi="ar-SA"/>
            </w:rPr>
            <w:fldChar w:fldCharType="end"/>
          </w:r>
        </w:p>
        <w:p w14:paraId="33896633">
          <w:pPr>
            <w:pStyle w:val="30"/>
            <w:tabs>
              <w:tab w:val="right" w:leader="dot" w:pos="12960"/>
            </w:tabs>
          </w:pPr>
          <w:r>
            <w:rPr>
              <w:rFonts w:ascii="Times New Roman" w:hAnsi="Times New Roman" w:eastAsia="宋体" w:cstheme="minorBidi"/>
              <w:i w:val="0"/>
              <w:szCs w:val="22"/>
              <w:lang w:val="en-US" w:eastAsia="en-US" w:bidi="ar-SA"/>
            </w:rPr>
            <w:fldChar w:fldCharType="begin"/>
          </w:r>
          <w:r>
            <w:rPr>
              <w:rFonts w:ascii="Times New Roman" w:hAnsi="Times New Roman" w:eastAsia="宋体" w:cstheme="minorBidi"/>
              <w:i w:val="0"/>
              <w:szCs w:val="22"/>
              <w:lang w:val="en-US" w:eastAsia="en-US" w:bidi="ar-SA"/>
            </w:rPr>
            <w:instrText xml:space="preserve"> HYPERLINK \l _Toc4557 </w:instrText>
          </w:r>
          <w:r>
            <w:rPr>
              <w:rFonts w:ascii="Times New Roman" w:hAnsi="Times New Roman" w:eastAsia="宋体" w:cstheme="minorBidi"/>
              <w:i w:val="0"/>
              <w:szCs w:val="22"/>
              <w:lang w:val="en-US" w:eastAsia="en-US" w:bidi="ar-SA"/>
            </w:rPr>
            <w:fldChar w:fldCharType="separate"/>
          </w:r>
          <w:r>
            <w:rPr>
              <w:rFonts w:ascii="Times New Roman" w:hAnsi="Times New Roman"/>
              <w:lang w:val="en-US" w:eastAsia="en-US"/>
            </w:rPr>
            <w:t>Supplementary Table S</w:t>
          </w:r>
          <w:r>
            <w:rPr>
              <w:rFonts w:hint="eastAsia" w:eastAsia="宋体"/>
              <w:lang w:val="en-US" w:eastAsia="zh-CN"/>
            </w:rPr>
            <w:t>8</w:t>
          </w:r>
          <w:r>
            <w:rPr>
              <w:rFonts w:ascii="Times New Roman" w:hAnsi="Times New Roman"/>
              <w:lang w:val="en-US" w:eastAsia="en-US"/>
            </w:rPr>
            <w:t>. Mapping coverage and residual limitations</w:t>
          </w:r>
          <w:r>
            <w:tab/>
          </w:r>
          <w:r>
            <w:fldChar w:fldCharType="begin"/>
          </w:r>
          <w:r>
            <w:instrText xml:space="preserve"> PAGEREF _Toc4557 \h </w:instrText>
          </w:r>
          <w:r>
            <w:fldChar w:fldCharType="separate"/>
          </w:r>
          <w:r>
            <w:t>30</w:t>
          </w:r>
          <w:r>
            <w:fldChar w:fldCharType="end"/>
          </w:r>
          <w:r>
            <w:rPr>
              <w:rFonts w:ascii="Times New Roman" w:hAnsi="Times New Roman" w:eastAsia="宋体" w:cstheme="minorBidi"/>
              <w:i w:val="0"/>
              <w:szCs w:val="22"/>
              <w:lang w:val="en-US" w:eastAsia="en-US" w:bidi="ar-SA"/>
            </w:rPr>
            <w:fldChar w:fldCharType="end"/>
          </w:r>
        </w:p>
        <w:p w14:paraId="1891E23A">
          <w:pPr>
            <w:pStyle w:val="30"/>
            <w:tabs>
              <w:tab w:val="right" w:leader="dot" w:pos="12960"/>
            </w:tabs>
          </w:pPr>
          <w:r>
            <w:rPr>
              <w:rFonts w:ascii="Times New Roman" w:hAnsi="Times New Roman" w:eastAsia="宋体" w:cstheme="minorBidi"/>
              <w:i w:val="0"/>
              <w:szCs w:val="22"/>
              <w:lang w:val="en-US" w:eastAsia="en-US" w:bidi="ar-SA"/>
            </w:rPr>
            <w:fldChar w:fldCharType="begin"/>
          </w:r>
          <w:r>
            <w:rPr>
              <w:rFonts w:ascii="Times New Roman" w:hAnsi="Times New Roman" w:eastAsia="宋体" w:cstheme="minorBidi"/>
              <w:i w:val="0"/>
              <w:szCs w:val="22"/>
              <w:lang w:val="en-US" w:eastAsia="en-US" w:bidi="ar-SA"/>
            </w:rPr>
            <w:instrText xml:space="preserve"> HYPERLINK \l _Toc11735 </w:instrText>
          </w:r>
          <w:r>
            <w:rPr>
              <w:rFonts w:ascii="Times New Roman" w:hAnsi="Times New Roman" w:eastAsia="宋体" w:cstheme="minorBidi"/>
              <w:i w:val="0"/>
              <w:szCs w:val="22"/>
              <w:lang w:val="en-US" w:eastAsia="en-US" w:bidi="ar-SA"/>
            </w:rPr>
            <w:fldChar w:fldCharType="separate"/>
          </w:r>
          <w:r>
            <w:rPr>
              <w:rFonts w:ascii="Times New Roman" w:hAnsi="Times New Roman"/>
              <w:lang w:val="en-US" w:eastAsia="en-US"/>
            </w:rPr>
            <w:t>Supplementary Table S</w:t>
          </w:r>
          <w:r>
            <w:rPr>
              <w:rFonts w:hint="eastAsia" w:eastAsia="宋体"/>
              <w:lang w:val="en-US" w:eastAsia="zh-CN"/>
            </w:rPr>
            <w:t>9</w:t>
          </w:r>
          <w:r>
            <w:rPr>
              <w:rFonts w:ascii="Times New Roman" w:hAnsi="Times New Roman"/>
              <w:lang w:val="en-US" w:eastAsia="en-US"/>
            </w:rPr>
            <w:t>. Quality-restricted sensitivity-analysis feasibility</w:t>
          </w:r>
          <w:r>
            <w:tab/>
          </w:r>
          <w:r>
            <w:fldChar w:fldCharType="begin"/>
          </w:r>
          <w:r>
            <w:instrText xml:space="preserve"> PAGEREF _Toc11735 \h </w:instrText>
          </w:r>
          <w:r>
            <w:fldChar w:fldCharType="separate"/>
          </w:r>
          <w:r>
            <w:t>30</w:t>
          </w:r>
          <w:r>
            <w:fldChar w:fldCharType="end"/>
          </w:r>
          <w:r>
            <w:rPr>
              <w:rFonts w:ascii="Times New Roman" w:hAnsi="Times New Roman" w:eastAsia="宋体" w:cstheme="minorBidi"/>
              <w:i w:val="0"/>
              <w:szCs w:val="22"/>
              <w:lang w:val="en-US" w:eastAsia="en-US" w:bidi="ar-SA"/>
            </w:rPr>
            <w:fldChar w:fldCharType="end"/>
          </w:r>
        </w:p>
        <w:p w14:paraId="0A3EC857">
          <w:pPr>
            <w:pStyle w:val="30"/>
            <w:tabs>
              <w:tab w:val="right" w:leader="dot" w:pos="12960"/>
            </w:tabs>
          </w:pPr>
          <w:r>
            <w:rPr>
              <w:rFonts w:ascii="Times New Roman" w:hAnsi="Times New Roman" w:eastAsia="宋体" w:cstheme="minorBidi"/>
              <w:i w:val="0"/>
              <w:szCs w:val="22"/>
              <w:lang w:val="en-US" w:eastAsia="en-US" w:bidi="ar-SA"/>
            </w:rPr>
            <w:fldChar w:fldCharType="begin"/>
          </w:r>
          <w:r>
            <w:rPr>
              <w:rFonts w:ascii="Times New Roman" w:hAnsi="Times New Roman" w:eastAsia="宋体" w:cstheme="minorBidi"/>
              <w:i w:val="0"/>
              <w:szCs w:val="22"/>
              <w:lang w:val="en-US" w:eastAsia="en-US" w:bidi="ar-SA"/>
            </w:rPr>
            <w:instrText xml:space="preserve"> HYPERLINK \l _Toc32137 </w:instrText>
          </w:r>
          <w:r>
            <w:rPr>
              <w:rFonts w:ascii="Times New Roman" w:hAnsi="Times New Roman" w:eastAsia="宋体" w:cstheme="minorBidi"/>
              <w:i w:val="0"/>
              <w:szCs w:val="22"/>
              <w:lang w:val="en-US" w:eastAsia="en-US" w:bidi="ar-SA"/>
            </w:rPr>
            <w:fldChar w:fldCharType="separate"/>
          </w:r>
          <w:r>
            <w:rPr>
              <w:rFonts w:ascii="Times New Roman" w:hAnsi="Times New Roman"/>
              <w:lang w:val="en-US" w:eastAsia="en-US"/>
            </w:rPr>
            <w:t>Supplementary Table S10. Primary-RCT risk-of-bias evidence supporting the GRADE judgment for the strict primary outcome</w:t>
          </w:r>
          <w:r>
            <w:tab/>
          </w:r>
          <w:r>
            <w:fldChar w:fldCharType="begin"/>
          </w:r>
          <w:r>
            <w:instrText xml:space="preserve"> PAGEREF _Toc32137 \h </w:instrText>
          </w:r>
          <w:r>
            <w:fldChar w:fldCharType="separate"/>
          </w:r>
          <w:r>
            <w:t>31</w:t>
          </w:r>
          <w:r>
            <w:fldChar w:fldCharType="end"/>
          </w:r>
          <w:r>
            <w:rPr>
              <w:rFonts w:ascii="Times New Roman" w:hAnsi="Times New Roman" w:eastAsia="宋体" w:cstheme="minorBidi"/>
              <w:i w:val="0"/>
              <w:szCs w:val="22"/>
              <w:lang w:val="en-US" w:eastAsia="en-US" w:bidi="ar-SA"/>
            </w:rPr>
            <w:fldChar w:fldCharType="end"/>
          </w:r>
        </w:p>
        <w:p w14:paraId="1E358861">
          <w:pPr>
            <w:pStyle w:val="27"/>
            <w:tabs>
              <w:tab w:val="right" w:leader="dot" w:pos="12960"/>
            </w:tabs>
          </w:pPr>
          <w:r>
            <w:rPr>
              <w:rFonts w:ascii="Times New Roman" w:hAnsi="Times New Roman" w:eastAsia="宋体" w:cstheme="minorBidi"/>
              <w:i w:val="0"/>
              <w:szCs w:val="22"/>
              <w:lang w:val="en-US" w:eastAsia="en-US" w:bidi="ar-SA"/>
            </w:rPr>
            <w:fldChar w:fldCharType="begin"/>
          </w:r>
          <w:r>
            <w:rPr>
              <w:rFonts w:ascii="Times New Roman" w:hAnsi="Times New Roman" w:eastAsia="宋体" w:cstheme="minorBidi"/>
              <w:i w:val="0"/>
              <w:szCs w:val="22"/>
              <w:lang w:val="en-US" w:eastAsia="en-US" w:bidi="ar-SA"/>
            </w:rPr>
            <w:instrText xml:space="preserve"> HYPERLINK \l _Toc17974 </w:instrText>
          </w:r>
          <w:r>
            <w:rPr>
              <w:rFonts w:ascii="Times New Roman" w:hAnsi="Times New Roman" w:eastAsia="宋体" w:cstheme="minorBidi"/>
              <w:i w:val="0"/>
              <w:szCs w:val="22"/>
              <w:lang w:val="en-US" w:eastAsia="en-US" w:bidi="ar-SA"/>
            </w:rPr>
            <w:fldChar w:fldCharType="separate"/>
          </w:r>
          <w:r>
            <w:rPr>
              <w:rFonts w:ascii="Times New Roman" w:hAnsi="Times New Roman" w:eastAsia="宋体"/>
              <w:i w:val="0"/>
            </w:rPr>
            <w:t>Supplementary Figures and model diagnostics</w:t>
          </w:r>
          <w:r>
            <w:tab/>
          </w:r>
          <w:r>
            <w:fldChar w:fldCharType="begin"/>
          </w:r>
          <w:r>
            <w:instrText xml:space="preserve"> PAGEREF _Toc17974 \h </w:instrText>
          </w:r>
          <w:r>
            <w:fldChar w:fldCharType="separate"/>
          </w:r>
          <w:r>
            <w:t>33</w:t>
          </w:r>
          <w:r>
            <w:fldChar w:fldCharType="end"/>
          </w:r>
          <w:r>
            <w:rPr>
              <w:rFonts w:ascii="Times New Roman" w:hAnsi="Times New Roman" w:eastAsia="宋体" w:cstheme="minorBidi"/>
              <w:i w:val="0"/>
              <w:szCs w:val="22"/>
              <w:lang w:val="en-US" w:eastAsia="en-US" w:bidi="ar-SA"/>
            </w:rPr>
            <w:fldChar w:fldCharType="end"/>
          </w:r>
        </w:p>
        <w:p w14:paraId="43EC9EAB">
          <w:pPr>
            <w:pStyle w:val="24"/>
            <w:tabs>
              <w:tab w:val="right" w:leader="dot" w:pos="12960"/>
            </w:tabs>
          </w:pPr>
          <w:r>
            <w:rPr>
              <w:rFonts w:ascii="Times New Roman" w:hAnsi="Times New Roman" w:eastAsia="宋体" w:cstheme="minorBidi"/>
              <w:i w:val="0"/>
              <w:szCs w:val="22"/>
              <w:lang w:val="en-US" w:eastAsia="en-US" w:bidi="ar-SA"/>
            </w:rPr>
            <w:fldChar w:fldCharType="begin"/>
          </w:r>
          <w:r>
            <w:rPr>
              <w:rFonts w:ascii="Times New Roman" w:hAnsi="Times New Roman" w:eastAsia="宋体" w:cstheme="minorBidi"/>
              <w:i w:val="0"/>
              <w:szCs w:val="22"/>
              <w:lang w:val="en-US" w:eastAsia="en-US" w:bidi="ar-SA"/>
            </w:rPr>
            <w:instrText xml:space="preserve"> HYPERLINK \l _Toc6998 </w:instrText>
          </w:r>
          <w:r>
            <w:rPr>
              <w:rFonts w:ascii="Times New Roman" w:hAnsi="Times New Roman" w:eastAsia="宋体" w:cstheme="minorBidi"/>
              <w:i w:val="0"/>
              <w:szCs w:val="22"/>
              <w:lang w:val="en-US" w:eastAsia="en-US" w:bidi="ar-SA"/>
            </w:rPr>
            <w:fldChar w:fldCharType="separate"/>
          </w:r>
          <w:r>
            <w:rPr>
              <w:rFonts w:ascii="Times New Roman" w:hAnsi="Times New Roman"/>
            </w:rPr>
            <w:t xml:space="preserve">Figure S1. </w:t>
          </w:r>
          <w:r>
            <w:rPr>
              <w:rFonts w:hint="eastAsia" w:ascii="Times New Roman" w:hAnsi="Times New Roman"/>
            </w:rPr>
            <w:t>Pairwise overlap of independent RCT clusters in the strict primary analysis</w:t>
          </w:r>
          <w:r>
            <w:rPr>
              <w:rFonts w:ascii="Times New Roman" w:hAnsi="Times New Roman"/>
            </w:rPr>
            <w:t>.</w:t>
          </w:r>
          <w:r>
            <w:tab/>
          </w:r>
          <w:r>
            <w:fldChar w:fldCharType="begin"/>
          </w:r>
          <w:r>
            <w:instrText xml:space="preserve"> PAGEREF _Toc6998 \h </w:instrText>
          </w:r>
          <w:r>
            <w:fldChar w:fldCharType="separate"/>
          </w:r>
          <w:r>
            <w:t>33</w:t>
          </w:r>
          <w:r>
            <w:fldChar w:fldCharType="end"/>
          </w:r>
          <w:r>
            <w:rPr>
              <w:rFonts w:ascii="Times New Roman" w:hAnsi="Times New Roman" w:eastAsia="宋体" w:cstheme="minorBidi"/>
              <w:i w:val="0"/>
              <w:szCs w:val="22"/>
              <w:lang w:val="en-US" w:eastAsia="en-US" w:bidi="ar-SA"/>
            </w:rPr>
            <w:fldChar w:fldCharType="end"/>
          </w:r>
        </w:p>
        <w:p w14:paraId="07A019F4">
          <w:pPr>
            <w:pStyle w:val="24"/>
            <w:tabs>
              <w:tab w:val="right" w:leader="dot" w:pos="12960"/>
            </w:tabs>
          </w:pPr>
          <w:r>
            <w:rPr>
              <w:rFonts w:ascii="Times New Roman" w:hAnsi="Times New Roman" w:eastAsia="宋体" w:cstheme="minorBidi"/>
              <w:i w:val="0"/>
              <w:szCs w:val="22"/>
              <w:lang w:val="en-US" w:eastAsia="en-US" w:bidi="ar-SA"/>
            </w:rPr>
            <w:fldChar w:fldCharType="begin"/>
          </w:r>
          <w:r>
            <w:rPr>
              <w:rFonts w:ascii="Times New Roman" w:hAnsi="Times New Roman" w:eastAsia="宋体" w:cstheme="minorBidi"/>
              <w:i w:val="0"/>
              <w:szCs w:val="22"/>
              <w:lang w:val="en-US" w:eastAsia="en-US" w:bidi="ar-SA"/>
            </w:rPr>
            <w:instrText xml:space="preserve"> HYPERLINK \l _Toc19246 </w:instrText>
          </w:r>
          <w:r>
            <w:rPr>
              <w:rFonts w:ascii="Times New Roman" w:hAnsi="Times New Roman" w:eastAsia="宋体" w:cstheme="minorBidi"/>
              <w:i w:val="0"/>
              <w:szCs w:val="22"/>
              <w:lang w:val="en-US" w:eastAsia="en-US" w:bidi="ar-SA"/>
            </w:rPr>
            <w:fldChar w:fldCharType="separate"/>
          </w:r>
          <w:r>
            <w:rPr>
              <w:rFonts w:ascii="Times New Roman" w:hAnsi="Times New Roman"/>
            </w:rPr>
            <w:t xml:space="preserve">Figure S2. </w:t>
          </w:r>
          <w:r>
            <w:rPr>
              <w:rFonts w:hint="eastAsia" w:ascii="Times New Roman" w:hAnsi="Times New Roman"/>
            </w:rPr>
            <w:t>AMSTAR 2 item-level profile of the 33 included systematic reviews</w:t>
          </w:r>
          <w:r>
            <w:rPr>
              <w:rFonts w:ascii="Times New Roman" w:hAnsi="Times New Roman"/>
            </w:rPr>
            <w:t>.</w:t>
          </w:r>
          <w:r>
            <w:tab/>
          </w:r>
          <w:r>
            <w:fldChar w:fldCharType="begin"/>
          </w:r>
          <w:r>
            <w:instrText xml:space="preserve"> PAGEREF _Toc19246 \h </w:instrText>
          </w:r>
          <w:r>
            <w:fldChar w:fldCharType="separate"/>
          </w:r>
          <w:r>
            <w:t>34</w:t>
          </w:r>
          <w:r>
            <w:fldChar w:fldCharType="end"/>
          </w:r>
          <w:r>
            <w:rPr>
              <w:rFonts w:ascii="Times New Roman" w:hAnsi="Times New Roman" w:eastAsia="宋体" w:cstheme="minorBidi"/>
              <w:i w:val="0"/>
              <w:szCs w:val="22"/>
              <w:lang w:val="en-US" w:eastAsia="en-US" w:bidi="ar-SA"/>
            </w:rPr>
            <w:fldChar w:fldCharType="end"/>
          </w:r>
        </w:p>
        <w:p w14:paraId="3A4B0A67">
          <w:pPr>
            <w:pStyle w:val="24"/>
            <w:tabs>
              <w:tab w:val="right" w:leader="dot" w:pos="12960"/>
            </w:tabs>
          </w:pPr>
          <w:r>
            <w:rPr>
              <w:rFonts w:ascii="Times New Roman" w:hAnsi="Times New Roman" w:eastAsia="宋体" w:cstheme="minorBidi"/>
              <w:i w:val="0"/>
              <w:szCs w:val="22"/>
              <w:lang w:val="en-US" w:eastAsia="en-US" w:bidi="ar-SA"/>
            </w:rPr>
            <w:fldChar w:fldCharType="begin"/>
          </w:r>
          <w:r>
            <w:rPr>
              <w:rFonts w:ascii="Times New Roman" w:hAnsi="Times New Roman" w:eastAsia="宋体" w:cstheme="minorBidi"/>
              <w:i w:val="0"/>
              <w:szCs w:val="22"/>
              <w:lang w:val="en-US" w:eastAsia="en-US" w:bidi="ar-SA"/>
            </w:rPr>
            <w:instrText xml:space="preserve"> HYPERLINK \l _Toc14314 </w:instrText>
          </w:r>
          <w:r>
            <w:rPr>
              <w:rFonts w:ascii="Times New Roman" w:hAnsi="Times New Roman" w:eastAsia="宋体" w:cstheme="minorBidi"/>
              <w:i w:val="0"/>
              <w:szCs w:val="22"/>
              <w:lang w:val="en-US" w:eastAsia="en-US" w:bidi="ar-SA"/>
            </w:rPr>
            <w:fldChar w:fldCharType="separate"/>
          </w:r>
          <w:r>
            <w:rPr>
              <w:rFonts w:ascii="Times New Roman" w:hAnsi="Times New Roman"/>
            </w:rPr>
            <w:t>Figure S3. Change-score sensitivity analysis.</w:t>
          </w:r>
          <w:r>
            <w:tab/>
          </w:r>
          <w:r>
            <w:fldChar w:fldCharType="begin"/>
          </w:r>
          <w:r>
            <w:instrText xml:space="preserve"> PAGEREF _Toc14314 \h </w:instrText>
          </w:r>
          <w:r>
            <w:fldChar w:fldCharType="separate"/>
          </w:r>
          <w:r>
            <w:t>35</w:t>
          </w:r>
          <w:r>
            <w:fldChar w:fldCharType="end"/>
          </w:r>
          <w:r>
            <w:rPr>
              <w:rFonts w:ascii="Times New Roman" w:hAnsi="Times New Roman" w:eastAsia="宋体" w:cstheme="minorBidi"/>
              <w:i w:val="0"/>
              <w:szCs w:val="22"/>
              <w:lang w:val="en-US" w:eastAsia="en-US" w:bidi="ar-SA"/>
            </w:rPr>
            <w:fldChar w:fldCharType="end"/>
          </w:r>
        </w:p>
        <w:p w14:paraId="25C8C960">
          <w:pPr>
            <w:pStyle w:val="24"/>
            <w:tabs>
              <w:tab w:val="right" w:leader="dot" w:pos="12960"/>
            </w:tabs>
          </w:pPr>
          <w:r>
            <w:rPr>
              <w:rFonts w:ascii="Times New Roman" w:hAnsi="Times New Roman" w:eastAsia="宋体" w:cstheme="minorBidi"/>
              <w:i w:val="0"/>
              <w:szCs w:val="22"/>
              <w:lang w:val="en-US" w:eastAsia="en-US" w:bidi="ar-SA"/>
            </w:rPr>
            <w:fldChar w:fldCharType="begin"/>
          </w:r>
          <w:r>
            <w:rPr>
              <w:rFonts w:ascii="Times New Roman" w:hAnsi="Times New Roman" w:eastAsia="宋体" w:cstheme="minorBidi"/>
              <w:i w:val="0"/>
              <w:szCs w:val="22"/>
              <w:lang w:val="en-US" w:eastAsia="en-US" w:bidi="ar-SA"/>
            </w:rPr>
            <w:instrText xml:space="preserve"> HYPERLINK \l _Toc7966 </w:instrText>
          </w:r>
          <w:r>
            <w:rPr>
              <w:rFonts w:ascii="Times New Roman" w:hAnsi="Times New Roman" w:eastAsia="宋体" w:cstheme="minorBidi"/>
              <w:i w:val="0"/>
              <w:szCs w:val="22"/>
              <w:lang w:val="en-US" w:eastAsia="en-US" w:bidi="ar-SA"/>
            </w:rPr>
            <w:fldChar w:fldCharType="separate"/>
          </w:r>
          <w:r>
            <w:rPr>
              <w:rFonts w:ascii="Times New Roman" w:hAnsi="Times New Roman"/>
            </w:rPr>
            <w:t xml:space="preserve">Figure S4. </w:t>
          </w:r>
          <w:r>
            <w:rPr>
              <w:rFonts w:hint="eastAsia" w:ascii="Times New Roman" w:hAnsi="Times New Roman"/>
            </w:rPr>
            <w:t>Leave-one-review-out analysis for the strict primary model</w:t>
          </w:r>
          <w:r>
            <w:rPr>
              <w:rFonts w:hint="eastAsia" w:ascii="Times New Roman" w:hAnsi="Times New Roman"/>
              <w:lang w:val="en-US" w:eastAsia="zh-CN"/>
            </w:rPr>
            <w:t>.</w:t>
          </w:r>
          <w:r>
            <w:tab/>
          </w:r>
          <w:r>
            <w:fldChar w:fldCharType="begin"/>
          </w:r>
          <w:r>
            <w:instrText xml:space="preserve"> PAGEREF _Toc7966 \h </w:instrText>
          </w:r>
          <w:r>
            <w:fldChar w:fldCharType="separate"/>
          </w:r>
          <w:r>
            <w:t>36</w:t>
          </w:r>
          <w:r>
            <w:fldChar w:fldCharType="end"/>
          </w:r>
          <w:r>
            <w:rPr>
              <w:rFonts w:ascii="Times New Roman" w:hAnsi="Times New Roman" w:eastAsia="宋体" w:cstheme="minorBidi"/>
              <w:i w:val="0"/>
              <w:szCs w:val="22"/>
              <w:lang w:val="en-US" w:eastAsia="en-US" w:bidi="ar-SA"/>
            </w:rPr>
            <w:fldChar w:fldCharType="end"/>
          </w:r>
        </w:p>
        <w:p w14:paraId="21A7E6F0">
          <w:pPr>
            <w:pStyle w:val="24"/>
            <w:tabs>
              <w:tab w:val="right" w:leader="dot" w:pos="12960"/>
            </w:tabs>
          </w:pPr>
          <w:r>
            <w:rPr>
              <w:rFonts w:ascii="Times New Roman" w:hAnsi="Times New Roman" w:eastAsia="宋体" w:cstheme="minorBidi"/>
              <w:i w:val="0"/>
              <w:szCs w:val="22"/>
              <w:lang w:val="en-US" w:eastAsia="en-US" w:bidi="ar-SA"/>
            </w:rPr>
            <w:fldChar w:fldCharType="begin"/>
          </w:r>
          <w:r>
            <w:rPr>
              <w:rFonts w:ascii="Times New Roman" w:hAnsi="Times New Roman" w:eastAsia="宋体" w:cstheme="minorBidi"/>
              <w:i w:val="0"/>
              <w:szCs w:val="22"/>
              <w:lang w:val="en-US" w:eastAsia="en-US" w:bidi="ar-SA"/>
            </w:rPr>
            <w:instrText xml:space="preserve"> HYPERLINK \l _Toc15033 </w:instrText>
          </w:r>
          <w:r>
            <w:rPr>
              <w:rFonts w:ascii="Times New Roman" w:hAnsi="Times New Roman" w:eastAsia="宋体" w:cstheme="minorBidi"/>
              <w:i w:val="0"/>
              <w:szCs w:val="22"/>
              <w:lang w:val="en-US" w:eastAsia="en-US" w:bidi="ar-SA"/>
            </w:rPr>
            <w:fldChar w:fldCharType="separate"/>
          </w:r>
          <w:r>
            <w:rPr>
              <w:rFonts w:ascii="Times New Roman" w:hAnsi="Times New Roman"/>
            </w:rPr>
            <w:t xml:space="preserve">Figure S5. </w:t>
          </w:r>
          <w:r>
            <w:rPr>
              <w:rFonts w:hint="eastAsia" w:ascii="Times New Roman" w:hAnsi="Times New Roman"/>
            </w:rPr>
            <w:t>Active-control subgroup analysis</w:t>
          </w:r>
          <w:r>
            <w:rPr>
              <w:rFonts w:ascii="Times New Roman" w:hAnsi="Times New Roman"/>
            </w:rPr>
            <w:t>.</w:t>
          </w:r>
          <w:r>
            <w:tab/>
          </w:r>
          <w:r>
            <w:fldChar w:fldCharType="begin"/>
          </w:r>
          <w:r>
            <w:instrText xml:space="preserve"> PAGEREF _Toc15033 \h </w:instrText>
          </w:r>
          <w:r>
            <w:fldChar w:fldCharType="separate"/>
          </w:r>
          <w:r>
            <w:t>37</w:t>
          </w:r>
          <w:r>
            <w:fldChar w:fldCharType="end"/>
          </w:r>
          <w:r>
            <w:rPr>
              <w:rFonts w:ascii="Times New Roman" w:hAnsi="Times New Roman" w:eastAsia="宋体" w:cstheme="minorBidi"/>
              <w:i w:val="0"/>
              <w:szCs w:val="22"/>
              <w:lang w:val="en-US" w:eastAsia="en-US" w:bidi="ar-SA"/>
            </w:rPr>
            <w:fldChar w:fldCharType="end"/>
          </w:r>
        </w:p>
        <w:p w14:paraId="4872117B">
          <w:pPr>
            <w:pStyle w:val="24"/>
            <w:tabs>
              <w:tab w:val="right" w:leader="dot" w:pos="12960"/>
            </w:tabs>
          </w:pPr>
          <w:r>
            <w:rPr>
              <w:rFonts w:ascii="Times New Roman" w:hAnsi="Times New Roman" w:eastAsia="宋体" w:cstheme="minorBidi"/>
              <w:i w:val="0"/>
              <w:szCs w:val="22"/>
              <w:lang w:val="en-US" w:eastAsia="en-US" w:bidi="ar-SA"/>
            </w:rPr>
            <w:fldChar w:fldCharType="begin"/>
          </w:r>
          <w:r>
            <w:rPr>
              <w:rFonts w:ascii="Times New Roman" w:hAnsi="Times New Roman" w:eastAsia="宋体" w:cstheme="minorBidi"/>
              <w:i w:val="0"/>
              <w:szCs w:val="22"/>
              <w:lang w:val="en-US" w:eastAsia="en-US" w:bidi="ar-SA"/>
            </w:rPr>
            <w:instrText xml:space="preserve"> HYPERLINK \l _Toc10221 </w:instrText>
          </w:r>
          <w:r>
            <w:rPr>
              <w:rFonts w:ascii="Times New Roman" w:hAnsi="Times New Roman" w:eastAsia="宋体" w:cstheme="minorBidi"/>
              <w:i w:val="0"/>
              <w:szCs w:val="22"/>
              <w:lang w:val="en-US" w:eastAsia="en-US" w:bidi="ar-SA"/>
            </w:rPr>
            <w:fldChar w:fldCharType="separate"/>
          </w:r>
          <w:r>
            <w:rPr>
              <w:rFonts w:ascii="Times New Roman" w:hAnsi="Times New Roman"/>
            </w:rPr>
            <w:t xml:space="preserve">Figure S6. </w:t>
          </w:r>
          <w:r>
            <w:rPr>
              <w:rFonts w:hint="eastAsia" w:ascii="Times New Roman" w:hAnsi="Times New Roman"/>
            </w:rPr>
            <w:t>Follow-up effects by prespecified time window</w:t>
          </w:r>
          <w:r>
            <w:rPr>
              <w:rFonts w:ascii="Times New Roman" w:hAnsi="Times New Roman"/>
            </w:rPr>
            <w:t>.</w:t>
          </w:r>
          <w:r>
            <w:tab/>
          </w:r>
          <w:r>
            <w:fldChar w:fldCharType="begin"/>
          </w:r>
          <w:r>
            <w:instrText xml:space="preserve"> PAGEREF _Toc10221 \h </w:instrText>
          </w:r>
          <w:r>
            <w:fldChar w:fldCharType="separate"/>
          </w:r>
          <w:r>
            <w:t>38</w:t>
          </w:r>
          <w:r>
            <w:fldChar w:fldCharType="end"/>
          </w:r>
          <w:r>
            <w:rPr>
              <w:rFonts w:ascii="Times New Roman" w:hAnsi="Times New Roman" w:eastAsia="宋体" w:cstheme="minorBidi"/>
              <w:i w:val="0"/>
              <w:szCs w:val="22"/>
              <w:lang w:val="en-US" w:eastAsia="en-US" w:bidi="ar-SA"/>
            </w:rPr>
            <w:fldChar w:fldCharType="end"/>
          </w:r>
        </w:p>
        <w:p w14:paraId="04A7954D">
          <w:pPr>
            <w:pStyle w:val="24"/>
            <w:tabs>
              <w:tab w:val="right" w:leader="dot" w:pos="12960"/>
            </w:tabs>
          </w:pPr>
          <w:r>
            <w:rPr>
              <w:rFonts w:ascii="Times New Roman" w:hAnsi="Times New Roman" w:eastAsia="宋体" w:cstheme="minorBidi"/>
              <w:i w:val="0"/>
              <w:szCs w:val="22"/>
              <w:lang w:val="en-US" w:eastAsia="en-US" w:bidi="ar-SA"/>
            </w:rPr>
            <w:fldChar w:fldCharType="begin"/>
          </w:r>
          <w:r>
            <w:rPr>
              <w:rFonts w:ascii="Times New Roman" w:hAnsi="Times New Roman" w:eastAsia="宋体" w:cstheme="minorBidi"/>
              <w:i w:val="0"/>
              <w:szCs w:val="22"/>
              <w:lang w:val="en-US" w:eastAsia="en-US" w:bidi="ar-SA"/>
            </w:rPr>
            <w:instrText xml:space="preserve"> HYPERLINK \l _Toc17716 </w:instrText>
          </w:r>
          <w:r>
            <w:rPr>
              <w:rFonts w:ascii="Times New Roman" w:hAnsi="Times New Roman" w:eastAsia="宋体" w:cstheme="minorBidi"/>
              <w:i w:val="0"/>
              <w:szCs w:val="22"/>
              <w:lang w:val="en-US" w:eastAsia="en-US" w:bidi="ar-SA"/>
            </w:rPr>
            <w:fldChar w:fldCharType="separate"/>
          </w:r>
          <w:r>
            <w:rPr>
              <w:rFonts w:ascii="Times New Roman" w:hAnsi="Times New Roman"/>
            </w:rPr>
            <w:t xml:space="preserve">Figure S7. </w:t>
          </w:r>
          <w:r>
            <w:rPr>
              <w:rFonts w:hint="eastAsia" w:ascii="Times New Roman" w:hAnsi="Times New Roman"/>
            </w:rPr>
            <w:t>Network meta-analysis estimates for eligible digital psychological interventions</w:t>
          </w:r>
          <w:r>
            <w:rPr>
              <w:rFonts w:ascii="Times New Roman" w:hAnsi="Times New Roman"/>
            </w:rPr>
            <w:t>.</w:t>
          </w:r>
          <w:r>
            <w:tab/>
          </w:r>
          <w:r>
            <w:fldChar w:fldCharType="begin"/>
          </w:r>
          <w:r>
            <w:instrText xml:space="preserve"> PAGEREF _Toc17716 \h </w:instrText>
          </w:r>
          <w:r>
            <w:fldChar w:fldCharType="separate"/>
          </w:r>
          <w:r>
            <w:t>39</w:t>
          </w:r>
          <w:r>
            <w:fldChar w:fldCharType="end"/>
          </w:r>
          <w:r>
            <w:rPr>
              <w:rFonts w:ascii="Times New Roman" w:hAnsi="Times New Roman" w:eastAsia="宋体" w:cstheme="minorBidi"/>
              <w:i w:val="0"/>
              <w:szCs w:val="22"/>
              <w:lang w:val="en-US" w:eastAsia="en-US" w:bidi="ar-SA"/>
            </w:rPr>
            <w:fldChar w:fldCharType="end"/>
          </w:r>
        </w:p>
        <w:p w14:paraId="78BC6862">
          <w:pPr>
            <w:jc w:val="center"/>
            <w:rPr>
              <w:rFonts w:ascii="Times New Roman" w:hAnsi="Times New Roman" w:eastAsia="宋体" w:cstheme="minorBidi"/>
              <w:i w:val="0"/>
              <w:sz w:val="20"/>
              <w:szCs w:val="22"/>
              <w:lang w:val="en-US" w:eastAsia="en-US" w:bidi="ar-SA"/>
            </w:rPr>
          </w:pPr>
          <w:r>
            <w:rPr>
              <w:rFonts w:ascii="Times New Roman" w:hAnsi="Times New Roman" w:eastAsia="宋体" w:cstheme="minorBidi"/>
              <w:i w:val="0"/>
              <w:szCs w:val="22"/>
              <w:lang w:val="en-US" w:eastAsia="en-US" w:bidi="ar-SA"/>
            </w:rPr>
            <w:fldChar w:fldCharType="end"/>
          </w:r>
        </w:p>
      </w:sdtContent>
    </w:sdt>
    <w:p w14:paraId="4864F631">
      <w:pPr>
        <w:jc w:val="center"/>
        <w:rPr>
          <w:rFonts w:ascii="Times New Roman" w:hAnsi="Times New Roman" w:eastAsia="宋体" w:cstheme="minorBidi"/>
          <w:i w:val="0"/>
          <w:sz w:val="20"/>
          <w:szCs w:val="22"/>
          <w:lang w:val="en-US" w:eastAsia="en-US" w:bidi="ar-SA"/>
        </w:rPr>
      </w:pPr>
    </w:p>
    <w:p w14:paraId="53828C5B">
      <w:pPr>
        <w:pStyle w:val="3"/>
        <w:keepNext/>
        <w:rPr>
          <w:rFonts w:ascii="Times New Roman" w:hAnsi="Times New Roman" w:eastAsia="宋体"/>
          <w:b/>
          <w:i w:val="0"/>
          <w:sz w:val="20"/>
        </w:rPr>
        <w:sectPr>
          <w:footerReference r:id="rId5" w:type="default"/>
          <w:pgSz w:w="15840" w:h="12240" w:orient="landscape"/>
          <w:pgMar w:top="1440" w:right="1440" w:bottom="1440" w:left="1440" w:header="709" w:footer="709" w:gutter="0"/>
          <w:pgBorders>
            <w:top w:val="none" w:sz="0" w:space="0"/>
            <w:left w:val="none" w:sz="0" w:space="0"/>
            <w:bottom w:val="none" w:sz="0" w:space="0"/>
            <w:right w:val="none" w:sz="0" w:space="0"/>
          </w:pgBorders>
          <w:cols w:space="720" w:num="1"/>
          <w:docGrid w:linePitch="360" w:charSpace="0"/>
        </w:sectPr>
      </w:pPr>
    </w:p>
    <w:p w14:paraId="51DABF1B">
      <w:pPr>
        <w:pStyle w:val="3"/>
        <w:keepNext/>
        <w:rPr>
          <w:rFonts w:ascii="Times New Roman" w:hAnsi="Times New Roman"/>
        </w:rPr>
      </w:pPr>
      <w:bookmarkStart w:id="0" w:name="_Toc11948"/>
      <w:r>
        <w:rPr>
          <w:rFonts w:ascii="Times New Roman" w:hAnsi="Times New Roman" w:eastAsia="宋体"/>
          <w:b/>
          <w:i w:val="0"/>
          <w:sz w:val="20"/>
        </w:rPr>
        <w:t>Supplementary Tables</w:t>
      </w:r>
      <w:bookmarkEnd w:id="0"/>
    </w:p>
    <w:p w14:paraId="605CCE3B">
      <w:pPr>
        <w:pStyle w:val="4"/>
        <w:bidi w:val="0"/>
        <w:rPr>
          <w:rFonts w:ascii="Times New Roman" w:hAnsi="Times New Roman"/>
        </w:rPr>
      </w:pPr>
      <w:bookmarkStart w:id="1" w:name="_Toc13554"/>
      <w:r>
        <w:rPr>
          <w:rFonts w:ascii="Times New Roman" w:hAnsi="Times New Roman"/>
        </w:rPr>
        <w:t>Supplementary Table S1. Search strategies and retrieval counts</w:t>
      </w:r>
      <w:bookmarkEnd w:id="1"/>
    </w:p>
    <w:p w14:paraId="19379EE6">
      <w:pPr>
        <w:rPr>
          <w:rFonts w:ascii="Times New Roman" w:hAnsi="Times New Roman"/>
        </w:rPr>
      </w:pPr>
      <w:r>
        <w:rPr>
          <w:rFonts w:ascii="Times New Roman" w:hAnsi="Times New Roman" w:eastAsia="宋体"/>
          <w:b w:val="0"/>
          <w:i w:val="0"/>
          <w:sz w:val="20"/>
        </w:rPr>
        <w:t>Searches were conducted without date or language restrictions and were completed on 15 July 2026. Search strategies were adapted to each database and records were exported before deduplication.</w:t>
      </w:r>
    </w:p>
    <w:tbl>
      <w:tblPr>
        <w:tblStyle w:val="35"/>
        <w:tblW w:w="5000" w:type="pct"/>
        <w:jc w:val="center"/>
        <w:tblLayout w:type="autofit"/>
        <w:tblCellMar>
          <w:top w:w="0" w:type="dxa"/>
          <w:left w:w="108" w:type="dxa"/>
          <w:bottom w:w="0" w:type="dxa"/>
          <w:right w:w="108" w:type="dxa"/>
        </w:tblCellMar>
      </w:tblPr>
      <w:tblGrid>
        <w:gridCol w:w="1147"/>
        <w:gridCol w:w="11253"/>
        <w:gridCol w:w="650"/>
      </w:tblGrid>
      <w:tr w14:paraId="7E187FBF">
        <w:tblPrEx>
          <w:tblCellMar>
            <w:top w:w="0" w:type="dxa"/>
            <w:left w:w="108" w:type="dxa"/>
            <w:bottom w:w="0" w:type="dxa"/>
            <w:right w:w="108" w:type="dxa"/>
          </w:tblCellMar>
        </w:tblPrEx>
        <w:trPr>
          <w:cantSplit/>
          <w:tblHeader/>
          <w:jc w:val="center"/>
        </w:trPr>
        <w:tc>
          <w:tcPr>
            <w:tcW w:w="460" w:type="pct"/>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6A544D2E">
            <w:pPr>
              <w:spacing w:before="0" w:after="0" w:line="240" w:lineRule="auto"/>
              <w:jc w:val="center"/>
              <w:rPr>
                <w:rFonts w:ascii="Times New Roman" w:hAnsi="Times New Roman"/>
                <w:sz w:val="16"/>
                <w:szCs w:val="16"/>
              </w:rPr>
            </w:pPr>
            <w:r>
              <w:rPr>
                <w:rFonts w:ascii="Times New Roman" w:hAnsi="Times New Roman" w:eastAsia="宋体"/>
                <w:b/>
                <w:sz w:val="16"/>
                <w:szCs w:val="16"/>
              </w:rPr>
              <w:t>Database</w:t>
            </w:r>
          </w:p>
        </w:tc>
        <w:tc>
          <w:tcPr>
            <w:tcW w:w="4331" w:type="pct"/>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47767F7B">
            <w:pPr>
              <w:spacing w:before="0" w:after="0" w:line="240" w:lineRule="auto"/>
              <w:jc w:val="center"/>
              <w:rPr>
                <w:rFonts w:ascii="Times New Roman" w:hAnsi="Times New Roman"/>
                <w:sz w:val="16"/>
                <w:szCs w:val="16"/>
              </w:rPr>
            </w:pPr>
            <w:r>
              <w:rPr>
                <w:rFonts w:ascii="Times New Roman" w:hAnsi="Times New Roman" w:eastAsia="宋体"/>
                <w:b/>
                <w:sz w:val="16"/>
                <w:szCs w:val="16"/>
              </w:rPr>
              <w:t>Complete search strategy</w:t>
            </w:r>
          </w:p>
        </w:tc>
        <w:tc>
          <w:tcPr>
            <w:tcW w:w="208" w:type="pct"/>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278ECE93">
            <w:pPr>
              <w:spacing w:before="0" w:after="0" w:line="240" w:lineRule="auto"/>
              <w:jc w:val="center"/>
              <w:rPr>
                <w:rFonts w:ascii="Times New Roman" w:hAnsi="Times New Roman"/>
                <w:sz w:val="16"/>
                <w:szCs w:val="16"/>
              </w:rPr>
            </w:pPr>
            <w:r>
              <w:rPr>
                <w:rFonts w:ascii="Times New Roman" w:hAnsi="Times New Roman" w:eastAsia="宋体"/>
                <w:b/>
                <w:sz w:val="16"/>
                <w:szCs w:val="16"/>
              </w:rPr>
              <w:t>Records</w:t>
            </w:r>
          </w:p>
        </w:tc>
      </w:tr>
      <w:tr w14:paraId="501E8B03">
        <w:tblPrEx>
          <w:tblCellMar>
            <w:top w:w="0" w:type="dxa"/>
            <w:left w:w="108" w:type="dxa"/>
            <w:bottom w:w="0" w:type="dxa"/>
            <w:right w:w="108" w:type="dxa"/>
          </w:tblCellMar>
        </w:tblPrEx>
        <w:trPr>
          <w:jc w:val="center"/>
        </w:trPr>
        <w:tc>
          <w:tcPr>
            <w:tcW w:w="460" w:type="pct"/>
            <w:tcBorders>
              <w:top w:val="nil"/>
              <w:left w:val="nil"/>
              <w:bottom w:val="nil"/>
              <w:right w:val="nil"/>
              <w:insideH w:val="nil"/>
              <w:insideV w:val="nil"/>
            </w:tcBorders>
            <w:tcMar>
              <w:top w:w="45" w:type="dxa"/>
              <w:left w:w="45" w:type="dxa"/>
              <w:bottom w:w="45" w:type="dxa"/>
              <w:right w:w="45" w:type="dxa"/>
            </w:tcMar>
            <w:vAlign w:val="center"/>
          </w:tcPr>
          <w:p w14:paraId="5436C729">
            <w:pPr>
              <w:spacing w:before="0" w:after="0" w:line="216" w:lineRule="auto"/>
              <w:rPr>
                <w:rFonts w:ascii="Times New Roman" w:hAnsi="Times New Roman"/>
                <w:sz w:val="16"/>
                <w:szCs w:val="16"/>
              </w:rPr>
            </w:pPr>
            <w:r>
              <w:rPr>
                <w:rFonts w:ascii="Times New Roman" w:hAnsi="Times New Roman" w:eastAsia="宋体"/>
                <w:b w:val="0"/>
                <w:sz w:val="16"/>
                <w:szCs w:val="16"/>
              </w:rPr>
              <w:t>PubMed</w:t>
            </w:r>
          </w:p>
        </w:tc>
        <w:tc>
          <w:tcPr>
            <w:tcW w:w="4331" w:type="pct"/>
            <w:tcBorders>
              <w:top w:val="nil"/>
              <w:left w:val="nil"/>
              <w:bottom w:val="nil"/>
              <w:right w:val="nil"/>
              <w:insideH w:val="nil"/>
              <w:insideV w:val="nil"/>
            </w:tcBorders>
            <w:tcMar>
              <w:top w:w="45" w:type="dxa"/>
              <w:left w:w="45" w:type="dxa"/>
              <w:bottom w:w="45" w:type="dxa"/>
              <w:right w:w="45" w:type="dxa"/>
            </w:tcMar>
            <w:vAlign w:val="center"/>
          </w:tcPr>
          <w:p w14:paraId="27D7BDD6">
            <w:pPr>
              <w:spacing w:before="0" w:after="0" w:line="216" w:lineRule="auto"/>
              <w:rPr>
                <w:rFonts w:ascii="Times New Roman" w:hAnsi="Times New Roman"/>
                <w:sz w:val="16"/>
                <w:szCs w:val="16"/>
              </w:rPr>
            </w:pPr>
            <w:r>
              <w:rPr>
                <w:rFonts w:ascii="Times New Roman" w:hAnsi="Times New Roman" w:eastAsia="宋体"/>
                <w:b w:val="0"/>
                <w:sz w:val="16"/>
                <w:szCs w:val="16"/>
              </w:rPr>
              <w:t>(</w:t>
            </w:r>
            <w:r>
              <w:rPr>
                <w:rFonts w:ascii="Times New Roman" w:hAnsi="Times New Roman" w:eastAsia="宋体"/>
                <w:b w:val="0"/>
                <w:sz w:val="16"/>
                <w:szCs w:val="16"/>
              </w:rPr>
              <w:br w:type="textWrapping"/>
            </w:r>
            <w:r>
              <w:rPr>
                <w:rFonts w:ascii="Times New Roman" w:hAnsi="Times New Roman" w:eastAsia="宋体"/>
                <w:b w:val="0"/>
                <w:sz w:val="16"/>
                <w:szCs w:val="16"/>
              </w:rPr>
              <w:t>adolescen*[tiab] OR teen*[tiab] OR youth*[tiab] OR child*[tiab] OR children[tiab] OR juvenile*[tiab] OR student*[tiab] OR undergraduate*[tiab] OR pediatric*[tiab] OR paediatric*[tiab] OR girl*[tiab] OR boy*[tiab] OR kids[tiab] OR highschool*[tiab] OR "young adult"[tiab] OR "young adults"[tiab] OR "young people"[tiab] OR "young person"[tiab] OR "young persons"[tiab] OR "college student"[tiab] OR "college students"[tiab] OR "university student"[tiab] OR "university students"[tiab] OR "high school"[tiab] OR "high schools"[tiab] OR "secondary school"[tiab] OR "secondary schools"[tiab]</w:t>
            </w:r>
            <w:r>
              <w:rPr>
                <w:rFonts w:ascii="Times New Roman" w:hAnsi="Times New Roman" w:eastAsia="宋体"/>
                <w:b w:val="0"/>
                <w:sz w:val="16"/>
                <w:szCs w:val="16"/>
              </w:rPr>
              <w:br w:type="textWrapping"/>
            </w:r>
            <w:r>
              <w:rPr>
                <w:rFonts w:ascii="Times New Roman" w:hAnsi="Times New Roman" w:eastAsia="宋体"/>
                <w:b w:val="0"/>
                <w:sz w:val="16"/>
                <w:szCs w:val="16"/>
              </w:rPr>
              <w:t>OR "Child"[Mesh] OR "Adolescent"[Mesh] OR "Young Adult"[Mesh] OR "Students"[Mesh]</w:t>
            </w:r>
            <w:r>
              <w:rPr>
                <w:rFonts w:ascii="Times New Roman" w:hAnsi="Times New Roman" w:eastAsia="宋体"/>
                <w:b w:val="0"/>
                <w:sz w:val="16"/>
                <w:szCs w:val="16"/>
              </w:rPr>
              <w:br w:type="textWrapping"/>
            </w:r>
            <w:r>
              <w:rPr>
                <w:rFonts w:ascii="Times New Roman" w:hAnsi="Times New Roman" w:eastAsia="宋体"/>
                <w:b w:val="0"/>
                <w:sz w:val="16"/>
                <w:szCs w:val="16"/>
              </w:rPr>
              <w:t>)</w:t>
            </w:r>
            <w:r>
              <w:rPr>
                <w:rFonts w:ascii="Times New Roman" w:hAnsi="Times New Roman" w:eastAsia="宋体"/>
                <w:b w:val="0"/>
                <w:sz w:val="16"/>
                <w:szCs w:val="16"/>
              </w:rPr>
              <w:br w:type="textWrapping"/>
            </w:r>
            <w:r>
              <w:rPr>
                <w:rFonts w:ascii="Times New Roman" w:hAnsi="Times New Roman" w:eastAsia="宋体"/>
                <w:b w:val="0"/>
                <w:sz w:val="16"/>
                <w:szCs w:val="16"/>
              </w:rPr>
              <w:t>AND</w:t>
            </w:r>
            <w:r>
              <w:rPr>
                <w:rFonts w:ascii="Times New Roman" w:hAnsi="Times New Roman" w:eastAsia="宋体"/>
                <w:b w:val="0"/>
                <w:sz w:val="16"/>
                <w:szCs w:val="16"/>
              </w:rPr>
              <w:br w:type="textWrapping"/>
            </w:r>
            <w:r>
              <w:rPr>
                <w:rFonts w:ascii="Times New Roman" w:hAnsi="Times New Roman" w:eastAsia="宋体"/>
                <w:b w:val="0"/>
                <w:sz w:val="16"/>
                <w:szCs w:val="16"/>
              </w:rPr>
              <w:t>(</w:t>
            </w:r>
            <w:r>
              <w:rPr>
                <w:rFonts w:ascii="Times New Roman" w:hAnsi="Times New Roman" w:eastAsia="宋体"/>
                <w:b w:val="0"/>
                <w:sz w:val="16"/>
                <w:szCs w:val="16"/>
              </w:rPr>
              <w:br w:type="textWrapping"/>
            </w:r>
            <w:r>
              <w:rPr>
                <w:rFonts w:ascii="Times New Roman" w:hAnsi="Times New Roman" w:eastAsia="宋体"/>
                <w:b w:val="0"/>
                <w:sz w:val="16"/>
                <w:szCs w:val="16"/>
              </w:rPr>
              <w:t>depress*[tiab] OR "depressive symptom"[tiab] OR "depressive symptoms"[tiab] OR "depressive disorder"[tiab] OR "depressive disorders"[tiab] OR "major depressive disorder"[tiab] OR MDD[tiab] OR dysthymi*[tiab] OR "persistent depressive disorder"[tiab] OR "subthreshold depression"[tiab] OR "subthreshold depressive"[tiab] OR "subclinical depression"[tiab] OR "subclinical depressive"[tiab] OR "mood disorder"[tiab] OR "mood disorders"[tiab] OR "affective disorder"[tiab] OR "affective disorders"[tiab] OR internalizing[tiab] OR internalising[tiab]</w:t>
            </w:r>
            <w:r>
              <w:rPr>
                <w:rFonts w:ascii="Times New Roman" w:hAnsi="Times New Roman" w:eastAsia="宋体"/>
                <w:b w:val="0"/>
                <w:sz w:val="16"/>
                <w:szCs w:val="16"/>
              </w:rPr>
              <w:br w:type="textWrapping"/>
            </w:r>
            <w:r>
              <w:rPr>
                <w:rFonts w:ascii="Times New Roman" w:hAnsi="Times New Roman" w:eastAsia="宋体"/>
                <w:b w:val="0"/>
                <w:sz w:val="16"/>
                <w:szCs w:val="16"/>
              </w:rPr>
              <w:t>OR "Depression"[Mesh] OR "Depressive Disorder"[Mesh] OR "Mood Disorders"[Mesh]</w:t>
            </w:r>
            <w:r>
              <w:rPr>
                <w:rFonts w:ascii="Times New Roman" w:hAnsi="Times New Roman" w:eastAsia="宋体"/>
                <w:b w:val="0"/>
                <w:sz w:val="16"/>
                <w:szCs w:val="16"/>
              </w:rPr>
              <w:br w:type="textWrapping"/>
            </w:r>
            <w:r>
              <w:rPr>
                <w:rFonts w:ascii="Times New Roman" w:hAnsi="Times New Roman" w:eastAsia="宋体"/>
                <w:b w:val="0"/>
                <w:sz w:val="16"/>
                <w:szCs w:val="16"/>
              </w:rPr>
              <w:t>)</w:t>
            </w:r>
            <w:r>
              <w:rPr>
                <w:rFonts w:ascii="Times New Roman" w:hAnsi="Times New Roman" w:eastAsia="宋体"/>
                <w:b w:val="0"/>
                <w:sz w:val="16"/>
                <w:szCs w:val="16"/>
              </w:rPr>
              <w:br w:type="textWrapping"/>
            </w:r>
            <w:r>
              <w:rPr>
                <w:rFonts w:ascii="Times New Roman" w:hAnsi="Times New Roman" w:eastAsia="宋体"/>
                <w:b w:val="0"/>
                <w:sz w:val="16"/>
                <w:szCs w:val="16"/>
              </w:rPr>
              <w:t>AND</w:t>
            </w:r>
            <w:r>
              <w:rPr>
                <w:rFonts w:ascii="Times New Roman" w:hAnsi="Times New Roman" w:eastAsia="宋体"/>
                <w:b w:val="0"/>
                <w:sz w:val="16"/>
                <w:szCs w:val="16"/>
              </w:rPr>
              <w:br w:type="textWrapping"/>
            </w:r>
            <w:r>
              <w:rPr>
                <w:rFonts w:ascii="Times New Roman" w:hAnsi="Times New Roman" w:eastAsia="宋体"/>
                <w:b w:val="0"/>
                <w:sz w:val="16"/>
                <w:szCs w:val="16"/>
              </w:rPr>
              <w:t>(</w:t>
            </w:r>
            <w:r>
              <w:rPr>
                <w:rFonts w:ascii="Times New Roman" w:hAnsi="Times New Roman" w:eastAsia="宋体"/>
                <w:b w:val="0"/>
                <w:sz w:val="16"/>
                <w:szCs w:val="16"/>
              </w:rPr>
              <w:br w:type="textWrapping"/>
            </w:r>
            <w:r>
              <w:rPr>
                <w:rFonts w:ascii="Times New Roman" w:hAnsi="Times New Roman" w:eastAsia="宋体"/>
                <w:b w:val="0"/>
                <w:sz w:val="16"/>
                <w:szCs w:val="16"/>
              </w:rPr>
              <w:t>(</w:t>
            </w:r>
            <w:r>
              <w:rPr>
                <w:rFonts w:ascii="Times New Roman" w:hAnsi="Times New Roman" w:eastAsia="宋体"/>
                <w:b w:val="0"/>
                <w:sz w:val="16"/>
                <w:szCs w:val="16"/>
              </w:rPr>
              <w:br w:type="textWrapping"/>
            </w:r>
            <w:r>
              <w:rPr>
                <w:rFonts w:ascii="Times New Roman" w:hAnsi="Times New Roman" w:eastAsia="宋体"/>
                <w:b w:val="0"/>
                <w:sz w:val="16"/>
                <w:szCs w:val="16"/>
              </w:rPr>
              <w:t>(</w:t>
            </w:r>
            <w:r>
              <w:rPr>
                <w:rFonts w:ascii="Times New Roman" w:hAnsi="Times New Roman" w:eastAsia="宋体"/>
                <w:b w:val="0"/>
                <w:sz w:val="16"/>
                <w:szCs w:val="16"/>
              </w:rPr>
              <w:br w:type="textWrapping"/>
            </w:r>
            <w:r>
              <w:rPr>
                <w:rFonts w:ascii="Times New Roman" w:hAnsi="Times New Roman" w:eastAsia="宋体"/>
                <w:b w:val="0"/>
                <w:sz w:val="16"/>
                <w:szCs w:val="16"/>
              </w:rPr>
              <w:t>digital[tiab] OR online[tiab] OR internet*[tiab] OR web*[tiab] OR website*[tiab] OR computerized[tiab] OR computerised[tiab] OR computer*[tiab] OR "computer-based"[tiab] OR "computer-assisted"[tiab] OR electronic[tiab] OR eHealth[tiab] OR "e-health"[tiab] OR mHealth[tiab] OR "m-health"[tiab] OR mobile*[tiab] OR smartphone*[tiab] OR "smart phone"[tiab] OR "smart phones"[tiab] OR "mobile phone"[tiab] OR "mobile phones"[tiab] OR app[tiab] OR apps[tiab] OR application*[tiab] OR "mobile application"[tiab] OR "mobile applications"[tiab] OR "mobile app"[tiab] OR "mobile apps"[tiab] OR "app-based"[tiab] OR "mobile-based"[tiab] OR email[tiab] OR "e-mail"[tiab] OR videoconferenc*[tiab] OR "video conferenc*"[tiab] OR "social media"[tiab] OR software[tiab] OR telemedicine[tiab] OR "telemental health"[tiab] OR messaging[tiab] OR "text message"[tiab] OR "text messages"[tiab] OR texting[tiab] OR SMS[tiab] OR chatbot*[tiab] OR "conversational agent"[tiab] OR "conversational agents"[tiab] OR "virtual reality"[tiab] OR VR[tiab] OR "serious game"[tiab] OR "serious games"[tiab] OR gamif*[tiab]</w:t>
            </w:r>
            <w:r>
              <w:rPr>
                <w:rFonts w:ascii="Times New Roman" w:hAnsi="Times New Roman" w:eastAsia="宋体"/>
                <w:b w:val="0"/>
                <w:sz w:val="16"/>
                <w:szCs w:val="16"/>
              </w:rPr>
              <w:br w:type="textWrapping"/>
            </w:r>
            <w:r>
              <w:rPr>
                <w:rFonts w:ascii="Times New Roman" w:hAnsi="Times New Roman" w:eastAsia="宋体"/>
                <w:b w:val="0"/>
                <w:sz w:val="16"/>
                <w:szCs w:val="16"/>
              </w:rPr>
              <w:t>OR "Internet"[Mesh] OR "Mobile Applications"[Mesh] OR "Telemedicine"[Mesh] OR "Text Messaging"[Mesh] OR "Virtual Reality"[Mesh] OR "Computer-Assisted Therapy"[Mesh]</w:t>
            </w:r>
            <w:r>
              <w:rPr>
                <w:rFonts w:ascii="Times New Roman" w:hAnsi="Times New Roman" w:eastAsia="宋体"/>
                <w:b w:val="0"/>
                <w:sz w:val="16"/>
                <w:szCs w:val="16"/>
              </w:rPr>
              <w:br w:type="textWrapping"/>
            </w:r>
            <w:r>
              <w:rPr>
                <w:rFonts w:ascii="Times New Roman" w:hAnsi="Times New Roman" w:eastAsia="宋体"/>
                <w:b w:val="0"/>
                <w:sz w:val="16"/>
                <w:szCs w:val="16"/>
              </w:rPr>
              <w:t>)</w:t>
            </w:r>
            <w:r>
              <w:rPr>
                <w:rFonts w:ascii="Times New Roman" w:hAnsi="Times New Roman" w:eastAsia="宋体"/>
                <w:b w:val="0"/>
                <w:sz w:val="16"/>
                <w:szCs w:val="16"/>
              </w:rPr>
              <w:br w:type="textWrapping"/>
            </w:r>
            <w:r>
              <w:rPr>
                <w:rFonts w:ascii="Times New Roman" w:hAnsi="Times New Roman" w:eastAsia="宋体"/>
                <w:b w:val="0"/>
                <w:sz w:val="16"/>
                <w:szCs w:val="16"/>
              </w:rPr>
              <w:t>AND</w:t>
            </w:r>
            <w:r>
              <w:rPr>
                <w:rFonts w:ascii="Times New Roman" w:hAnsi="Times New Roman" w:eastAsia="宋体"/>
                <w:b w:val="0"/>
                <w:sz w:val="16"/>
                <w:szCs w:val="16"/>
              </w:rPr>
              <w:br w:type="textWrapping"/>
            </w:r>
            <w:r>
              <w:rPr>
                <w:rFonts w:ascii="Times New Roman" w:hAnsi="Times New Roman" w:eastAsia="宋体"/>
                <w:b w:val="0"/>
                <w:sz w:val="16"/>
                <w:szCs w:val="16"/>
              </w:rPr>
              <w:t>(</w:t>
            </w:r>
            <w:r>
              <w:rPr>
                <w:rFonts w:ascii="Times New Roman" w:hAnsi="Times New Roman" w:eastAsia="宋体"/>
                <w:b w:val="0"/>
                <w:sz w:val="16"/>
                <w:szCs w:val="16"/>
              </w:rPr>
              <w:br w:type="textWrapping"/>
            </w:r>
            <w:r>
              <w:rPr>
                <w:rFonts w:ascii="Times New Roman" w:hAnsi="Times New Roman" w:eastAsia="宋体"/>
                <w:b w:val="0"/>
                <w:sz w:val="16"/>
                <w:szCs w:val="16"/>
              </w:rPr>
              <w:t>intervention*[tiab] OR treatment*[tiab] OR therap*[tiab] OR psychotherap*[tiab] OR "psychological intervention"[tiab] OR "psychological interventions"[tiab] OR CBT[tiab] OR iCBT[tiab] OR cCBT[tiab] OR dCBT[tiab] OR "cognitive behavio*"[tiab] OR mindfulness[tiab] OR psychoeducation*[tiab] OR "self-help"[tiab] OR "self-guided"[tiab] OR "problem-solving"[tiab] OR "problem solving"[tiab] OR "acceptance and commitment"[tiab] OR "dialectical behavior"[tiab] OR "dialectical behaviour"[tiab] OR DBT[tiab] OR "behavioral activation"[tiab] OR "behavioural activation"[tiab]</w:t>
            </w:r>
            <w:r>
              <w:rPr>
                <w:rFonts w:ascii="Times New Roman" w:hAnsi="Times New Roman" w:eastAsia="宋体"/>
                <w:b w:val="0"/>
                <w:sz w:val="16"/>
                <w:szCs w:val="16"/>
              </w:rPr>
              <w:br w:type="textWrapping"/>
            </w:r>
            <w:r>
              <w:rPr>
                <w:rFonts w:ascii="Times New Roman" w:hAnsi="Times New Roman" w:eastAsia="宋体"/>
                <w:b w:val="0"/>
                <w:sz w:val="16"/>
                <w:szCs w:val="16"/>
              </w:rPr>
              <w:t>OR "Psychotherapy"[Mesh] OR "Cognitive Behavioral Therapy"[Mesh] OR "Behavior Therapy"[Mesh] OR "Mindfulness"[Mesh] OR "Self-Help Groups"[Mesh]</w:t>
            </w:r>
            <w:r>
              <w:rPr>
                <w:rFonts w:ascii="Times New Roman" w:hAnsi="Times New Roman" w:eastAsia="宋体"/>
                <w:b w:val="0"/>
                <w:sz w:val="16"/>
                <w:szCs w:val="16"/>
              </w:rPr>
              <w:br w:type="textWrapping"/>
            </w:r>
            <w:r>
              <w:rPr>
                <w:rFonts w:ascii="Times New Roman" w:hAnsi="Times New Roman" w:eastAsia="宋体"/>
                <w:b w:val="0"/>
                <w:sz w:val="16"/>
                <w:szCs w:val="16"/>
              </w:rPr>
              <w:t>)</w:t>
            </w:r>
            <w:r>
              <w:rPr>
                <w:rFonts w:ascii="Times New Roman" w:hAnsi="Times New Roman" w:eastAsia="宋体"/>
                <w:b w:val="0"/>
                <w:sz w:val="16"/>
                <w:szCs w:val="16"/>
              </w:rPr>
              <w:br w:type="textWrapping"/>
            </w:r>
            <w:r>
              <w:rPr>
                <w:rFonts w:ascii="Times New Roman" w:hAnsi="Times New Roman" w:eastAsia="宋体"/>
                <w:b w:val="0"/>
                <w:sz w:val="16"/>
                <w:szCs w:val="16"/>
              </w:rPr>
              <w:t>)</w:t>
            </w:r>
            <w:r>
              <w:rPr>
                <w:rFonts w:ascii="Times New Roman" w:hAnsi="Times New Roman" w:eastAsia="宋体"/>
                <w:b w:val="0"/>
                <w:sz w:val="16"/>
                <w:szCs w:val="16"/>
              </w:rPr>
              <w:br w:type="textWrapping"/>
            </w:r>
            <w:r>
              <w:rPr>
                <w:rFonts w:ascii="Times New Roman" w:hAnsi="Times New Roman" w:eastAsia="宋体"/>
                <w:b w:val="0"/>
                <w:sz w:val="16"/>
                <w:szCs w:val="16"/>
              </w:rPr>
              <w:t>OR</w:t>
            </w:r>
            <w:r>
              <w:rPr>
                <w:rFonts w:ascii="Times New Roman" w:hAnsi="Times New Roman" w:eastAsia="宋体"/>
                <w:b w:val="0"/>
                <w:sz w:val="16"/>
                <w:szCs w:val="16"/>
              </w:rPr>
              <w:br w:type="textWrapping"/>
            </w:r>
            <w:r>
              <w:rPr>
                <w:rFonts w:ascii="Times New Roman" w:hAnsi="Times New Roman" w:eastAsia="宋体"/>
                <w:b w:val="0"/>
                <w:sz w:val="16"/>
                <w:szCs w:val="16"/>
              </w:rPr>
              <w:t>"online intervention"[tiab] OR "online interventions"[tiab] OR "digital intervention"[tiab] OR "digital interventions"[tiab] OR "internet intervention"[tiab] OR "internet interventions"[tiab] OR "internet-based intervention"[tiab] OR "internet-based interventions"[tiab] OR "internet-delivered intervention"[tiab] OR "internet-delivered interventions"[tiab] OR "web-based intervention"[tiab] OR "web-based interventions"[tiab] OR "mobile intervention"[tiab] OR "mobile interventions"[tiab] OR "app-based intervention"[tiab] OR "app-based interventions"[tiab] OR "online psychotherapy"[tiab] OR "online psychological intervention"[tiab] OR "online psychological interventions"[tiab] OR "digital psychological intervention"[tiab] OR "digital psychological interventions"[tiab] OR "computer-assisted intervention"[tiab] OR "computer-assisted interventions"[tiab] OR "technology-delivered intervention"[tiab] OR "technology-delivered interventions"[tiab] OR "technology-based intervention"[tiab] OR "technology-based interventions"[tiab] OR iCBT[tiab] OR cCBT[tiab] OR dCBT[tiab] OR "digital CBT"[tiab] OR "internet-based CBT"[tiab] OR "computerized CBT"[tiab] OR "computerised CBT"[tiab] OR "mobile-based CBT"[tiab]</w:t>
            </w:r>
            <w:r>
              <w:rPr>
                <w:rFonts w:ascii="Times New Roman" w:hAnsi="Times New Roman" w:eastAsia="宋体"/>
                <w:b w:val="0"/>
                <w:sz w:val="16"/>
                <w:szCs w:val="16"/>
              </w:rPr>
              <w:br w:type="textWrapping"/>
            </w:r>
            <w:r>
              <w:rPr>
                <w:rFonts w:ascii="Times New Roman" w:hAnsi="Times New Roman" w:eastAsia="宋体"/>
                <w:b w:val="0"/>
                <w:sz w:val="16"/>
                <w:szCs w:val="16"/>
              </w:rPr>
              <w:t>)</w:t>
            </w:r>
            <w:r>
              <w:rPr>
                <w:rFonts w:ascii="Times New Roman" w:hAnsi="Times New Roman" w:eastAsia="宋体"/>
                <w:b w:val="0"/>
                <w:sz w:val="16"/>
                <w:szCs w:val="16"/>
              </w:rPr>
              <w:br w:type="textWrapping"/>
            </w:r>
            <w:r>
              <w:rPr>
                <w:rFonts w:ascii="Times New Roman" w:hAnsi="Times New Roman" w:eastAsia="宋体"/>
                <w:b w:val="0"/>
                <w:sz w:val="16"/>
                <w:szCs w:val="16"/>
              </w:rPr>
              <w:t>AND</w:t>
            </w:r>
            <w:r>
              <w:rPr>
                <w:rFonts w:ascii="Times New Roman" w:hAnsi="Times New Roman" w:eastAsia="宋体"/>
                <w:b w:val="0"/>
                <w:sz w:val="16"/>
                <w:szCs w:val="16"/>
              </w:rPr>
              <w:br w:type="textWrapping"/>
            </w:r>
            <w:r>
              <w:rPr>
                <w:rFonts w:ascii="Times New Roman" w:hAnsi="Times New Roman" w:eastAsia="宋体"/>
                <w:b w:val="0"/>
                <w:sz w:val="16"/>
                <w:szCs w:val="16"/>
              </w:rPr>
              <w:t>(</w:t>
            </w:r>
            <w:r>
              <w:rPr>
                <w:rFonts w:ascii="Times New Roman" w:hAnsi="Times New Roman" w:eastAsia="宋体"/>
                <w:b w:val="0"/>
                <w:sz w:val="16"/>
                <w:szCs w:val="16"/>
              </w:rPr>
              <w:br w:type="textWrapping"/>
            </w:r>
            <w:r>
              <w:rPr>
                <w:rFonts w:ascii="Times New Roman" w:hAnsi="Times New Roman" w:eastAsia="宋体"/>
                <w:b w:val="0"/>
                <w:sz w:val="16"/>
                <w:szCs w:val="16"/>
              </w:rPr>
              <w:t>"systematic review"[tiab] OR "systematic reviews"[tiab] OR "meta-analysis"[tiab] OR "meta analysis"[tiab] OR metaanaly*[tiab] OR "network meta-analysis"[tiab] OR "network meta analysis"[tiab] OR "umbrella review"[tiab] OR "umbrella reviews"[tiab] OR "overview of reviews"[tiab]</w:t>
            </w:r>
            <w:r>
              <w:rPr>
                <w:rFonts w:ascii="Times New Roman" w:hAnsi="Times New Roman" w:eastAsia="宋体"/>
                <w:b w:val="0"/>
                <w:sz w:val="16"/>
                <w:szCs w:val="16"/>
              </w:rPr>
              <w:br w:type="textWrapping"/>
            </w:r>
            <w:r>
              <w:rPr>
                <w:rFonts w:ascii="Times New Roman" w:hAnsi="Times New Roman" w:eastAsia="宋体"/>
                <w:b w:val="0"/>
                <w:sz w:val="16"/>
                <w:szCs w:val="16"/>
              </w:rPr>
              <w:t>OR "Systematic Review"[pt] OR "Meta-Analysis"[pt]</w:t>
            </w:r>
            <w:r>
              <w:rPr>
                <w:rFonts w:ascii="Times New Roman" w:hAnsi="Times New Roman" w:eastAsia="宋体"/>
                <w:b w:val="0"/>
                <w:sz w:val="16"/>
                <w:szCs w:val="16"/>
              </w:rPr>
              <w:br w:type="textWrapping"/>
            </w:r>
            <w:r>
              <w:rPr>
                <w:rFonts w:ascii="Times New Roman" w:hAnsi="Times New Roman" w:eastAsia="宋体"/>
                <w:b w:val="0"/>
                <w:sz w:val="16"/>
                <w:szCs w:val="16"/>
              </w:rPr>
              <w:t>)</w:t>
            </w:r>
          </w:p>
        </w:tc>
        <w:tc>
          <w:tcPr>
            <w:tcW w:w="208" w:type="pct"/>
            <w:tcBorders>
              <w:top w:val="nil"/>
              <w:left w:val="nil"/>
              <w:bottom w:val="nil"/>
              <w:right w:val="nil"/>
              <w:insideH w:val="nil"/>
              <w:insideV w:val="nil"/>
            </w:tcBorders>
            <w:tcMar>
              <w:top w:w="45" w:type="dxa"/>
              <w:left w:w="45" w:type="dxa"/>
              <w:bottom w:w="45" w:type="dxa"/>
              <w:right w:w="45" w:type="dxa"/>
            </w:tcMar>
            <w:vAlign w:val="center"/>
          </w:tcPr>
          <w:p w14:paraId="2408012F">
            <w:pPr>
              <w:spacing w:before="0" w:after="0" w:line="216" w:lineRule="auto"/>
              <w:rPr>
                <w:rFonts w:ascii="Times New Roman" w:hAnsi="Times New Roman"/>
                <w:sz w:val="16"/>
                <w:szCs w:val="16"/>
              </w:rPr>
            </w:pPr>
            <w:r>
              <w:rPr>
                <w:rFonts w:ascii="Times New Roman" w:hAnsi="Times New Roman" w:eastAsia="宋体"/>
                <w:b w:val="0"/>
                <w:sz w:val="16"/>
                <w:szCs w:val="16"/>
              </w:rPr>
              <w:t>1,874</w:t>
            </w:r>
          </w:p>
        </w:tc>
      </w:tr>
      <w:tr w14:paraId="44787AA9">
        <w:tblPrEx>
          <w:tblCellMar>
            <w:top w:w="0" w:type="dxa"/>
            <w:left w:w="108" w:type="dxa"/>
            <w:bottom w:w="0" w:type="dxa"/>
            <w:right w:w="108" w:type="dxa"/>
          </w:tblCellMar>
        </w:tblPrEx>
        <w:trPr>
          <w:jc w:val="center"/>
        </w:trPr>
        <w:tc>
          <w:tcPr>
            <w:tcW w:w="460" w:type="pct"/>
            <w:tcBorders>
              <w:top w:val="nil"/>
              <w:left w:val="nil"/>
              <w:bottom w:val="nil"/>
              <w:right w:val="nil"/>
              <w:insideH w:val="nil"/>
              <w:insideV w:val="nil"/>
            </w:tcBorders>
            <w:tcMar>
              <w:top w:w="45" w:type="dxa"/>
              <w:left w:w="45" w:type="dxa"/>
              <w:bottom w:w="45" w:type="dxa"/>
              <w:right w:w="45" w:type="dxa"/>
            </w:tcMar>
            <w:vAlign w:val="center"/>
          </w:tcPr>
          <w:p w14:paraId="34A574FE">
            <w:pPr>
              <w:spacing w:before="0" w:after="0" w:line="216" w:lineRule="auto"/>
              <w:rPr>
                <w:rFonts w:ascii="Times New Roman" w:hAnsi="Times New Roman"/>
                <w:sz w:val="16"/>
                <w:szCs w:val="16"/>
              </w:rPr>
            </w:pPr>
            <w:r>
              <w:rPr>
                <w:rFonts w:ascii="Times New Roman" w:hAnsi="Times New Roman" w:eastAsia="宋体"/>
                <w:b w:val="0"/>
                <w:sz w:val="16"/>
                <w:szCs w:val="16"/>
              </w:rPr>
              <w:t>Embase</w:t>
            </w:r>
          </w:p>
        </w:tc>
        <w:tc>
          <w:tcPr>
            <w:tcW w:w="4331" w:type="pct"/>
            <w:tcBorders>
              <w:top w:val="nil"/>
              <w:left w:val="nil"/>
              <w:bottom w:val="nil"/>
              <w:right w:val="nil"/>
              <w:insideH w:val="nil"/>
              <w:insideV w:val="nil"/>
            </w:tcBorders>
            <w:tcMar>
              <w:top w:w="45" w:type="dxa"/>
              <w:left w:w="45" w:type="dxa"/>
              <w:bottom w:w="45" w:type="dxa"/>
              <w:right w:w="45" w:type="dxa"/>
            </w:tcMar>
            <w:vAlign w:val="center"/>
          </w:tcPr>
          <w:p w14:paraId="0C540009">
            <w:pPr>
              <w:spacing w:before="0" w:after="0" w:line="216" w:lineRule="auto"/>
              <w:rPr>
                <w:rFonts w:ascii="Times New Roman" w:hAnsi="Times New Roman"/>
                <w:sz w:val="16"/>
                <w:szCs w:val="16"/>
              </w:rPr>
            </w:pPr>
            <w:r>
              <w:rPr>
                <w:rFonts w:ascii="Times New Roman" w:hAnsi="Times New Roman" w:eastAsia="宋体"/>
                <w:b w:val="0"/>
                <w:sz w:val="16"/>
                <w:szCs w:val="16"/>
              </w:rPr>
              <w:t>#1</w:t>
            </w:r>
            <w:r>
              <w:rPr>
                <w:rFonts w:ascii="Times New Roman" w:hAnsi="Times New Roman" w:eastAsia="宋体"/>
                <w:b w:val="0"/>
                <w:sz w:val="16"/>
                <w:szCs w:val="16"/>
              </w:rPr>
              <w:br w:type="textWrapping"/>
            </w:r>
            <w:r>
              <w:rPr>
                <w:rFonts w:ascii="Times New Roman" w:hAnsi="Times New Roman" w:eastAsia="宋体"/>
                <w:b w:val="0"/>
                <w:sz w:val="16"/>
                <w:szCs w:val="16"/>
              </w:rPr>
              <w:t>'adolescent'/exp OR 'child'/exp OR 'young adult'/exp OR 'student'/exp OR adolescen*:ti,ab,kw OR teen*:ti,ab,kw OR youth*:ti,ab,kw OR child*:ti,ab,kw OR children:ti,ab,kw OR juvenil*:ti,ab,kw OR student*:ti,ab,kw OR undergraduate*:ti,ab,kw OR pediatric*:ti,ab,kw OR paediatric*:ti,ab,kw OR girl*:ti,ab,kw OR boy*:ti,ab,kw OR kids:ti,ab,kw OR highschool*:ti,ab,kw OR 'young adult*':ti,ab,kw OR 'young people':ti,ab,kw OR 'young person*':ti,ab,kw OR 'college student*':ti,ab,kw OR 'university student*':ti,ab,kw OR 'high school*':ti,ab,kw OR 'secondary school*':ti,ab,kw</w:t>
            </w:r>
            <w:r>
              <w:rPr>
                <w:rFonts w:ascii="Times New Roman" w:hAnsi="Times New Roman" w:eastAsia="宋体"/>
                <w:b w:val="0"/>
                <w:sz w:val="16"/>
                <w:szCs w:val="16"/>
              </w:rPr>
              <w:br w:type="textWrapping"/>
            </w:r>
            <w:r>
              <w:rPr>
                <w:rFonts w:ascii="Times New Roman" w:hAnsi="Times New Roman" w:eastAsia="宋体"/>
                <w:b w:val="0"/>
                <w:sz w:val="16"/>
                <w:szCs w:val="16"/>
              </w:rPr>
              <w:t>#2</w:t>
            </w:r>
            <w:r>
              <w:rPr>
                <w:rFonts w:ascii="Times New Roman" w:hAnsi="Times New Roman" w:eastAsia="宋体"/>
                <w:b w:val="0"/>
                <w:sz w:val="16"/>
                <w:szCs w:val="16"/>
              </w:rPr>
              <w:br w:type="textWrapping"/>
            </w:r>
            <w:r>
              <w:rPr>
                <w:rFonts w:ascii="Times New Roman" w:hAnsi="Times New Roman" w:eastAsia="宋体"/>
                <w:b w:val="0"/>
                <w:sz w:val="16"/>
                <w:szCs w:val="16"/>
              </w:rPr>
              <w:t>'depression'/exp OR 'major depression'/exp OR 'dysthymia'/exp OR 'mood disorder'/exp OR depress*:ti,ab,kw OR 'depressive symptom*':ti,ab,kw OR 'depressive disorder*':ti,ab,kw OR 'major depressive disorder':ti,ab,kw OR MDD:ti,ab,kw OR dysthymi*:ti,ab,kw OR 'persistent depressive disorder':ti,ab,kw OR 'subthreshold depress*':ti,ab,kw OR 'subclinical depress*':ti,ab,kw OR 'mood disorder*':ti,ab,kw OR 'affective disorder*':ti,ab,kw OR internalizing:ti,ab,kw OR internalising:ti,ab,kw</w:t>
            </w:r>
            <w:r>
              <w:rPr>
                <w:rFonts w:ascii="Times New Roman" w:hAnsi="Times New Roman" w:eastAsia="宋体"/>
                <w:b w:val="0"/>
                <w:sz w:val="16"/>
                <w:szCs w:val="16"/>
              </w:rPr>
              <w:br w:type="textWrapping"/>
            </w:r>
            <w:r>
              <w:rPr>
                <w:rFonts w:ascii="Times New Roman" w:hAnsi="Times New Roman" w:eastAsia="宋体"/>
                <w:b w:val="0"/>
                <w:sz w:val="16"/>
                <w:szCs w:val="16"/>
              </w:rPr>
              <w:t>#3</w:t>
            </w:r>
            <w:r>
              <w:rPr>
                <w:rFonts w:ascii="Times New Roman" w:hAnsi="Times New Roman" w:eastAsia="宋体"/>
                <w:b w:val="0"/>
                <w:sz w:val="16"/>
                <w:szCs w:val="16"/>
              </w:rPr>
              <w:br w:type="textWrapping"/>
            </w:r>
            <w:r>
              <w:rPr>
                <w:rFonts w:ascii="Times New Roman" w:hAnsi="Times New Roman" w:eastAsia="宋体"/>
                <w:b w:val="0"/>
                <w:sz w:val="16"/>
                <w:szCs w:val="16"/>
              </w:rPr>
              <w:t>(((digital:ti,ab,kw OR online:ti,ab,kw OR internet*:ti,ab,kw OR web*:ti,ab,kw OR website*:ti,ab,kw OR computerized:ti,ab,kw OR computerised:ti,ab,kw OR computer*:ti,ab,kw OR 'computer-based':ti,ab,kw OR 'computer-assisted':ti,ab,kw OR electronic:ti,ab,kw OR ehealth:ti,ab,kw OR 'e-health':ti,ab,kw OR mhealth:ti,ab,kw OR 'm-health':ti,ab,kw OR mobile*:ti,ab,kw OR smartphone*:ti,ab,kw OR 'smart phone*':ti,ab,kw OR 'mobile phone*':ti,ab,kw OR app:ti,ab,kw OR apps:ti,ab,kw OR application*:ti,ab,kw OR 'mobile application*':ti,ab,kw OR 'mobile app*':ti,ab,kw OR 'app-based':ti,ab,kw OR 'mobile-based':ti,ab,kw OR email:ti,ab,kw OR 'e-mail':ti,ab,kw OR videoconferenc*:ti,ab,kw OR 'video conferenc*':ti,ab,kw OR 'social media':ti,ab,kw OR software:ti,ab,kw OR telemedicine:ti,ab,kw OR 'telemental health':ti,ab,kw OR messaging:ti,ab,kw OR 'text messag*':ti,ab,kw OR texting:ti,ab,kw OR SMS:ti,ab,kw OR chatbot*:ti,ab,kw OR 'conversational agent*':ti,ab,kw OR 'virtual reality':ti,ab,kw OR VR:ti,ab,kw OR 'serious game*':ti,ab,kw OR gamif*:ti,ab,kw) AND (intervention*:ti,ab,kw OR treatment*:ti,ab,kw OR therap*:ti,ab,kw OR psychotherap*:ti,ab,kw OR 'psychological intervention*':ti,ab,kw OR CBT:ti,ab,kw OR iCBT:ti,ab,kw OR cCBT:ti,ab,kw OR dCBT:ti,ab,kw OR 'cognitive behavio*':ti,ab,kw OR mindfulness:ti,ab,kw OR psychoeducation*:ti,ab,kw OR 'self-help':ti,ab,kw OR 'self-guided':ti,ab,kw OR 'problem-solving':ti,ab,kw OR 'problem solving':ti,ab,kw OR 'acceptance and commitment':ti,ab,kw OR 'dialectical behavior*':ti,ab,kw OR 'dialectical behaviour*':ti,ab,kw OR DBT:ti,ab,kw OR 'behavioral activation':ti,ab,kw OR 'behavioural activation':ti,ab,kw)) OR 'online intervention*':ti,ab,kw OR 'digital intervention*':ti,ab,kw OR 'internet intervention*':ti,ab,kw OR 'internet-based intervention*':ti,ab,kw OR 'internet-delivered intervention*':ti,ab,kw OR 'web-based intervention*':ti,ab,kw OR 'mobile intervention*':ti,ab,kw OR 'app-based intervention*':ti,ab,kw OR 'online psychotherapy':ti,ab,kw OR 'online psychological intervention*':ti,ab,kw OR 'digital psychological intervention*':ti,ab,kw OR 'computer-assisted intervention*':ti,ab,kw OR 'technology-delivered intervention*':ti,ab,kw OR 'technology-based intervention*':ti,ab,kw OR iCBT:ti,ab,kw OR cCBT:ti,ab,kw OR dCBT:ti,ab,kw OR 'digital CBT':ti,ab,kw OR 'internet-based CBT':ti,ab,kw OR 'computerized CBT':ti,ab,kw OR 'computerised CBT':ti,ab,kw OR 'mobile-based CBT':ti,ab,kw)</w:t>
            </w:r>
            <w:r>
              <w:rPr>
                <w:rFonts w:ascii="Times New Roman" w:hAnsi="Times New Roman" w:eastAsia="宋体"/>
                <w:b w:val="0"/>
                <w:sz w:val="16"/>
                <w:szCs w:val="16"/>
              </w:rPr>
              <w:br w:type="textWrapping"/>
            </w:r>
            <w:r>
              <w:rPr>
                <w:rFonts w:ascii="Times New Roman" w:hAnsi="Times New Roman" w:eastAsia="宋体"/>
                <w:b w:val="0"/>
                <w:sz w:val="16"/>
                <w:szCs w:val="16"/>
              </w:rPr>
              <w:t>#4</w:t>
            </w:r>
            <w:r>
              <w:rPr>
                <w:rFonts w:ascii="Times New Roman" w:hAnsi="Times New Roman" w:eastAsia="宋体"/>
                <w:b w:val="0"/>
                <w:sz w:val="16"/>
                <w:szCs w:val="16"/>
              </w:rPr>
              <w:br w:type="textWrapping"/>
            </w:r>
            <w:r>
              <w:rPr>
                <w:rFonts w:ascii="Times New Roman" w:hAnsi="Times New Roman" w:eastAsia="宋体"/>
                <w:b w:val="0"/>
                <w:sz w:val="16"/>
                <w:szCs w:val="16"/>
              </w:rPr>
              <w:t>'systematic review'/exp OR 'meta analysis'/exp OR 'systematic review*':ti,ab,kw OR 'meta-analysis':ti,ab,kw OR 'meta analysis':ti,ab,kw OR metaanaly*:ti,ab,kw OR 'network meta-analysis':ti,ab,kw OR 'network meta analysis':ti,ab,kw OR 'umbrella review*':ti,ab,kw OR 'overview of reviews':ti,ab,kw</w:t>
            </w:r>
            <w:r>
              <w:rPr>
                <w:rFonts w:ascii="Times New Roman" w:hAnsi="Times New Roman" w:eastAsia="宋体"/>
                <w:b w:val="0"/>
                <w:sz w:val="16"/>
                <w:szCs w:val="16"/>
              </w:rPr>
              <w:br w:type="textWrapping"/>
            </w:r>
            <w:r>
              <w:rPr>
                <w:rFonts w:ascii="Times New Roman" w:hAnsi="Times New Roman" w:eastAsia="宋体"/>
                <w:b w:val="0"/>
                <w:sz w:val="16"/>
                <w:szCs w:val="16"/>
              </w:rPr>
              <w:t>#5</w:t>
            </w:r>
            <w:r>
              <w:rPr>
                <w:rFonts w:ascii="Times New Roman" w:hAnsi="Times New Roman" w:eastAsia="宋体"/>
                <w:b w:val="0"/>
                <w:sz w:val="16"/>
                <w:szCs w:val="16"/>
              </w:rPr>
              <w:br w:type="textWrapping"/>
            </w:r>
            <w:r>
              <w:rPr>
                <w:rFonts w:ascii="Times New Roman" w:hAnsi="Times New Roman" w:eastAsia="宋体"/>
                <w:b w:val="0"/>
                <w:sz w:val="16"/>
                <w:szCs w:val="16"/>
              </w:rPr>
              <w:t>#1 AND #2 AND #3 AND #4</w:t>
            </w:r>
          </w:p>
        </w:tc>
        <w:tc>
          <w:tcPr>
            <w:tcW w:w="208" w:type="pct"/>
            <w:tcBorders>
              <w:top w:val="nil"/>
              <w:left w:val="nil"/>
              <w:bottom w:val="nil"/>
              <w:right w:val="nil"/>
              <w:insideH w:val="nil"/>
              <w:insideV w:val="nil"/>
            </w:tcBorders>
            <w:tcMar>
              <w:top w:w="45" w:type="dxa"/>
              <w:left w:w="45" w:type="dxa"/>
              <w:bottom w:w="45" w:type="dxa"/>
              <w:right w:w="45" w:type="dxa"/>
            </w:tcMar>
            <w:vAlign w:val="center"/>
          </w:tcPr>
          <w:p w14:paraId="77DDE9C8">
            <w:pPr>
              <w:spacing w:before="0" w:after="0" w:line="216" w:lineRule="auto"/>
              <w:rPr>
                <w:rFonts w:ascii="Times New Roman" w:hAnsi="Times New Roman"/>
                <w:sz w:val="16"/>
                <w:szCs w:val="16"/>
              </w:rPr>
            </w:pPr>
            <w:r>
              <w:rPr>
                <w:rFonts w:ascii="Times New Roman" w:hAnsi="Times New Roman" w:eastAsia="宋体"/>
                <w:b w:val="0"/>
                <w:sz w:val="16"/>
                <w:szCs w:val="16"/>
              </w:rPr>
              <w:t>3,722</w:t>
            </w:r>
          </w:p>
        </w:tc>
      </w:tr>
      <w:tr w14:paraId="4D59D4EC">
        <w:tblPrEx>
          <w:tblCellMar>
            <w:top w:w="0" w:type="dxa"/>
            <w:left w:w="108" w:type="dxa"/>
            <w:bottom w:w="0" w:type="dxa"/>
            <w:right w:w="108" w:type="dxa"/>
          </w:tblCellMar>
        </w:tblPrEx>
        <w:trPr>
          <w:jc w:val="center"/>
        </w:trPr>
        <w:tc>
          <w:tcPr>
            <w:tcW w:w="460" w:type="pct"/>
            <w:tcBorders>
              <w:top w:val="nil"/>
              <w:left w:val="nil"/>
              <w:bottom w:val="nil"/>
              <w:right w:val="nil"/>
              <w:insideH w:val="nil"/>
              <w:insideV w:val="nil"/>
            </w:tcBorders>
            <w:tcMar>
              <w:top w:w="45" w:type="dxa"/>
              <w:left w:w="45" w:type="dxa"/>
              <w:bottom w:w="45" w:type="dxa"/>
              <w:right w:w="45" w:type="dxa"/>
            </w:tcMar>
            <w:vAlign w:val="center"/>
          </w:tcPr>
          <w:p w14:paraId="10195893">
            <w:pPr>
              <w:spacing w:before="0" w:after="0" w:line="216" w:lineRule="auto"/>
              <w:rPr>
                <w:rFonts w:ascii="Times New Roman" w:hAnsi="Times New Roman"/>
                <w:sz w:val="16"/>
                <w:szCs w:val="16"/>
              </w:rPr>
            </w:pPr>
            <w:r>
              <w:rPr>
                <w:rFonts w:ascii="Times New Roman" w:hAnsi="Times New Roman" w:eastAsia="宋体"/>
                <w:b w:val="0"/>
                <w:sz w:val="16"/>
                <w:szCs w:val="16"/>
              </w:rPr>
              <w:t>Web of Science Core Collection</w:t>
            </w:r>
          </w:p>
        </w:tc>
        <w:tc>
          <w:tcPr>
            <w:tcW w:w="4331" w:type="pct"/>
            <w:tcBorders>
              <w:top w:val="nil"/>
              <w:left w:val="nil"/>
              <w:bottom w:val="nil"/>
              <w:right w:val="nil"/>
              <w:insideH w:val="nil"/>
              <w:insideV w:val="nil"/>
            </w:tcBorders>
            <w:tcMar>
              <w:top w:w="45" w:type="dxa"/>
              <w:left w:w="45" w:type="dxa"/>
              <w:bottom w:w="45" w:type="dxa"/>
              <w:right w:w="45" w:type="dxa"/>
            </w:tcMar>
            <w:vAlign w:val="center"/>
          </w:tcPr>
          <w:p w14:paraId="460114C3">
            <w:pPr>
              <w:spacing w:before="0" w:after="0" w:line="216" w:lineRule="auto"/>
              <w:rPr>
                <w:rFonts w:ascii="Times New Roman" w:hAnsi="Times New Roman"/>
                <w:sz w:val="16"/>
                <w:szCs w:val="16"/>
              </w:rPr>
            </w:pPr>
            <w:r>
              <w:rPr>
                <w:rFonts w:ascii="Times New Roman" w:hAnsi="Times New Roman" w:eastAsia="宋体"/>
                <w:b w:val="0"/>
                <w:sz w:val="16"/>
                <w:szCs w:val="16"/>
              </w:rPr>
              <w:t>TS=(adolescen* OR teen* OR youth* OR child* OR children OR juvenile* OR student* OR undergraduate* OR pediatric* OR paediatric* OR girl* OR boy* OR kids OR highschool* OR "young adult*" OR "young people" OR "young person*" OR "college student*" OR "university student*" OR "high school*" OR "secondary school*")</w:t>
            </w:r>
            <w:r>
              <w:rPr>
                <w:rFonts w:ascii="Times New Roman" w:hAnsi="Times New Roman" w:eastAsia="宋体"/>
                <w:b w:val="0"/>
                <w:sz w:val="16"/>
                <w:szCs w:val="16"/>
              </w:rPr>
              <w:br w:type="textWrapping"/>
            </w:r>
            <w:r>
              <w:rPr>
                <w:rFonts w:ascii="Times New Roman" w:hAnsi="Times New Roman" w:eastAsia="宋体"/>
                <w:b w:val="0"/>
                <w:sz w:val="16"/>
                <w:szCs w:val="16"/>
              </w:rPr>
              <w:t>AND</w:t>
            </w:r>
            <w:r>
              <w:rPr>
                <w:rFonts w:ascii="Times New Roman" w:hAnsi="Times New Roman" w:eastAsia="宋体"/>
                <w:b w:val="0"/>
                <w:sz w:val="16"/>
                <w:szCs w:val="16"/>
              </w:rPr>
              <w:br w:type="textWrapping"/>
            </w:r>
            <w:r>
              <w:rPr>
                <w:rFonts w:ascii="Times New Roman" w:hAnsi="Times New Roman" w:eastAsia="宋体"/>
                <w:b w:val="0"/>
                <w:sz w:val="16"/>
                <w:szCs w:val="16"/>
              </w:rPr>
              <w:t>TS=(depress* OR "depressive symptom*" OR "depressive disorder*" OR "major depressive disorder" OR MDD OR dysthymi* OR "persistent depressive disorder" OR "subthreshold depress*" OR "subclinical depress*" OR "mood disorder*" OR "affective disorder*" OR internalizing OR internalising)</w:t>
            </w:r>
            <w:r>
              <w:rPr>
                <w:rFonts w:ascii="Times New Roman" w:hAnsi="Times New Roman" w:eastAsia="宋体"/>
                <w:b w:val="0"/>
                <w:sz w:val="16"/>
                <w:szCs w:val="16"/>
              </w:rPr>
              <w:br w:type="textWrapping"/>
            </w:r>
            <w:r>
              <w:rPr>
                <w:rFonts w:ascii="Times New Roman" w:hAnsi="Times New Roman" w:eastAsia="宋体"/>
                <w:b w:val="0"/>
                <w:sz w:val="16"/>
                <w:szCs w:val="16"/>
              </w:rPr>
              <w:t>AND</w:t>
            </w:r>
            <w:r>
              <w:rPr>
                <w:rFonts w:ascii="Times New Roman" w:hAnsi="Times New Roman" w:eastAsia="宋体"/>
                <w:b w:val="0"/>
                <w:sz w:val="16"/>
                <w:szCs w:val="16"/>
              </w:rPr>
              <w:br w:type="textWrapping"/>
            </w:r>
            <w:r>
              <w:rPr>
                <w:rFonts w:ascii="Times New Roman" w:hAnsi="Times New Roman" w:eastAsia="宋体"/>
                <w:b w:val="0"/>
                <w:sz w:val="16"/>
                <w:szCs w:val="16"/>
              </w:rPr>
              <w:t>TS=(((digital OR online OR internet* OR web* OR website* OR computerized OR computerised OR computer* OR "computer-based" OR "computer-assisted" OR electronic OR eHealth OR "e-health" OR mHealth OR "m-health" OR mobile* OR smartphone* OR "smart phone*" OR "mobile phone*" OR app OR apps OR application* OR "mobile application*" OR "mobile app*" OR "app-based" OR "mobile-based" OR email OR "e-mail" OR videoconferenc* OR "video conferenc*" OR "social media" OR software OR telemedicine OR "telemental health" OR messaging OR "text messag*" OR texting OR SMS OR chatbot* OR "conversational agent*" OR "virtual reality" OR VR OR "serious game*" OR gamif*) AND (intervention* OR treatment* OR therap* OR psychotherap* OR "psychological intervention*" OR CBT OR iCBT OR cCBT OR dCBT OR "cognitive behavio*" OR mindfulness OR psychoeducation* OR "self-help" OR "self-guided" OR "problem-solving" OR "problem solving" OR "acceptance and commitment" OR "dialectical behavior*" OR "dialectical behaviour*" OR DBT OR "behavioral activation" OR "behavioural activation")) OR "online intervention*" OR "digital intervention*" OR "internet intervention*" OR "internet-based intervention*" OR "internet-delivered intervention*" OR "web-based intervention*" OR "mobile intervention*" OR "app-based intervention*" OR "online psychotherapy" OR "online psychological intervention*" OR "digital psychological intervention*" OR "computer-assisted intervention*" OR "technology-delivered intervention*" OR "technology-based intervention*" OR iCBT OR cCBT OR dCBT OR "digital CBT" OR "internet-based CBT" OR "computerized CBT" OR "computerised CBT" OR "mobile-based CBT")</w:t>
            </w:r>
            <w:r>
              <w:rPr>
                <w:rFonts w:ascii="Times New Roman" w:hAnsi="Times New Roman" w:eastAsia="宋体"/>
                <w:b w:val="0"/>
                <w:sz w:val="16"/>
                <w:szCs w:val="16"/>
              </w:rPr>
              <w:br w:type="textWrapping"/>
            </w:r>
            <w:r>
              <w:rPr>
                <w:rFonts w:ascii="Times New Roman" w:hAnsi="Times New Roman" w:eastAsia="宋体"/>
                <w:b w:val="0"/>
                <w:sz w:val="16"/>
                <w:szCs w:val="16"/>
              </w:rPr>
              <w:t>AND</w:t>
            </w:r>
            <w:r>
              <w:rPr>
                <w:rFonts w:ascii="Times New Roman" w:hAnsi="Times New Roman" w:eastAsia="宋体"/>
                <w:b w:val="0"/>
                <w:sz w:val="16"/>
                <w:szCs w:val="16"/>
              </w:rPr>
              <w:br w:type="textWrapping"/>
            </w:r>
            <w:r>
              <w:rPr>
                <w:rFonts w:ascii="Times New Roman" w:hAnsi="Times New Roman" w:eastAsia="宋体"/>
                <w:b w:val="0"/>
                <w:sz w:val="16"/>
                <w:szCs w:val="16"/>
              </w:rPr>
              <w:t>TS=("systematic review*" OR "meta-analysis" OR "meta analysis" OR metaanaly* OR "network meta-analysis" OR "network meta analysis" OR "umbrella review*" OR "overview of reviews")</w:t>
            </w:r>
          </w:p>
        </w:tc>
        <w:tc>
          <w:tcPr>
            <w:tcW w:w="208" w:type="pct"/>
            <w:tcBorders>
              <w:top w:val="nil"/>
              <w:left w:val="nil"/>
              <w:bottom w:val="nil"/>
              <w:right w:val="nil"/>
              <w:insideH w:val="nil"/>
              <w:insideV w:val="nil"/>
            </w:tcBorders>
            <w:tcMar>
              <w:top w:w="45" w:type="dxa"/>
              <w:left w:w="45" w:type="dxa"/>
              <w:bottom w:w="45" w:type="dxa"/>
              <w:right w:w="45" w:type="dxa"/>
            </w:tcMar>
            <w:vAlign w:val="center"/>
          </w:tcPr>
          <w:p w14:paraId="007A4E31">
            <w:pPr>
              <w:spacing w:before="0" w:after="0" w:line="216" w:lineRule="auto"/>
              <w:rPr>
                <w:rFonts w:ascii="Times New Roman" w:hAnsi="Times New Roman"/>
                <w:sz w:val="16"/>
                <w:szCs w:val="16"/>
              </w:rPr>
            </w:pPr>
            <w:r>
              <w:rPr>
                <w:rFonts w:ascii="Times New Roman" w:hAnsi="Times New Roman" w:eastAsia="宋体"/>
                <w:b w:val="0"/>
                <w:sz w:val="16"/>
                <w:szCs w:val="16"/>
              </w:rPr>
              <w:t>3,234</w:t>
            </w:r>
          </w:p>
        </w:tc>
      </w:tr>
      <w:tr w14:paraId="5D0963C4">
        <w:tblPrEx>
          <w:tblCellMar>
            <w:top w:w="0" w:type="dxa"/>
            <w:left w:w="108" w:type="dxa"/>
            <w:bottom w:w="0" w:type="dxa"/>
            <w:right w:w="108" w:type="dxa"/>
          </w:tblCellMar>
        </w:tblPrEx>
        <w:trPr>
          <w:jc w:val="center"/>
        </w:trPr>
        <w:tc>
          <w:tcPr>
            <w:tcW w:w="460" w:type="pct"/>
            <w:tcBorders>
              <w:top w:val="nil"/>
              <w:left w:val="nil"/>
              <w:bottom w:val="nil"/>
              <w:right w:val="nil"/>
              <w:insideH w:val="nil"/>
              <w:insideV w:val="nil"/>
            </w:tcBorders>
            <w:tcMar>
              <w:top w:w="45" w:type="dxa"/>
              <w:left w:w="45" w:type="dxa"/>
              <w:bottom w:w="45" w:type="dxa"/>
              <w:right w:w="45" w:type="dxa"/>
            </w:tcMar>
            <w:vAlign w:val="center"/>
          </w:tcPr>
          <w:p w14:paraId="3CCA5C2A">
            <w:pPr>
              <w:spacing w:before="0" w:after="0" w:line="216" w:lineRule="auto"/>
              <w:rPr>
                <w:rFonts w:ascii="Times New Roman" w:hAnsi="Times New Roman"/>
                <w:sz w:val="16"/>
                <w:szCs w:val="16"/>
              </w:rPr>
            </w:pPr>
            <w:r>
              <w:rPr>
                <w:rFonts w:ascii="Times New Roman" w:hAnsi="Times New Roman" w:eastAsia="宋体"/>
                <w:b w:val="0"/>
                <w:sz w:val="16"/>
                <w:szCs w:val="16"/>
              </w:rPr>
              <w:t>CINAHL</w:t>
            </w:r>
          </w:p>
        </w:tc>
        <w:tc>
          <w:tcPr>
            <w:tcW w:w="4331" w:type="pct"/>
            <w:tcBorders>
              <w:top w:val="nil"/>
              <w:left w:val="nil"/>
              <w:bottom w:val="nil"/>
              <w:right w:val="nil"/>
              <w:insideH w:val="nil"/>
              <w:insideV w:val="nil"/>
            </w:tcBorders>
            <w:tcMar>
              <w:top w:w="45" w:type="dxa"/>
              <w:left w:w="45" w:type="dxa"/>
              <w:bottom w:w="45" w:type="dxa"/>
              <w:right w:w="45" w:type="dxa"/>
            </w:tcMar>
            <w:vAlign w:val="center"/>
          </w:tcPr>
          <w:p w14:paraId="624D276D">
            <w:pPr>
              <w:spacing w:before="0" w:after="0" w:line="216" w:lineRule="auto"/>
              <w:rPr>
                <w:rFonts w:ascii="Times New Roman" w:hAnsi="Times New Roman"/>
                <w:sz w:val="16"/>
                <w:szCs w:val="16"/>
              </w:rPr>
            </w:pPr>
            <w:r>
              <w:rPr>
                <w:rFonts w:ascii="Times New Roman" w:hAnsi="Times New Roman" w:eastAsia="宋体"/>
                <w:b w:val="0"/>
                <w:sz w:val="16"/>
                <w:szCs w:val="16"/>
              </w:rPr>
              <w:t>S1</w:t>
            </w:r>
            <w:r>
              <w:rPr>
                <w:rFonts w:ascii="Times New Roman" w:hAnsi="Times New Roman" w:eastAsia="宋体"/>
                <w:b w:val="0"/>
                <w:sz w:val="16"/>
                <w:szCs w:val="16"/>
              </w:rPr>
              <w:br w:type="textWrapping"/>
            </w:r>
            <w:r>
              <w:rPr>
                <w:rFonts w:ascii="Times New Roman" w:hAnsi="Times New Roman" w:eastAsia="宋体"/>
                <w:b w:val="0"/>
                <w:sz w:val="16"/>
                <w:szCs w:val="16"/>
              </w:rPr>
              <w:t>TI (adolescen* OR teen* OR youth* OR child* OR children OR juvenile* OR student* OR undergraduate* OR pediatric* OR paediatric* OR girl* OR boy* OR kids OR highschool* OR "young adult*" OR "young people" OR "young person*" OR "college student*" OR "university student*" OR "high school*" OR "secondary school*")</w:t>
            </w:r>
            <w:r>
              <w:rPr>
                <w:rFonts w:ascii="Times New Roman" w:hAnsi="Times New Roman" w:eastAsia="宋体"/>
                <w:b w:val="0"/>
                <w:sz w:val="16"/>
                <w:szCs w:val="16"/>
              </w:rPr>
              <w:br w:type="textWrapping"/>
            </w:r>
            <w:r>
              <w:rPr>
                <w:rFonts w:ascii="Times New Roman" w:hAnsi="Times New Roman" w:eastAsia="宋体"/>
                <w:b w:val="0"/>
                <w:sz w:val="16"/>
                <w:szCs w:val="16"/>
              </w:rPr>
              <w:t>OR AB (adolescen* OR teen* OR youth* OR child* OR children OR juvenile* OR student* OR undergraduate* OR pediatric* OR paediatric* OR girl* OR boy* OR kids OR highschool* OR "young adult*" OR "young people" OR "young person*" OR "college student*" OR "university student*" OR "high school*" OR "secondary school*")</w:t>
            </w:r>
            <w:r>
              <w:rPr>
                <w:rFonts w:ascii="Times New Roman" w:hAnsi="Times New Roman" w:eastAsia="宋体"/>
                <w:b w:val="0"/>
                <w:sz w:val="16"/>
                <w:szCs w:val="16"/>
              </w:rPr>
              <w:br w:type="textWrapping"/>
            </w:r>
            <w:r>
              <w:rPr>
                <w:rFonts w:ascii="Times New Roman" w:hAnsi="Times New Roman" w:eastAsia="宋体"/>
                <w:b w:val="0"/>
                <w:sz w:val="16"/>
                <w:szCs w:val="16"/>
              </w:rPr>
              <w:t>OR MH "Child+" OR MH "Adolescence+" OR MH "Young Adult+" OR MH "Students+"</w:t>
            </w:r>
            <w:r>
              <w:rPr>
                <w:rFonts w:ascii="Times New Roman" w:hAnsi="Times New Roman" w:eastAsia="宋体"/>
                <w:b w:val="0"/>
                <w:sz w:val="16"/>
                <w:szCs w:val="16"/>
              </w:rPr>
              <w:br w:type="textWrapping"/>
            </w:r>
            <w:r>
              <w:rPr>
                <w:rFonts w:ascii="Times New Roman" w:hAnsi="Times New Roman" w:eastAsia="宋体"/>
                <w:b w:val="0"/>
                <w:sz w:val="16"/>
                <w:szCs w:val="16"/>
              </w:rPr>
              <w:t>S2</w:t>
            </w:r>
            <w:r>
              <w:rPr>
                <w:rFonts w:ascii="Times New Roman" w:hAnsi="Times New Roman" w:eastAsia="宋体"/>
                <w:b w:val="0"/>
                <w:sz w:val="16"/>
                <w:szCs w:val="16"/>
              </w:rPr>
              <w:br w:type="textWrapping"/>
            </w:r>
            <w:r>
              <w:rPr>
                <w:rFonts w:ascii="Times New Roman" w:hAnsi="Times New Roman" w:eastAsia="宋体"/>
                <w:b w:val="0"/>
                <w:sz w:val="16"/>
                <w:szCs w:val="16"/>
              </w:rPr>
              <w:t>TI (depress* OR "depressive symptom*" OR "depressive disorder*" OR "major depressive disorder" OR MDD OR dysthymi* OR "persistent depressive disorder" OR "subthreshold depress*" OR "subclinical depress*" OR "mood disorder*" OR "affective disorder*" OR internalizing OR internalising)</w:t>
            </w:r>
            <w:r>
              <w:rPr>
                <w:rFonts w:ascii="Times New Roman" w:hAnsi="Times New Roman" w:eastAsia="宋体"/>
                <w:b w:val="0"/>
                <w:sz w:val="16"/>
                <w:szCs w:val="16"/>
              </w:rPr>
              <w:br w:type="textWrapping"/>
            </w:r>
            <w:r>
              <w:rPr>
                <w:rFonts w:ascii="Times New Roman" w:hAnsi="Times New Roman" w:eastAsia="宋体"/>
                <w:b w:val="0"/>
                <w:sz w:val="16"/>
                <w:szCs w:val="16"/>
              </w:rPr>
              <w:t>OR AB (depress* OR "depressive symptom*" OR "depressive disorder*" OR "major depressive disorder" OR MDD OR dysthymi* OR "persistent depressive disorder" OR "subthreshold depress*" OR "subclinical depress*" OR "mood disorder*" OR "affective disorder*" OR internalizing OR internalising)</w:t>
            </w:r>
            <w:r>
              <w:rPr>
                <w:rFonts w:ascii="Times New Roman" w:hAnsi="Times New Roman" w:eastAsia="宋体"/>
                <w:b w:val="0"/>
                <w:sz w:val="16"/>
                <w:szCs w:val="16"/>
              </w:rPr>
              <w:br w:type="textWrapping"/>
            </w:r>
            <w:r>
              <w:rPr>
                <w:rFonts w:ascii="Times New Roman" w:hAnsi="Times New Roman" w:eastAsia="宋体"/>
                <w:b w:val="0"/>
                <w:sz w:val="16"/>
                <w:szCs w:val="16"/>
              </w:rPr>
              <w:t>OR MH "Depression+" OR MH "Depressive Disorder+" OR MH "Mood Disorders+"</w:t>
            </w:r>
            <w:r>
              <w:rPr>
                <w:rFonts w:ascii="Times New Roman" w:hAnsi="Times New Roman" w:eastAsia="宋体"/>
                <w:b w:val="0"/>
                <w:sz w:val="16"/>
                <w:szCs w:val="16"/>
              </w:rPr>
              <w:br w:type="textWrapping"/>
            </w:r>
            <w:r>
              <w:rPr>
                <w:rFonts w:ascii="Times New Roman" w:hAnsi="Times New Roman" w:eastAsia="宋体"/>
                <w:b w:val="0"/>
                <w:sz w:val="16"/>
                <w:szCs w:val="16"/>
              </w:rPr>
              <w:t>S3</w:t>
            </w:r>
            <w:r>
              <w:rPr>
                <w:rFonts w:ascii="Times New Roman" w:hAnsi="Times New Roman" w:eastAsia="宋体"/>
                <w:b w:val="0"/>
                <w:sz w:val="16"/>
                <w:szCs w:val="16"/>
              </w:rPr>
              <w:br w:type="textWrapping"/>
            </w:r>
            <w:r>
              <w:rPr>
                <w:rFonts w:ascii="Times New Roman" w:hAnsi="Times New Roman" w:eastAsia="宋体"/>
                <w:b w:val="0"/>
                <w:sz w:val="16"/>
                <w:szCs w:val="16"/>
              </w:rPr>
              <w:t>((TI (digital OR online OR internet* OR web* OR website* OR computerized OR computerised OR computer* OR "computer-based" OR "computer-assisted" OR electronic OR eHealth OR "e-health" OR mHealth OR "m-health" OR mobile* OR smartphone* OR "smart phone*" OR "mobile phone*" OR app OR apps OR application* OR "mobile application*" OR "mobile app*" OR "app-based" OR "mobile-based" OR email OR "e-mail" OR videoconferenc* OR "video conferenc*" OR "social media" OR software OR telemedicine OR "telemental health" OR messaging OR "text messag*" OR texting OR SMS OR chatbot* OR "conversational agent*" OR "virtual reality" OR VR OR "serious game*" OR gamif*) OR AB (digital OR online OR internet* OR web* OR website* OR computerized OR computerised OR computer* OR "computer-based" OR "computer-assisted" OR electronic OR eHealth OR "e-health" OR mHealth OR "m-health" OR mobile* OR smartphone* OR "smart phone*" OR "mobile phone*" OR app OR apps OR application* OR "mobile application*" OR "mobile app*" OR "app-based" OR "mobile-based" OR email OR "e-mail" OR videoconferenc* OR "video conferenc*" OR "social media" OR software OR telemedicine OR "telemental health" OR messaging OR "text messag*" OR texting OR SMS OR chatbot* OR "conversational agent*" OR "virtual reality" OR VR OR "serious game*" OR gamif*) OR MH "Internet+" OR MH "Mobile Applications" OR MH "Telemedicine+" OR MH "Text Messaging" OR MH "Virtual Reality" OR MH "Computer Assisted Therapy")</w:t>
            </w:r>
            <w:r>
              <w:rPr>
                <w:rFonts w:ascii="Times New Roman" w:hAnsi="Times New Roman" w:eastAsia="宋体"/>
                <w:b w:val="0"/>
                <w:sz w:val="16"/>
                <w:szCs w:val="16"/>
              </w:rPr>
              <w:br w:type="textWrapping"/>
            </w:r>
            <w:r>
              <w:rPr>
                <w:rFonts w:ascii="Times New Roman" w:hAnsi="Times New Roman" w:eastAsia="宋体"/>
                <w:b w:val="0"/>
                <w:sz w:val="16"/>
                <w:szCs w:val="16"/>
              </w:rPr>
              <w:t>AND</w:t>
            </w:r>
            <w:r>
              <w:rPr>
                <w:rFonts w:ascii="Times New Roman" w:hAnsi="Times New Roman" w:eastAsia="宋体"/>
                <w:b w:val="0"/>
                <w:sz w:val="16"/>
                <w:szCs w:val="16"/>
              </w:rPr>
              <w:br w:type="textWrapping"/>
            </w:r>
            <w:r>
              <w:rPr>
                <w:rFonts w:ascii="Times New Roman" w:hAnsi="Times New Roman" w:eastAsia="宋体"/>
                <w:b w:val="0"/>
                <w:sz w:val="16"/>
                <w:szCs w:val="16"/>
              </w:rPr>
              <w:t>(TI (intervention* OR treatment* OR therap* OR psychotherap* OR "psychological intervention*" OR CBT OR iCBT OR cCBT OR dCBT OR "cognitive behavio*" OR mindfulness OR psychoeducation* OR "self-help" OR "self-guided" OR "problem-solving" OR "problem solving" OR "acceptance and commitment" OR "dialectical behavior*" OR "dialectical behaviour*" OR DBT OR "behavioral activation" OR "behavioural activation") OR AB (intervention* OR treatment* OR therap* OR psychotherap* OR "psychological intervention*" OR CBT OR iCBT OR cCBT OR dCBT OR "cognitive behavio*" OR mindfulness OR psychoeducation* OR "self-help" OR "self-guided" OR "problem-solving" OR "problem solving" OR "acceptance and commitment" OR "dialectical behavior*" OR "dialectical behaviour*" OR DBT OR "behavioral activation" OR "behavioural activation") OR MH "Psychotherapy+" OR MH "Cognitive Therapy+" OR MH "Behavior Therapy+" OR MH "Mindfulness+" OR MH "Psychoeducation" OR MH "Self Help"))</w:t>
            </w:r>
            <w:r>
              <w:rPr>
                <w:rFonts w:ascii="Times New Roman" w:hAnsi="Times New Roman" w:eastAsia="宋体"/>
                <w:b w:val="0"/>
                <w:sz w:val="16"/>
                <w:szCs w:val="16"/>
              </w:rPr>
              <w:br w:type="textWrapping"/>
            </w:r>
            <w:r>
              <w:rPr>
                <w:rFonts w:ascii="Times New Roman" w:hAnsi="Times New Roman" w:eastAsia="宋体"/>
                <w:b w:val="0"/>
                <w:sz w:val="16"/>
                <w:szCs w:val="16"/>
              </w:rPr>
              <w:t>OR</w:t>
            </w:r>
            <w:r>
              <w:rPr>
                <w:rFonts w:ascii="Times New Roman" w:hAnsi="Times New Roman" w:eastAsia="宋体"/>
                <w:b w:val="0"/>
                <w:sz w:val="16"/>
                <w:szCs w:val="16"/>
              </w:rPr>
              <w:br w:type="textWrapping"/>
            </w:r>
            <w:r>
              <w:rPr>
                <w:rFonts w:ascii="Times New Roman" w:hAnsi="Times New Roman" w:eastAsia="宋体"/>
                <w:b w:val="0"/>
                <w:sz w:val="16"/>
                <w:szCs w:val="16"/>
              </w:rPr>
              <w:t>TI ("online intervention*" OR "digital intervention*" OR "internet intervention*" OR "internet-based intervention*" OR "internet-delivered intervention*" OR "web-based intervention*" OR "mobile intervention*" OR "app-based intervention*" OR "online psychotherapy" OR "online psychological intervention*" OR "digital psychological intervention*" OR "computer-assisted intervention*" OR "technology-delivered intervention*" OR "technology-based intervention*" OR iCBT OR cCBT OR dCBT OR "digital CBT" OR "internet-based CBT" OR "computerized CBT" OR "computerised CBT" OR "mobile-based CBT")</w:t>
            </w:r>
            <w:r>
              <w:rPr>
                <w:rFonts w:ascii="Times New Roman" w:hAnsi="Times New Roman" w:eastAsia="宋体"/>
                <w:b w:val="0"/>
                <w:sz w:val="16"/>
                <w:szCs w:val="16"/>
              </w:rPr>
              <w:br w:type="textWrapping"/>
            </w:r>
            <w:r>
              <w:rPr>
                <w:rFonts w:ascii="Times New Roman" w:hAnsi="Times New Roman" w:eastAsia="宋体"/>
                <w:b w:val="0"/>
                <w:sz w:val="16"/>
                <w:szCs w:val="16"/>
              </w:rPr>
              <w:t>OR</w:t>
            </w:r>
            <w:r>
              <w:rPr>
                <w:rFonts w:ascii="Times New Roman" w:hAnsi="Times New Roman" w:eastAsia="宋体"/>
                <w:b w:val="0"/>
                <w:sz w:val="16"/>
                <w:szCs w:val="16"/>
              </w:rPr>
              <w:br w:type="textWrapping"/>
            </w:r>
            <w:r>
              <w:rPr>
                <w:rFonts w:ascii="Times New Roman" w:hAnsi="Times New Roman" w:eastAsia="宋体"/>
                <w:b w:val="0"/>
                <w:sz w:val="16"/>
                <w:szCs w:val="16"/>
              </w:rPr>
              <w:t>AB ("online intervention*" OR "digital intervention*" OR "internet intervention*" OR "internet-based intervention*" OR "internet-delivered intervention*" OR "web-based intervention*" OR "mobile intervention*" OR "app-based intervention*" OR "online psychotherapy" OR "online psychological intervention*" OR "digital psychological intervention*" OR "computer-assisted intervention*" OR "technology-delivered intervention*" OR "technology-based intervention*" OR iCBT OR cCBT OR dCBT OR "digital CBT" OR "internet-based CBT" OR "computerized CBT" OR "computerised CBT" OR "mobile-based CBT")</w:t>
            </w:r>
            <w:r>
              <w:rPr>
                <w:rFonts w:ascii="Times New Roman" w:hAnsi="Times New Roman" w:eastAsia="宋体"/>
                <w:b w:val="0"/>
                <w:sz w:val="16"/>
                <w:szCs w:val="16"/>
              </w:rPr>
              <w:br w:type="textWrapping"/>
            </w:r>
            <w:r>
              <w:rPr>
                <w:rFonts w:ascii="Times New Roman" w:hAnsi="Times New Roman" w:eastAsia="宋体"/>
                <w:b w:val="0"/>
                <w:sz w:val="16"/>
                <w:szCs w:val="16"/>
              </w:rPr>
              <w:t>S4</w:t>
            </w:r>
            <w:r>
              <w:rPr>
                <w:rFonts w:ascii="Times New Roman" w:hAnsi="Times New Roman" w:eastAsia="宋体"/>
                <w:b w:val="0"/>
                <w:sz w:val="16"/>
                <w:szCs w:val="16"/>
              </w:rPr>
              <w:br w:type="textWrapping"/>
            </w:r>
            <w:r>
              <w:rPr>
                <w:rFonts w:ascii="Times New Roman" w:hAnsi="Times New Roman" w:eastAsia="宋体"/>
                <w:b w:val="0"/>
                <w:sz w:val="16"/>
                <w:szCs w:val="16"/>
              </w:rPr>
              <w:t>TI ("systematic review*" OR "meta-analysis" OR "meta analysis" OR metaanaly* OR "network meta-analysis" OR "network meta analysis" OR "umbrella review*" OR "overview of reviews")</w:t>
            </w:r>
            <w:r>
              <w:rPr>
                <w:rFonts w:ascii="Times New Roman" w:hAnsi="Times New Roman" w:eastAsia="宋体"/>
                <w:b w:val="0"/>
                <w:sz w:val="16"/>
                <w:szCs w:val="16"/>
              </w:rPr>
              <w:br w:type="textWrapping"/>
            </w:r>
            <w:r>
              <w:rPr>
                <w:rFonts w:ascii="Times New Roman" w:hAnsi="Times New Roman" w:eastAsia="宋体"/>
                <w:b w:val="0"/>
                <w:sz w:val="16"/>
                <w:szCs w:val="16"/>
              </w:rPr>
              <w:t>OR AB ("systematic review*" OR "meta-analysis" OR "meta analysis" OR metaanaly* OR "network meta-analysis" OR "network meta analysis" OR "umbrella review*" OR "overview of reviews")</w:t>
            </w:r>
            <w:r>
              <w:rPr>
                <w:rFonts w:ascii="Times New Roman" w:hAnsi="Times New Roman" w:eastAsia="宋体"/>
                <w:b w:val="0"/>
                <w:sz w:val="16"/>
                <w:szCs w:val="16"/>
              </w:rPr>
              <w:br w:type="textWrapping"/>
            </w:r>
            <w:r>
              <w:rPr>
                <w:rFonts w:ascii="Times New Roman" w:hAnsi="Times New Roman" w:eastAsia="宋体"/>
                <w:b w:val="0"/>
                <w:sz w:val="16"/>
                <w:szCs w:val="16"/>
              </w:rPr>
              <w:t>OR PT "Systematic Review" OR PT "Meta Analysis"</w:t>
            </w:r>
            <w:r>
              <w:rPr>
                <w:rFonts w:ascii="Times New Roman" w:hAnsi="Times New Roman" w:eastAsia="宋体"/>
                <w:b w:val="0"/>
                <w:sz w:val="16"/>
                <w:szCs w:val="16"/>
              </w:rPr>
              <w:br w:type="textWrapping"/>
            </w:r>
            <w:r>
              <w:rPr>
                <w:rFonts w:ascii="Times New Roman" w:hAnsi="Times New Roman" w:eastAsia="宋体"/>
                <w:b w:val="0"/>
                <w:sz w:val="16"/>
                <w:szCs w:val="16"/>
              </w:rPr>
              <w:t>S5</w:t>
            </w:r>
            <w:r>
              <w:rPr>
                <w:rFonts w:ascii="Times New Roman" w:hAnsi="Times New Roman" w:eastAsia="宋体"/>
                <w:b w:val="0"/>
                <w:sz w:val="16"/>
                <w:szCs w:val="16"/>
              </w:rPr>
              <w:br w:type="textWrapping"/>
            </w:r>
            <w:r>
              <w:rPr>
                <w:rFonts w:ascii="Times New Roman" w:hAnsi="Times New Roman" w:eastAsia="宋体"/>
                <w:b w:val="0"/>
                <w:sz w:val="16"/>
                <w:szCs w:val="16"/>
              </w:rPr>
              <w:t>S1 AND S2 AND S3 AND S4</w:t>
            </w:r>
          </w:p>
        </w:tc>
        <w:tc>
          <w:tcPr>
            <w:tcW w:w="208" w:type="pct"/>
            <w:tcBorders>
              <w:top w:val="nil"/>
              <w:left w:val="nil"/>
              <w:bottom w:val="nil"/>
              <w:right w:val="nil"/>
              <w:insideH w:val="nil"/>
              <w:insideV w:val="nil"/>
            </w:tcBorders>
            <w:tcMar>
              <w:top w:w="45" w:type="dxa"/>
              <w:left w:w="45" w:type="dxa"/>
              <w:bottom w:w="45" w:type="dxa"/>
              <w:right w:w="45" w:type="dxa"/>
            </w:tcMar>
            <w:vAlign w:val="center"/>
          </w:tcPr>
          <w:p w14:paraId="118B85DE">
            <w:pPr>
              <w:spacing w:before="0" w:after="0" w:line="216" w:lineRule="auto"/>
              <w:rPr>
                <w:rFonts w:ascii="Times New Roman" w:hAnsi="Times New Roman"/>
                <w:sz w:val="16"/>
                <w:szCs w:val="16"/>
              </w:rPr>
            </w:pPr>
            <w:r>
              <w:rPr>
                <w:rFonts w:ascii="Times New Roman" w:hAnsi="Times New Roman" w:eastAsia="宋体"/>
                <w:b w:val="0"/>
                <w:sz w:val="16"/>
                <w:szCs w:val="16"/>
              </w:rPr>
              <w:t>959</w:t>
            </w:r>
          </w:p>
        </w:tc>
      </w:tr>
      <w:tr w14:paraId="01AFC6F8">
        <w:tblPrEx>
          <w:tblCellMar>
            <w:top w:w="0" w:type="dxa"/>
            <w:left w:w="108" w:type="dxa"/>
            <w:bottom w:w="0" w:type="dxa"/>
            <w:right w:w="108" w:type="dxa"/>
          </w:tblCellMar>
        </w:tblPrEx>
        <w:trPr>
          <w:jc w:val="center"/>
        </w:trPr>
        <w:tc>
          <w:tcPr>
            <w:tcW w:w="460" w:type="pct"/>
            <w:tcBorders>
              <w:top w:val="nil"/>
              <w:left w:val="nil"/>
              <w:bottom w:val="nil"/>
              <w:right w:val="nil"/>
              <w:insideH w:val="nil"/>
              <w:insideV w:val="nil"/>
            </w:tcBorders>
            <w:tcMar>
              <w:top w:w="45" w:type="dxa"/>
              <w:left w:w="45" w:type="dxa"/>
              <w:bottom w:w="45" w:type="dxa"/>
              <w:right w:w="45" w:type="dxa"/>
            </w:tcMar>
            <w:vAlign w:val="center"/>
          </w:tcPr>
          <w:p w14:paraId="4E6A1AE6">
            <w:pPr>
              <w:spacing w:before="0" w:after="0" w:line="216" w:lineRule="auto"/>
              <w:rPr>
                <w:rFonts w:ascii="Times New Roman" w:hAnsi="Times New Roman"/>
                <w:sz w:val="16"/>
                <w:szCs w:val="16"/>
              </w:rPr>
            </w:pPr>
            <w:r>
              <w:rPr>
                <w:rFonts w:ascii="Times New Roman" w:hAnsi="Times New Roman" w:eastAsia="宋体"/>
                <w:b w:val="0"/>
                <w:sz w:val="16"/>
                <w:szCs w:val="16"/>
              </w:rPr>
              <w:t>APA PsycINFO</w:t>
            </w:r>
          </w:p>
        </w:tc>
        <w:tc>
          <w:tcPr>
            <w:tcW w:w="4331" w:type="pct"/>
            <w:tcBorders>
              <w:top w:val="nil"/>
              <w:left w:val="nil"/>
              <w:bottom w:val="nil"/>
              <w:right w:val="nil"/>
              <w:insideH w:val="nil"/>
              <w:insideV w:val="nil"/>
            </w:tcBorders>
            <w:tcMar>
              <w:top w:w="45" w:type="dxa"/>
              <w:left w:w="45" w:type="dxa"/>
              <w:bottom w:w="45" w:type="dxa"/>
              <w:right w:w="45" w:type="dxa"/>
            </w:tcMar>
            <w:vAlign w:val="center"/>
          </w:tcPr>
          <w:p w14:paraId="6BE74C42">
            <w:pPr>
              <w:spacing w:before="0" w:after="0" w:line="216" w:lineRule="auto"/>
              <w:rPr>
                <w:rFonts w:ascii="Times New Roman" w:hAnsi="Times New Roman"/>
                <w:sz w:val="16"/>
                <w:szCs w:val="16"/>
              </w:rPr>
            </w:pPr>
            <w:r>
              <w:rPr>
                <w:rFonts w:ascii="Times New Roman" w:hAnsi="Times New Roman" w:eastAsia="宋体"/>
                <w:b w:val="0"/>
                <w:sz w:val="16"/>
                <w:szCs w:val="16"/>
              </w:rPr>
              <w:t>S1</w:t>
            </w:r>
            <w:r>
              <w:rPr>
                <w:rFonts w:ascii="Times New Roman" w:hAnsi="Times New Roman" w:eastAsia="宋体"/>
                <w:b w:val="0"/>
                <w:sz w:val="16"/>
                <w:szCs w:val="16"/>
              </w:rPr>
              <w:br w:type="textWrapping"/>
            </w:r>
            <w:r>
              <w:rPr>
                <w:rFonts w:ascii="Times New Roman" w:hAnsi="Times New Roman" w:eastAsia="宋体"/>
                <w:b w:val="0"/>
                <w:sz w:val="16"/>
                <w:szCs w:val="16"/>
              </w:rPr>
              <w:t>TI(adolescen* OR teen* OR youth* OR child* OR children OR juvenile* OR student* OR undergraduate* OR pediatric* OR paediatric* OR girl* OR boy* OR kids OR highschool* OR "young adult*" OR "young people" OR "young person*" OR "college student*" OR "university student*" OR "high school*" OR "secondary school*")</w:t>
            </w:r>
            <w:r>
              <w:rPr>
                <w:rFonts w:ascii="Times New Roman" w:hAnsi="Times New Roman" w:eastAsia="宋体"/>
                <w:b w:val="0"/>
                <w:sz w:val="16"/>
                <w:szCs w:val="16"/>
              </w:rPr>
              <w:br w:type="textWrapping"/>
            </w:r>
            <w:r>
              <w:rPr>
                <w:rFonts w:ascii="Times New Roman" w:hAnsi="Times New Roman" w:eastAsia="宋体"/>
                <w:b w:val="0"/>
                <w:sz w:val="16"/>
                <w:szCs w:val="16"/>
              </w:rPr>
              <w:t>OR AB(adolescen* OR teen* OR youth* OR child* OR children OR juvenile* OR student* OR undergraduate* OR pediatric* OR paediatric* OR girl* OR boy* OR kids OR highschool* OR "young adult*" OR "young people" OR "young person*" OR "college student*" OR "university student*" OR "high school*" OR "secondary school*")</w:t>
            </w:r>
            <w:r>
              <w:rPr>
                <w:rFonts w:ascii="Times New Roman" w:hAnsi="Times New Roman" w:eastAsia="宋体"/>
                <w:b w:val="0"/>
                <w:sz w:val="16"/>
                <w:szCs w:val="16"/>
              </w:rPr>
              <w:br w:type="textWrapping"/>
            </w:r>
            <w:r>
              <w:rPr>
                <w:rFonts w:ascii="Times New Roman" w:hAnsi="Times New Roman" w:eastAsia="宋体"/>
                <w:b w:val="0"/>
                <w:sz w:val="16"/>
                <w:szCs w:val="16"/>
              </w:rPr>
              <w:t>OR SU(adolescence OR adolescents OR youth OR children OR child OR "young adults" OR students OR "college students" OR "university students")</w:t>
            </w:r>
            <w:r>
              <w:rPr>
                <w:rFonts w:ascii="Times New Roman" w:hAnsi="Times New Roman" w:eastAsia="宋体"/>
                <w:b w:val="0"/>
                <w:sz w:val="16"/>
                <w:szCs w:val="16"/>
              </w:rPr>
              <w:br w:type="textWrapping"/>
            </w:r>
            <w:r>
              <w:rPr>
                <w:rFonts w:ascii="Times New Roman" w:hAnsi="Times New Roman" w:eastAsia="宋体"/>
                <w:b w:val="0"/>
                <w:sz w:val="16"/>
                <w:szCs w:val="16"/>
              </w:rPr>
              <w:t>S2</w:t>
            </w:r>
            <w:r>
              <w:rPr>
                <w:rFonts w:ascii="Times New Roman" w:hAnsi="Times New Roman" w:eastAsia="宋体"/>
                <w:b w:val="0"/>
                <w:sz w:val="16"/>
                <w:szCs w:val="16"/>
              </w:rPr>
              <w:br w:type="textWrapping"/>
            </w:r>
            <w:r>
              <w:rPr>
                <w:rFonts w:ascii="Times New Roman" w:hAnsi="Times New Roman" w:eastAsia="宋体"/>
                <w:b w:val="0"/>
                <w:sz w:val="16"/>
                <w:szCs w:val="16"/>
              </w:rPr>
              <w:t>TI(depress* OR "depressive symptom*" OR "depressive disorder*" OR "major depressive disorder" OR MDD OR dysthymi* OR "persistent depressive disorder" OR "subthreshold depress*" OR "subclinical depress*" OR "mood disorder*" OR "affective disorder*" OR internalizing OR internalising)</w:t>
            </w:r>
            <w:r>
              <w:rPr>
                <w:rFonts w:ascii="Times New Roman" w:hAnsi="Times New Roman" w:eastAsia="宋体"/>
                <w:b w:val="0"/>
                <w:sz w:val="16"/>
                <w:szCs w:val="16"/>
              </w:rPr>
              <w:br w:type="textWrapping"/>
            </w:r>
            <w:r>
              <w:rPr>
                <w:rFonts w:ascii="Times New Roman" w:hAnsi="Times New Roman" w:eastAsia="宋体"/>
                <w:b w:val="0"/>
                <w:sz w:val="16"/>
                <w:szCs w:val="16"/>
              </w:rPr>
              <w:t>OR AB(depress* OR "depressive symptom*" OR "depressive disorder*" OR "major depressive disorder" OR MDD OR dysthymi* OR "persistent depressive disorder" OR "subthreshold depress*" OR "subclinical depress*" OR "mood disorder*" OR "affective disorder*" OR internalizing OR internalising)</w:t>
            </w:r>
            <w:r>
              <w:rPr>
                <w:rFonts w:ascii="Times New Roman" w:hAnsi="Times New Roman" w:eastAsia="宋体"/>
                <w:b w:val="0"/>
                <w:sz w:val="16"/>
                <w:szCs w:val="16"/>
              </w:rPr>
              <w:br w:type="textWrapping"/>
            </w:r>
            <w:r>
              <w:rPr>
                <w:rFonts w:ascii="Times New Roman" w:hAnsi="Times New Roman" w:eastAsia="宋体"/>
                <w:b w:val="0"/>
                <w:sz w:val="16"/>
                <w:szCs w:val="16"/>
              </w:rPr>
              <w:t>OR SU(depression OR "major depression" OR "depressive disorders" OR dysthymia OR "mood disorders" OR "affective disorders")</w:t>
            </w:r>
            <w:r>
              <w:rPr>
                <w:rFonts w:ascii="Times New Roman" w:hAnsi="Times New Roman" w:eastAsia="宋体"/>
                <w:b w:val="0"/>
                <w:sz w:val="16"/>
                <w:szCs w:val="16"/>
              </w:rPr>
              <w:br w:type="textWrapping"/>
            </w:r>
            <w:r>
              <w:rPr>
                <w:rFonts w:ascii="Times New Roman" w:hAnsi="Times New Roman" w:eastAsia="宋体"/>
                <w:b w:val="0"/>
                <w:sz w:val="16"/>
                <w:szCs w:val="16"/>
              </w:rPr>
              <w:t>S3</w:t>
            </w:r>
            <w:r>
              <w:rPr>
                <w:rFonts w:ascii="Times New Roman" w:hAnsi="Times New Roman" w:eastAsia="宋体"/>
                <w:b w:val="0"/>
                <w:sz w:val="16"/>
                <w:szCs w:val="16"/>
              </w:rPr>
              <w:br w:type="textWrapping"/>
            </w:r>
            <w:r>
              <w:rPr>
                <w:rFonts w:ascii="Times New Roman" w:hAnsi="Times New Roman" w:eastAsia="宋体"/>
                <w:b w:val="0"/>
                <w:sz w:val="16"/>
                <w:szCs w:val="16"/>
              </w:rPr>
              <w:t>TI(digital OR online OR internet* OR web* OR website* OR computerized OR computerised OR computer* OR "computer-based" OR "computer-assisted" OR electronic OR eHealth OR "e-health" OR mHealth OR "m-health" OR mobile* OR smartphone* OR "smart phone*" OR "mobile phone*" OR app OR apps OR application* OR "mobile application*" OR "mobile app*" OR "app-based" OR "mobile-based" OR email OR "e-mail" OR videoconferenc* OR "video conferenc*" OR "social media" OR software OR telemedicine OR "telemental health" OR messaging OR "text messag*" OR texting OR SMS OR chatbot* OR "conversational agent*" OR "virtual reality" OR VR OR "serious game*" OR gamif*)</w:t>
            </w:r>
            <w:r>
              <w:rPr>
                <w:rFonts w:ascii="Times New Roman" w:hAnsi="Times New Roman" w:eastAsia="宋体"/>
                <w:b w:val="0"/>
                <w:sz w:val="16"/>
                <w:szCs w:val="16"/>
              </w:rPr>
              <w:br w:type="textWrapping"/>
            </w:r>
            <w:r>
              <w:rPr>
                <w:rFonts w:ascii="Times New Roman" w:hAnsi="Times New Roman" w:eastAsia="宋体"/>
                <w:b w:val="0"/>
                <w:sz w:val="16"/>
                <w:szCs w:val="16"/>
              </w:rPr>
              <w:t>OR AB(digital OR online OR internet* OR web* OR website* OR computerized OR computerised OR computer* OR "computer-based" OR "computer-assisted" OR electronic OR eHealth OR "e-health" OR mHealth OR "m-health" OR mobile* OR smartphone* OR "smart phone*" OR "mobile phone*" OR app OR apps OR application* OR "mobile application*" OR "mobile app*" OR "app-based" OR "mobile-based" OR email OR "e-mail" OR videoconferenc* OR "video conferenc*" OR "social media" OR software OR telemedicine OR "telemental health" OR messaging OR "text messag*" OR texting OR SMS OR chatbot* OR "conversational agent*" OR "virtual reality" OR VR OR "serious game*" OR gamif*)</w:t>
            </w:r>
            <w:r>
              <w:rPr>
                <w:rFonts w:ascii="Times New Roman" w:hAnsi="Times New Roman" w:eastAsia="宋体"/>
                <w:b w:val="0"/>
                <w:sz w:val="16"/>
                <w:szCs w:val="16"/>
              </w:rPr>
              <w:br w:type="textWrapping"/>
            </w:r>
            <w:r>
              <w:rPr>
                <w:rFonts w:ascii="Times New Roman" w:hAnsi="Times New Roman" w:eastAsia="宋体"/>
                <w:b w:val="0"/>
                <w:sz w:val="16"/>
                <w:szCs w:val="16"/>
              </w:rPr>
              <w:t>S4</w:t>
            </w:r>
            <w:r>
              <w:rPr>
                <w:rFonts w:ascii="Times New Roman" w:hAnsi="Times New Roman" w:eastAsia="宋体"/>
                <w:b w:val="0"/>
                <w:sz w:val="16"/>
                <w:szCs w:val="16"/>
              </w:rPr>
              <w:br w:type="textWrapping"/>
            </w:r>
            <w:r>
              <w:rPr>
                <w:rFonts w:ascii="Times New Roman" w:hAnsi="Times New Roman" w:eastAsia="宋体"/>
                <w:b w:val="0"/>
                <w:sz w:val="16"/>
                <w:szCs w:val="16"/>
              </w:rPr>
              <w:t>TI(intervention* OR treatment* OR therap* OR psychotherap* OR "psychological intervention*" OR CBT OR iCBT OR cCBT OR dCBT OR "cognitive behavio*" OR mindfulness OR psychoeducation* OR "self-help" OR "self-guided" OR "problem-solving" OR "problem solving" OR "acceptance and commitment" OR "dialectical behavior*" OR "dialectical behaviour*" OR DBT OR "behavioral activation" OR "behavioural activation")</w:t>
            </w:r>
            <w:r>
              <w:rPr>
                <w:rFonts w:ascii="Times New Roman" w:hAnsi="Times New Roman" w:eastAsia="宋体"/>
                <w:b w:val="0"/>
                <w:sz w:val="16"/>
                <w:szCs w:val="16"/>
              </w:rPr>
              <w:br w:type="textWrapping"/>
            </w:r>
            <w:r>
              <w:rPr>
                <w:rFonts w:ascii="Times New Roman" w:hAnsi="Times New Roman" w:eastAsia="宋体"/>
                <w:b w:val="0"/>
                <w:sz w:val="16"/>
                <w:szCs w:val="16"/>
              </w:rPr>
              <w:t>OR AB(intervention* OR treatment* OR therap* OR psychotherap* OR "psychological intervention*" OR CBT OR iCBT OR cCBT OR dCBT OR "cognitive behavio*" OR mindfulness OR psychoeducation* OR "self-help" OR "self-guided" OR "problem-solving" OR "problem solving" OR "acceptance and commitment" OR "dialectical behavior*" OR "dialectical behaviour*" OR DBT OR "behavioral activation" OR "behavioural activation")</w:t>
            </w:r>
            <w:r>
              <w:rPr>
                <w:rFonts w:ascii="Times New Roman" w:hAnsi="Times New Roman" w:eastAsia="宋体"/>
                <w:b w:val="0"/>
                <w:sz w:val="16"/>
                <w:szCs w:val="16"/>
              </w:rPr>
              <w:br w:type="textWrapping"/>
            </w:r>
            <w:r>
              <w:rPr>
                <w:rFonts w:ascii="Times New Roman" w:hAnsi="Times New Roman" w:eastAsia="宋体"/>
                <w:b w:val="0"/>
                <w:sz w:val="16"/>
                <w:szCs w:val="16"/>
              </w:rPr>
              <w:t>S5</w:t>
            </w:r>
            <w:r>
              <w:rPr>
                <w:rFonts w:ascii="Times New Roman" w:hAnsi="Times New Roman" w:eastAsia="宋体"/>
                <w:b w:val="0"/>
                <w:sz w:val="16"/>
                <w:szCs w:val="16"/>
              </w:rPr>
              <w:br w:type="textWrapping"/>
            </w:r>
            <w:r>
              <w:rPr>
                <w:rFonts w:ascii="Times New Roman" w:hAnsi="Times New Roman" w:eastAsia="宋体"/>
                <w:b w:val="0"/>
                <w:sz w:val="16"/>
                <w:szCs w:val="16"/>
              </w:rPr>
              <w:t>TI("online intervention*" OR "digital intervention*" OR "internet intervention*" OR "internet-based intervention*" OR "internet-delivered intervention*" OR "web-based intervention*" OR "mobile intervention*" OR "app-based intervention*" OR "online psychotherapy" OR "online psychological intervention*" OR "digital psychological intervention*" OR "computer-assisted intervention*" OR "technology-delivered intervention*" OR "technology-based intervention*" OR iCBT OR cCBT OR dCBT OR "digital CBT" OR "internet-based CBT" OR "computerized CBT" OR "computerised CBT" OR "mobile-based CBT")</w:t>
            </w:r>
            <w:r>
              <w:rPr>
                <w:rFonts w:ascii="Times New Roman" w:hAnsi="Times New Roman" w:eastAsia="宋体"/>
                <w:b w:val="0"/>
                <w:sz w:val="16"/>
                <w:szCs w:val="16"/>
              </w:rPr>
              <w:br w:type="textWrapping"/>
            </w:r>
            <w:r>
              <w:rPr>
                <w:rFonts w:ascii="Times New Roman" w:hAnsi="Times New Roman" w:eastAsia="宋体"/>
                <w:b w:val="0"/>
                <w:sz w:val="16"/>
                <w:szCs w:val="16"/>
              </w:rPr>
              <w:t>OR AB("online intervention*" OR "digital intervention*" OR "internet intervention*" OR "internet-based intervention*" OR "internet-delivered intervention*" OR "web-based intervention*" OR "mobile intervention*" OR "app-based intervention*" OR "online psychotherapy" OR "online psychological intervention*" OR "digital psychological intervention*" OR "computer-assisted intervention*" OR "technology-delivered intervention*" OR "technology-based intervention*" OR iCBT OR cCBT OR dCBT OR "digital CBT" OR "internet-based CBT" OR "computerized CBT" OR "computerised CBT" OR "mobile-based CBT")</w:t>
            </w:r>
            <w:r>
              <w:rPr>
                <w:rFonts w:ascii="Times New Roman" w:hAnsi="Times New Roman" w:eastAsia="宋体"/>
                <w:b w:val="0"/>
                <w:sz w:val="16"/>
                <w:szCs w:val="16"/>
              </w:rPr>
              <w:br w:type="textWrapping"/>
            </w:r>
            <w:r>
              <w:rPr>
                <w:rFonts w:ascii="Times New Roman" w:hAnsi="Times New Roman" w:eastAsia="宋体"/>
                <w:b w:val="0"/>
                <w:sz w:val="16"/>
                <w:szCs w:val="16"/>
              </w:rPr>
              <w:t>S6</w:t>
            </w:r>
            <w:r>
              <w:rPr>
                <w:rFonts w:ascii="Times New Roman" w:hAnsi="Times New Roman" w:eastAsia="宋体"/>
                <w:b w:val="0"/>
                <w:sz w:val="16"/>
                <w:szCs w:val="16"/>
              </w:rPr>
              <w:br w:type="textWrapping"/>
            </w:r>
            <w:r>
              <w:rPr>
                <w:rFonts w:ascii="Times New Roman" w:hAnsi="Times New Roman" w:eastAsia="宋体"/>
                <w:b w:val="0"/>
                <w:sz w:val="16"/>
                <w:szCs w:val="16"/>
              </w:rPr>
              <w:t>TI("systematic review*" OR "meta-analysis" OR "meta analysis" OR metaanaly* OR "network meta-analysis" OR "network meta analysis" OR "umbrella review*" OR "overview of reviews")</w:t>
            </w:r>
            <w:r>
              <w:rPr>
                <w:rFonts w:ascii="Times New Roman" w:hAnsi="Times New Roman" w:eastAsia="宋体"/>
                <w:b w:val="0"/>
                <w:sz w:val="16"/>
                <w:szCs w:val="16"/>
              </w:rPr>
              <w:br w:type="textWrapping"/>
            </w:r>
            <w:r>
              <w:rPr>
                <w:rFonts w:ascii="Times New Roman" w:hAnsi="Times New Roman" w:eastAsia="宋体"/>
                <w:b w:val="0"/>
                <w:sz w:val="16"/>
                <w:szCs w:val="16"/>
              </w:rPr>
              <w:t>OR AB("systematic review*" OR "meta-analysis" OR "meta analysis" OR metaanaly* OR "network meta-analysis" OR "network meta analysis" OR "umbrella review*" OR "overview of reviews")</w:t>
            </w:r>
            <w:r>
              <w:rPr>
                <w:rFonts w:ascii="Times New Roman" w:hAnsi="Times New Roman" w:eastAsia="宋体"/>
                <w:b w:val="0"/>
                <w:sz w:val="16"/>
                <w:szCs w:val="16"/>
              </w:rPr>
              <w:br w:type="textWrapping"/>
            </w:r>
            <w:r>
              <w:rPr>
                <w:rFonts w:ascii="Times New Roman" w:hAnsi="Times New Roman" w:eastAsia="宋体"/>
                <w:b w:val="0"/>
                <w:sz w:val="16"/>
                <w:szCs w:val="16"/>
              </w:rPr>
              <w:t>S7</w:t>
            </w:r>
            <w:r>
              <w:rPr>
                <w:rFonts w:ascii="Times New Roman" w:hAnsi="Times New Roman" w:eastAsia="宋体"/>
                <w:b w:val="0"/>
                <w:sz w:val="16"/>
                <w:szCs w:val="16"/>
              </w:rPr>
              <w:br w:type="textWrapping"/>
            </w:r>
            <w:r>
              <w:rPr>
                <w:rFonts w:ascii="Times New Roman" w:hAnsi="Times New Roman" w:eastAsia="宋体"/>
                <w:b w:val="0"/>
                <w:sz w:val="16"/>
                <w:szCs w:val="16"/>
              </w:rPr>
              <w:t>S1 AND S2 AND ((S3 AND S4) OR S5) AND S6</w:t>
            </w:r>
          </w:p>
        </w:tc>
        <w:tc>
          <w:tcPr>
            <w:tcW w:w="208" w:type="pct"/>
            <w:tcBorders>
              <w:top w:val="nil"/>
              <w:left w:val="nil"/>
              <w:bottom w:val="nil"/>
              <w:right w:val="nil"/>
              <w:insideH w:val="nil"/>
              <w:insideV w:val="nil"/>
            </w:tcBorders>
            <w:tcMar>
              <w:top w:w="45" w:type="dxa"/>
              <w:left w:w="45" w:type="dxa"/>
              <w:bottom w:w="45" w:type="dxa"/>
              <w:right w:w="45" w:type="dxa"/>
            </w:tcMar>
            <w:vAlign w:val="center"/>
          </w:tcPr>
          <w:p w14:paraId="52E9BB44">
            <w:pPr>
              <w:spacing w:before="0" w:after="0" w:line="216" w:lineRule="auto"/>
              <w:rPr>
                <w:rFonts w:ascii="Times New Roman" w:hAnsi="Times New Roman"/>
                <w:sz w:val="16"/>
                <w:szCs w:val="16"/>
              </w:rPr>
            </w:pPr>
            <w:r>
              <w:rPr>
                <w:rFonts w:ascii="Times New Roman" w:hAnsi="Times New Roman" w:eastAsia="宋体"/>
                <w:b w:val="0"/>
                <w:sz w:val="16"/>
                <w:szCs w:val="16"/>
              </w:rPr>
              <w:t>17</w:t>
            </w:r>
          </w:p>
        </w:tc>
      </w:tr>
      <w:tr w14:paraId="69962B45">
        <w:tblPrEx>
          <w:tblCellMar>
            <w:top w:w="0" w:type="dxa"/>
            <w:left w:w="108" w:type="dxa"/>
            <w:bottom w:w="0" w:type="dxa"/>
            <w:right w:w="108" w:type="dxa"/>
          </w:tblCellMar>
        </w:tblPrEx>
        <w:trPr>
          <w:jc w:val="center"/>
        </w:trPr>
        <w:tc>
          <w:tcPr>
            <w:tcW w:w="460" w:type="pct"/>
            <w:tcBorders>
              <w:top w:val="nil"/>
              <w:left w:val="nil"/>
              <w:bottom w:val="nil"/>
              <w:right w:val="nil"/>
              <w:insideH w:val="nil"/>
              <w:insideV w:val="nil"/>
            </w:tcBorders>
            <w:tcMar>
              <w:top w:w="45" w:type="dxa"/>
              <w:left w:w="45" w:type="dxa"/>
              <w:bottom w:w="45" w:type="dxa"/>
              <w:right w:w="45" w:type="dxa"/>
            </w:tcMar>
            <w:vAlign w:val="center"/>
          </w:tcPr>
          <w:p w14:paraId="08CE877B">
            <w:pPr>
              <w:spacing w:before="0" w:after="0" w:line="216" w:lineRule="auto"/>
              <w:rPr>
                <w:rFonts w:ascii="Times New Roman" w:hAnsi="Times New Roman"/>
                <w:sz w:val="16"/>
                <w:szCs w:val="16"/>
              </w:rPr>
            </w:pPr>
            <w:r>
              <w:rPr>
                <w:rFonts w:ascii="Times New Roman" w:hAnsi="Times New Roman" w:eastAsia="宋体"/>
                <w:b w:val="0"/>
                <w:sz w:val="16"/>
                <w:szCs w:val="16"/>
              </w:rPr>
              <w:t>Cochrane Database of Systematic Reviews</w:t>
            </w:r>
          </w:p>
        </w:tc>
        <w:tc>
          <w:tcPr>
            <w:tcW w:w="4331" w:type="pct"/>
            <w:tcBorders>
              <w:top w:val="nil"/>
              <w:left w:val="nil"/>
              <w:bottom w:val="nil"/>
              <w:right w:val="nil"/>
              <w:insideH w:val="nil"/>
              <w:insideV w:val="nil"/>
            </w:tcBorders>
            <w:tcMar>
              <w:top w:w="45" w:type="dxa"/>
              <w:left w:w="45" w:type="dxa"/>
              <w:bottom w:w="45" w:type="dxa"/>
              <w:right w:w="45" w:type="dxa"/>
            </w:tcMar>
            <w:vAlign w:val="center"/>
          </w:tcPr>
          <w:p w14:paraId="102ACBBB">
            <w:pPr>
              <w:spacing w:before="0" w:after="0" w:line="216" w:lineRule="auto"/>
              <w:rPr>
                <w:rFonts w:ascii="Times New Roman" w:hAnsi="Times New Roman"/>
                <w:sz w:val="16"/>
                <w:szCs w:val="16"/>
              </w:rPr>
            </w:pPr>
            <w:r>
              <w:rPr>
                <w:rFonts w:ascii="Times New Roman" w:hAnsi="Times New Roman" w:eastAsia="宋体"/>
                <w:b w:val="0"/>
                <w:sz w:val="16"/>
                <w:szCs w:val="16"/>
              </w:rPr>
              <w:t>#1</w:t>
            </w:r>
            <w:r>
              <w:rPr>
                <w:rFonts w:ascii="Times New Roman" w:hAnsi="Times New Roman" w:eastAsia="宋体"/>
                <w:b w:val="0"/>
                <w:sz w:val="16"/>
                <w:szCs w:val="16"/>
              </w:rPr>
              <w:br w:type="textWrapping"/>
            </w:r>
            <w:r>
              <w:rPr>
                <w:rFonts w:ascii="Times New Roman" w:hAnsi="Times New Roman" w:eastAsia="宋体"/>
                <w:b w:val="0"/>
                <w:sz w:val="16"/>
                <w:szCs w:val="16"/>
              </w:rPr>
              <w:t>(adolescen* OR teen* OR youth* OR child* OR children OR juvenile* OR student* OR undergraduate* OR pediatric* OR paediatric* OR girl* OR boy* OR kids OR highschool* OR (young NEXT adult) OR (young NEXT adults) OR (young NEXT people) OR (young NEXT person) OR (young NEXT persons) OR (college NEXT student) OR (college NEXT students) OR (university NEXT student) OR (university NEXT students) OR (high NEXT school) OR (high NEXT schools) OR (secondary NEXT school) OR (secondary NEXT schools)):ti,ab,kw</w:t>
            </w:r>
            <w:r>
              <w:rPr>
                <w:rFonts w:ascii="Times New Roman" w:hAnsi="Times New Roman" w:eastAsia="宋体"/>
                <w:b w:val="0"/>
                <w:sz w:val="16"/>
                <w:szCs w:val="16"/>
              </w:rPr>
              <w:br w:type="textWrapping"/>
            </w:r>
            <w:r>
              <w:rPr>
                <w:rFonts w:ascii="Times New Roman" w:hAnsi="Times New Roman" w:eastAsia="宋体"/>
                <w:b w:val="0"/>
                <w:sz w:val="16"/>
                <w:szCs w:val="16"/>
              </w:rPr>
              <w:t>#2</w:t>
            </w:r>
            <w:r>
              <w:rPr>
                <w:rFonts w:ascii="Times New Roman" w:hAnsi="Times New Roman" w:eastAsia="宋体"/>
                <w:b w:val="0"/>
                <w:sz w:val="16"/>
                <w:szCs w:val="16"/>
              </w:rPr>
              <w:br w:type="textWrapping"/>
            </w:r>
            <w:r>
              <w:rPr>
                <w:rFonts w:ascii="Times New Roman" w:hAnsi="Times New Roman" w:eastAsia="宋体"/>
                <w:b w:val="0"/>
                <w:sz w:val="16"/>
                <w:szCs w:val="16"/>
              </w:rPr>
              <w:t>(depress* OR (depressive NEXT symptom) OR (depressive NEXT symptoms) OR (depressive NEXT disorder) OR (depressive NEXT disorders) OR (major NEXT depressive NEXT disorder) OR MDD OR dysthymi* OR (persistent NEXT depressive NEXT disorder) OR (subthreshold NEXT depression) OR (subclinical NEXT depression) OR (mood NEXT disorder) OR (mood NEXT disorders) OR (affective NEXT disorder) OR (affective NEXT disorders) OR internalizing OR internalising):ti,ab,kw</w:t>
            </w:r>
            <w:r>
              <w:rPr>
                <w:rFonts w:ascii="Times New Roman" w:hAnsi="Times New Roman" w:eastAsia="宋体"/>
                <w:b w:val="0"/>
                <w:sz w:val="16"/>
                <w:szCs w:val="16"/>
              </w:rPr>
              <w:br w:type="textWrapping"/>
            </w:r>
            <w:r>
              <w:rPr>
                <w:rFonts w:ascii="Times New Roman" w:hAnsi="Times New Roman" w:eastAsia="宋体"/>
                <w:b w:val="0"/>
                <w:sz w:val="16"/>
                <w:szCs w:val="16"/>
              </w:rPr>
              <w:t>#3</w:t>
            </w:r>
            <w:r>
              <w:rPr>
                <w:rFonts w:ascii="Times New Roman" w:hAnsi="Times New Roman" w:eastAsia="宋体"/>
                <w:b w:val="0"/>
                <w:sz w:val="16"/>
                <w:szCs w:val="16"/>
              </w:rPr>
              <w:br w:type="textWrapping"/>
            </w:r>
            <w:r>
              <w:rPr>
                <w:rFonts w:ascii="Times New Roman" w:hAnsi="Times New Roman" w:eastAsia="宋体"/>
                <w:b w:val="0"/>
                <w:sz w:val="16"/>
                <w:szCs w:val="16"/>
              </w:rPr>
              <w:t>(digital OR online OR internet* OR web* OR website* OR computerized OR computerised OR computer* OR computer-based OR computer-assisted OR electronic OR eHealth OR e-health OR mHealth OR m-health OR mobile* OR smartphone* OR (smart NEXT phone) OR (smart NEXT phones) OR (mobile NEXT phone) OR (mobile NEXT phones) OR app OR apps OR application* OR (mobile NEXT application) OR (mobile NEXT applications) OR (mobile NEXT app) OR (mobile NEXT apps) OR app-based OR mobile-based OR email OR e-mail OR videoconferenc* OR (video NEXT conferencing) OR (social NEXT media) OR software OR telemedicine OR (telemental NEXT health) OR messaging OR (text NEXT message) OR (text NEXT messages) OR texting OR SMS OR chatbot* OR (conversational NEXT agent) OR (conversational NEXT agents) OR (virtual NEXT reality) OR VR OR (serious NEXT game) OR (serious NEXT games) OR gamif*):ti,ab,kw</w:t>
            </w:r>
            <w:r>
              <w:rPr>
                <w:rFonts w:ascii="Times New Roman" w:hAnsi="Times New Roman" w:eastAsia="宋体"/>
                <w:b w:val="0"/>
                <w:sz w:val="16"/>
                <w:szCs w:val="16"/>
              </w:rPr>
              <w:br w:type="textWrapping"/>
            </w:r>
            <w:r>
              <w:rPr>
                <w:rFonts w:ascii="Times New Roman" w:hAnsi="Times New Roman" w:eastAsia="宋体"/>
                <w:b w:val="0"/>
                <w:sz w:val="16"/>
                <w:szCs w:val="16"/>
              </w:rPr>
              <w:t>#4</w:t>
            </w:r>
            <w:r>
              <w:rPr>
                <w:rFonts w:ascii="Times New Roman" w:hAnsi="Times New Roman" w:eastAsia="宋体"/>
                <w:b w:val="0"/>
                <w:sz w:val="16"/>
                <w:szCs w:val="16"/>
              </w:rPr>
              <w:br w:type="textWrapping"/>
            </w:r>
            <w:r>
              <w:rPr>
                <w:rFonts w:ascii="Times New Roman" w:hAnsi="Times New Roman" w:eastAsia="宋体"/>
                <w:b w:val="0"/>
                <w:sz w:val="16"/>
                <w:szCs w:val="16"/>
              </w:rPr>
              <w:t>(intervention* OR treatment* OR therap* OR psychotherap* OR (psychological NEXT intervention) OR (psychological NEXT interventions) OR CBT OR iCBT OR cCBT OR dCBT OR (cognitive NEXT behavioral) OR (cognitive NEXT behavioural) OR mindfulness OR psychoeducation* OR self-help OR self-guided OR problem-solving OR (problem NEXT solving) OR (acceptance NEXT commitment) OR (dialectical NEXT behavior) OR (dialectical NEXT behaviour) OR DBT OR (behavioral NEXT activation) OR (behavioural NEXT activation)):ti,ab,kw</w:t>
            </w:r>
            <w:r>
              <w:rPr>
                <w:rFonts w:ascii="Times New Roman" w:hAnsi="Times New Roman" w:eastAsia="宋体"/>
                <w:b w:val="0"/>
                <w:sz w:val="16"/>
                <w:szCs w:val="16"/>
              </w:rPr>
              <w:br w:type="textWrapping"/>
            </w:r>
            <w:r>
              <w:rPr>
                <w:rFonts w:ascii="Times New Roman" w:hAnsi="Times New Roman" w:eastAsia="宋体"/>
                <w:b w:val="0"/>
                <w:sz w:val="16"/>
                <w:szCs w:val="16"/>
              </w:rPr>
              <w:t>#5</w:t>
            </w:r>
            <w:r>
              <w:rPr>
                <w:rFonts w:ascii="Times New Roman" w:hAnsi="Times New Roman" w:eastAsia="宋体"/>
                <w:b w:val="0"/>
                <w:sz w:val="16"/>
                <w:szCs w:val="16"/>
              </w:rPr>
              <w:br w:type="textWrapping"/>
            </w:r>
            <w:r>
              <w:rPr>
                <w:rFonts w:ascii="Times New Roman" w:hAnsi="Times New Roman" w:eastAsia="宋体"/>
                <w:b w:val="0"/>
                <w:sz w:val="16"/>
                <w:szCs w:val="16"/>
              </w:rPr>
              <w:t>((online NEXT intervention) OR (online NEXT interventions) OR (digital NEXT intervention) OR (digital NEXT interventions) OR (internet NEXT intervention) OR (internet NEXT interventions) OR internet-based NEXT intervention OR internet-based NEXT interventions OR internet-delivered NEXT intervention OR internet-delivered NEXT interventions OR web-based NEXT intervention OR web-based NEXT interventions OR mobile NEXT intervention OR mobile NEXT interventions OR app-based NEXT intervention OR app-based NEXT interventions OR (online NEXT psychotherapy) OR (online NEXT psychological NEXT intervention) OR (online NEXT psychological NEXT interventions) OR (digital NEXT psychological NEXT intervention) OR (digital NEXT psychological NEXT interventions) OR computer-assisted NEXT intervention OR computer-assisted NEXT interventions OR technology-delivered NEXT intervention OR technology-delivered NEXT interventions OR technology-based NEXT intervention OR technology-based NEXT interventions OR iCBT OR cCBT OR dCBT OR (digital NEXT CBT) OR internet-based NEXT CBT OR computerized NEXT CBT OR computerised NEXT CBT OR mobile-based NEXT CBT):ti,ab,kw</w:t>
            </w:r>
            <w:r>
              <w:rPr>
                <w:rFonts w:ascii="Times New Roman" w:hAnsi="Times New Roman" w:eastAsia="宋体"/>
                <w:b w:val="0"/>
                <w:sz w:val="16"/>
                <w:szCs w:val="16"/>
              </w:rPr>
              <w:br w:type="textWrapping"/>
            </w:r>
            <w:r>
              <w:rPr>
                <w:rFonts w:ascii="Times New Roman" w:hAnsi="Times New Roman" w:eastAsia="宋体"/>
                <w:b w:val="0"/>
                <w:sz w:val="16"/>
                <w:szCs w:val="16"/>
              </w:rPr>
              <w:t>#6</w:t>
            </w:r>
            <w:r>
              <w:rPr>
                <w:rFonts w:ascii="Times New Roman" w:hAnsi="Times New Roman" w:eastAsia="宋体"/>
                <w:b w:val="0"/>
                <w:sz w:val="16"/>
                <w:szCs w:val="16"/>
              </w:rPr>
              <w:br w:type="textWrapping"/>
            </w:r>
            <w:r>
              <w:rPr>
                <w:rFonts w:ascii="Times New Roman" w:hAnsi="Times New Roman" w:eastAsia="宋体"/>
                <w:b w:val="0"/>
                <w:sz w:val="16"/>
                <w:szCs w:val="16"/>
              </w:rPr>
              <w:t>#3 AND #4</w:t>
            </w:r>
            <w:r>
              <w:rPr>
                <w:rFonts w:ascii="Times New Roman" w:hAnsi="Times New Roman" w:eastAsia="宋体"/>
                <w:b w:val="0"/>
                <w:sz w:val="16"/>
                <w:szCs w:val="16"/>
              </w:rPr>
              <w:br w:type="textWrapping"/>
            </w:r>
            <w:r>
              <w:rPr>
                <w:rFonts w:ascii="Times New Roman" w:hAnsi="Times New Roman" w:eastAsia="宋体"/>
                <w:b w:val="0"/>
                <w:sz w:val="16"/>
                <w:szCs w:val="16"/>
              </w:rPr>
              <w:t>#7</w:t>
            </w:r>
            <w:r>
              <w:rPr>
                <w:rFonts w:ascii="Times New Roman" w:hAnsi="Times New Roman" w:eastAsia="宋体"/>
                <w:b w:val="0"/>
                <w:sz w:val="16"/>
                <w:szCs w:val="16"/>
              </w:rPr>
              <w:br w:type="textWrapping"/>
            </w:r>
            <w:r>
              <w:rPr>
                <w:rFonts w:ascii="Times New Roman" w:hAnsi="Times New Roman" w:eastAsia="宋体"/>
                <w:b w:val="0"/>
                <w:sz w:val="16"/>
                <w:szCs w:val="16"/>
              </w:rPr>
              <w:t>#6 OR #5</w:t>
            </w:r>
            <w:r>
              <w:rPr>
                <w:rFonts w:ascii="Times New Roman" w:hAnsi="Times New Roman" w:eastAsia="宋体"/>
                <w:b w:val="0"/>
                <w:sz w:val="16"/>
                <w:szCs w:val="16"/>
              </w:rPr>
              <w:br w:type="textWrapping"/>
            </w:r>
            <w:r>
              <w:rPr>
                <w:rFonts w:ascii="Times New Roman" w:hAnsi="Times New Roman" w:eastAsia="宋体"/>
                <w:b w:val="0"/>
                <w:sz w:val="16"/>
                <w:szCs w:val="16"/>
              </w:rPr>
              <w:t>#8</w:t>
            </w:r>
            <w:r>
              <w:rPr>
                <w:rFonts w:ascii="Times New Roman" w:hAnsi="Times New Roman" w:eastAsia="宋体"/>
                <w:b w:val="0"/>
                <w:sz w:val="16"/>
                <w:szCs w:val="16"/>
              </w:rPr>
              <w:br w:type="textWrapping"/>
            </w:r>
            <w:r>
              <w:rPr>
                <w:rFonts w:ascii="Times New Roman" w:hAnsi="Times New Roman" w:eastAsia="宋体"/>
                <w:b w:val="0"/>
                <w:sz w:val="16"/>
                <w:szCs w:val="16"/>
              </w:rPr>
              <w:t>#1 AND #2 AND #7</w:t>
            </w:r>
          </w:p>
        </w:tc>
        <w:tc>
          <w:tcPr>
            <w:tcW w:w="208" w:type="pct"/>
            <w:tcBorders>
              <w:top w:val="nil"/>
              <w:left w:val="nil"/>
              <w:bottom w:val="nil"/>
              <w:right w:val="nil"/>
              <w:insideH w:val="nil"/>
              <w:insideV w:val="nil"/>
            </w:tcBorders>
            <w:tcMar>
              <w:top w:w="45" w:type="dxa"/>
              <w:left w:w="45" w:type="dxa"/>
              <w:bottom w:w="45" w:type="dxa"/>
              <w:right w:w="45" w:type="dxa"/>
            </w:tcMar>
            <w:vAlign w:val="center"/>
          </w:tcPr>
          <w:p w14:paraId="47D9544E">
            <w:pPr>
              <w:spacing w:before="0" w:after="0" w:line="216" w:lineRule="auto"/>
              <w:rPr>
                <w:rFonts w:ascii="Times New Roman" w:hAnsi="Times New Roman"/>
                <w:sz w:val="16"/>
                <w:szCs w:val="16"/>
              </w:rPr>
            </w:pPr>
            <w:r>
              <w:rPr>
                <w:rFonts w:ascii="Times New Roman" w:hAnsi="Times New Roman" w:eastAsia="宋体"/>
                <w:b w:val="0"/>
                <w:sz w:val="16"/>
                <w:szCs w:val="16"/>
              </w:rPr>
              <w:t>109</w:t>
            </w:r>
          </w:p>
        </w:tc>
      </w:tr>
      <w:tr w14:paraId="3EAFC4C8">
        <w:tblPrEx>
          <w:tblCellMar>
            <w:top w:w="0" w:type="dxa"/>
            <w:left w:w="108" w:type="dxa"/>
            <w:bottom w:w="0" w:type="dxa"/>
            <w:right w:w="108" w:type="dxa"/>
          </w:tblCellMar>
        </w:tblPrEx>
        <w:trPr>
          <w:jc w:val="center"/>
        </w:trPr>
        <w:tc>
          <w:tcPr>
            <w:tcW w:w="460" w:type="pct"/>
            <w:tcBorders>
              <w:top w:val="nil"/>
              <w:left w:val="nil"/>
              <w:bottom w:val="single" w:color="000000" w:sz="12" w:space="0"/>
              <w:right w:val="nil"/>
              <w:insideH w:val="nil"/>
              <w:insideV w:val="nil"/>
            </w:tcBorders>
            <w:tcMar>
              <w:top w:w="45" w:type="dxa"/>
              <w:left w:w="45" w:type="dxa"/>
              <w:bottom w:w="45" w:type="dxa"/>
              <w:right w:w="45" w:type="dxa"/>
            </w:tcMar>
            <w:vAlign w:val="center"/>
          </w:tcPr>
          <w:p w14:paraId="59B83440">
            <w:pPr>
              <w:spacing w:before="0" w:after="0" w:line="216" w:lineRule="auto"/>
              <w:rPr>
                <w:rFonts w:ascii="Times New Roman" w:hAnsi="Times New Roman"/>
                <w:sz w:val="16"/>
                <w:szCs w:val="16"/>
              </w:rPr>
            </w:pPr>
            <w:r>
              <w:rPr>
                <w:rFonts w:ascii="Times New Roman" w:hAnsi="Times New Roman" w:eastAsia="宋体"/>
                <w:b w:val="0"/>
                <w:sz w:val="16"/>
                <w:szCs w:val="16"/>
              </w:rPr>
              <w:t>Scopus</w:t>
            </w:r>
          </w:p>
        </w:tc>
        <w:tc>
          <w:tcPr>
            <w:tcW w:w="4331" w:type="pct"/>
            <w:tcBorders>
              <w:top w:val="nil"/>
              <w:left w:val="nil"/>
              <w:bottom w:val="single" w:color="000000" w:sz="12" w:space="0"/>
              <w:right w:val="nil"/>
              <w:insideH w:val="nil"/>
              <w:insideV w:val="nil"/>
            </w:tcBorders>
            <w:tcMar>
              <w:top w:w="45" w:type="dxa"/>
              <w:left w:w="45" w:type="dxa"/>
              <w:bottom w:w="45" w:type="dxa"/>
              <w:right w:w="45" w:type="dxa"/>
            </w:tcMar>
            <w:vAlign w:val="center"/>
          </w:tcPr>
          <w:p w14:paraId="0D45EB1E">
            <w:pPr>
              <w:spacing w:before="0" w:after="0" w:line="216" w:lineRule="auto"/>
              <w:rPr>
                <w:rFonts w:ascii="Times New Roman" w:hAnsi="Times New Roman"/>
                <w:sz w:val="16"/>
                <w:szCs w:val="16"/>
              </w:rPr>
            </w:pPr>
            <w:r>
              <w:rPr>
                <w:rFonts w:ascii="Times New Roman" w:hAnsi="Times New Roman" w:eastAsia="宋体"/>
                <w:b w:val="0"/>
                <w:sz w:val="16"/>
                <w:szCs w:val="16"/>
              </w:rPr>
              <w:t>TITLE-ABS-KEY(adolescen* OR teen* OR youth* OR child* OR children OR juvenile* OR student* OR undergraduate* OR pediatric* OR paediatric* OR girl* OR boy* OR kids OR highschool* OR "young adult*" OR "young people" OR "young person*" OR "college student*" OR "university student*" OR "high school*" OR "secondary school*")</w:t>
            </w:r>
            <w:r>
              <w:rPr>
                <w:rFonts w:ascii="Times New Roman" w:hAnsi="Times New Roman" w:eastAsia="宋体"/>
                <w:b w:val="0"/>
                <w:sz w:val="16"/>
                <w:szCs w:val="16"/>
              </w:rPr>
              <w:br w:type="textWrapping"/>
            </w:r>
            <w:r>
              <w:rPr>
                <w:rFonts w:ascii="Times New Roman" w:hAnsi="Times New Roman" w:eastAsia="宋体"/>
                <w:b w:val="0"/>
                <w:sz w:val="16"/>
                <w:szCs w:val="16"/>
              </w:rPr>
              <w:t>AND TITLE-ABS-KEY(depress* OR "depressive symptom*" OR "depressive disorder*" OR "major depressive disorder" OR MDD OR dysthymi* OR "persistent depressive disorder" OR "subthreshold depress*" OR "subclinical depress*" OR "mood disorder*" OR "affective disorder*" OR internalizing OR internalising)</w:t>
            </w:r>
            <w:r>
              <w:rPr>
                <w:rFonts w:ascii="Times New Roman" w:hAnsi="Times New Roman" w:eastAsia="宋体"/>
                <w:b w:val="0"/>
                <w:sz w:val="16"/>
                <w:szCs w:val="16"/>
              </w:rPr>
              <w:br w:type="textWrapping"/>
            </w:r>
            <w:r>
              <w:rPr>
                <w:rFonts w:ascii="Times New Roman" w:hAnsi="Times New Roman" w:eastAsia="宋体"/>
                <w:b w:val="0"/>
                <w:sz w:val="16"/>
                <w:szCs w:val="16"/>
              </w:rPr>
              <w:t>AND TITLE-ABS-KEY(((digital OR online OR internet* OR web* OR website* OR computerized OR computerised OR computer* OR "computer-based" OR "computer-assisted" OR electronic OR eHealth OR "e-health" OR mHealth OR "m-health" OR mobile* OR smartphone* OR "smart phone*" OR "mobile phone*" OR app OR apps OR application* OR "mobile application*" OR "mobile app*" OR "app-based" OR "mobile-based" OR email OR "e-mail" OR videoconferenc* OR "video conferenc*" OR "social media" OR software OR telemedicine OR "telemental health" OR messaging OR "text messag*" OR texting OR SMS OR chatbot* OR "conversational agent*" OR "virtual reality" OR VR OR "serious game*" OR gamif*) AND (intervention* OR treatment* OR therap* OR psychotherap* OR "psychological intervention*" OR CBT OR iCBT OR cCBT OR dCBT OR "cognitive behavio*" OR mindfulness OR psychoeducation* OR "self-help" OR "self-guided" OR "problem-solving" OR "problem solving" OR "acceptance and commitment" OR "dialectical behavior*" OR "dialectical behaviour*" OR DBT OR "behavioral activation" OR "behavioural activation")) OR "online intervention*" OR "digital intervention*" OR "internet intervention*" OR "internet-based intervention*" OR "internet-delivered intervention*" OR "web-based intervention*" OR "mobile intervention*" OR "app-based intervention*" OR "online psychotherapy" OR "online psychological intervention*" OR "digital psychological intervention*" OR "computer-assisted intervention*" OR "technology-delivered intervention*" OR "technology-based intervention*" OR iCBT OR cCBT OR dCBT OR "digital CBT" OR "internet-based CBT" OR "computerized CBT" OR "computerised CBT" OR "mobile-based CBT")</w:t>
            </w:r>
            <w:r>
              <w:rPr>
                <w:rFonts w:ascii="Times New Roman" w:hAnsi="Times New Roman" w:eastAsia="宋体"/>
                <w:b w:val="0"/>
                <w:sz w:val="16"/>
                <w:szCs w:val="16"/>
              </w:rPr>
              <w:br w:type="textWrapping"/>
            </w:r>
            <w:r>
              <w:rPr>
                <w:rFonts w:ascii="Times New Roman" w:hAnsi="Times New Roman" w:eastAsia="宋体"/>
                <w:b w:val="0"/>
                <w:sz w:val="16"/>
                <w:szCs w:val="16"/>
              </w:rPr>
              <w:t>AND TITLE-ABS-KEY("systematic review*" OR "meta-analysis" OR "meta analysis" OR metaanaly* OR "network meta-analysis" OR "network meta analysis" OR "umbrella review*" OR "overview of reviews")</w:t>
            </w:r>
          </w:p>
        </w:tc>
        <w:tc>
          <w:tcPr>
            <w:tcW w:w="208" w:type="pct"/>
            <w:tcBorders>
              <w:top w:val="nil"/>
              <w:left w:val="nil"/>
              <w:bottom w:val="single" w:color="000000" w:sz="12" w:space="0"/>
              <w:right w:val="nil"/>
              <w:insideH w:val="nil"/>
              <w:insideV w:val="nil"/>
            </w:tcBorders>
            <w:tcMar>
              <w:top w:w="45" w:type="dxa"/>
              <w:left w:w="45" w:type="dxa"/>
              <w:bottom w:w="45" w:type="dxa"/>
              <w:right w:w="45" w:type="dxa"/>
            </w:tcMar>
            <w:vAlign w:val="center"/>
          </w:tcPr>
          <w:p w14:paraId="4EA75000">
            <w:pPr>
              <w:spacing w:before="0" w:after="0" w:line="216" w:lineRule="auto"/>
              <w:rPr>
                <w:rFonts w:ascii="Times New Roman" w:hAnsi="Times New Roman"/>
                <w:sz w:val="16"/>
                <w:szCs w:val="16"/>
              </w:rPr>
            </w:pPr>
            <w:r>
              <w:rPr>
                <w:rFonts w:ascii="Times New Roman" w:hAnsi="Times New Roman" w:eastAsia="宋体"/>
                <w:b w:val="0"/>
                <w:sz w:val="16"/>
                <w:szCs w:val="16"/>
              </w:rPr>
              <w:t>3,312</w:t>
            </w:r>
          </w:p>
        </w:tc>
      </w:tr>
    </w:tbl>
    <w:p w14:paraId="42E6D179">
      <w:pPr>
        <w:pStyle w:val="4"/>
        <w:bidi w:val="0"/>
        <w:rPr>
          <w:rFonts w:ascii="Times New Roman" w:hAnsi="Times New Roman"/>
          <w:lang w:val="en-US" w:eastAsia="en-US"/>
        </w:rPr>
      </w:pPr>
      <w:bookmarkStart w:id="2" w:name="_Toc2702"/>
      <w:r>
        <w:rPr>
          <w:rFonts w:ascii="Times New Roman" w:hAnsi="Times New Roman"/>
          <w:lang w:val="en-US" w:eastAsia="en-US"/>
        </w:rPr>
        <w:t>Supplementary Table S</w:t>
      </w:r>
      <w:r>
        <w:rPr>
          <w:rFonts w:hint="eastAsia" w:eastAsia="宋体"/>
          <w:lang w:val="en-US" w:eastAsia="zh-CN"/>
        </w:rPr>
        <w:t>2</w:t>
      </w:r>
      <w:r>
        <w:rPr>
          <w:rFonts w:ascii="Times New Roman" w:hAnsi="Times New Roman"/>
          <w:lang w:val="en-US" w:eastAsia="en-US"/>
        </w:rPr>
        <w:t>. Complete effect extraction and analysis-eligibility ledger</w:t>
      </w:r>
      <w:bookmarkEnd w:id="2"/>
    </w:p>
    <w:tbl>
      <w:tblPr>
        <w:tblStyle w:val="35"/>
        <w:tblW w:w="5000" w:type="pct"/>
        <w:jc w:val="center"/>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Layout w:type="autofit"/>
        <w:tblCellMar>
          <w:top w:w="0" w:type="dxa"/>
          <w:left w:w="108" w:type="dxa"/>
          <w:bottom w:w="0" w:type="dxa"/>
          <w:right w:w="108" w:type="dxa"/>
        </w:tblCellMar>
      </w:tblPr>
      <w:tblGrid>
        <w:gridCol w:w="1059"/>
        <w:gridCol w:w="547"/>
        <w:gridCol w:w="1550"/>
        <w:gridCol w:w="1355"/>
        <w:gridCol w:w="1791"/>
        <w:gridCol w:w="863"/>
        <w:gridCol w:w="722"/>
        <w:gridCol w:w="1059"/>
        <w:gridCol w:w="508"/>
        <w:gridCol w:w="1190"/>
        <w:gridCol w:w="884"/>
        <w:gridCol w:w="1522"/>
      </w:tblGrid>
      <w:tr w14:paraId="6CFCD864">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tblHeader/>
          <w:jc w:val="center"/>
        </w:trPr>
        <w:tc>
          <w:tcPr>
            <w:tcW w:w="414" w:type="pct"/>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280635B7">
            <w:pPr>
              <w:jc w:val="center"/>
              <w:rPr>
                <w:rFonts w:hint="default" w:ascii="Times New Roman" w:hAnsi="Times New Roman" w:cs="Times New Roman"/>
                <w:b/>
                <w:bCs/>
                <w:sz w:val="16"/>
                <w:szCs w:val="16"/>
              </w:rPr>
            </w:pPr>
            <w:r>
              <w:rPr>
                <w:rFonts w:hint="default" w:ascii="Times New Roman" w:hAnsi="Times New Roman" w:cs="Times New Roman"/>
                <w:b/>
                <w:bCs/>
                <w:sz w:val="16"/>
                <w:szCs w:val="16"/>
              </w:rPr>
              <w:t>Review</w:t>
            </w:r>
          </w:p>
        </w:tc>
        <w:tc>
          <w:tcPr>
            <w:tcW w:w="218" w:type="pct"/>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7CB0E8ED">
            <w:pPr>
              <w:jc w:val="center"/>
              <w:rPr>
                <w:rFonts w:hint="default" w:ascii="Times New Roman" w:hAnsi="Times New Roman" w:cs="Times New Roman"/>
                <w:b/>
                <w:bCs/>
                <w:sz w:val="16"/>
                <w:szCs w:val="16"/>
              </w:rPr>
            </w:pPr>
            <w:r>
              <w:rPr>
                <w:rFonts w:hint="default" w:ascii="Times New Roman" w:hAnsi="Times New Roman" w:cs="Times New Roman"/>
                <w:b/>
                <w:bCs/>
                <w:sz w:val="16"/>
                <w:szCs w:val="16"/>
              </w:rPr>
              <w:t>Effect ID</w:t>
            </w:r>
          </w:p>
        </w:tc>
        <w:tc>
          <w:tcPr>
            <w:tcW w:w="602" w:type="pct"/>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13988D15">
            <w:pPr>
              <w:jc w:val="center"/>
              <w:rPr>
                <w:rFonts w:hint="default" w:ascii="Times New Roman" w:hAnsi="Times New Roman" w:cs="Times New Roman"/>
                <w:b/>
                <w:bCs/>
                <w:sz w:val="16"/>
                <w:szCs w:val="16"/>
              </w:rPr>
            </w:pPr>
            <w:r>
              <w:rPr>
                <w:rFonts w:hint="default" w:ascii="Times New Roman" w:hAnsi="Times New Roman" w:cs="Times New Roman"/>
                <w:b/>
                <w:bCs/>
                <w:sz w:val="16"/>
                <w:szCs w:val="16"/>
              </w:rPr>
              <w:t>Outcome</w:t>
            </w:r>
          </w:p>
        </w:tc>
        <w:tc>
          <w:tcPr>
            <w:tcW w:w="527" w:type="pct"/>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5D23FC6F">
            <w:pPr>
              <w:jc w:val="center"/>
              <w:rPr>
                <w:rFonts w:hint="default" w:ascii="Times New Roman" w:hAnsi="Times New Roman" w:cs="Times New Roman"/>
                <w:b/>
                <w:bCs/>
                <w:sz w:val="16"/>
                <w:szCs w:val="16"/>
              </w:rPr>
            </w:pPr>
            <w:r>
              <w:rPr>
                <w:rFonts w:hint="default" w:ascii="Times New Roman" w:hAnsi="Times New Roman" w:cs="Times New Roman"/>
                <w:b/>
                <w:bCs/>
                <w:sz w:val="16"/>
                <w:szCs w:val="16"/>
              </w:rPr>
              <w:t>Time point</w:t>
            </w:r>
          </w:p>
        </w:tc>
        <w:tc>
          <w:tcPr>
            <w:tcW w:w="694" w:type="pct"/>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1C249261">
            <w:pPr>
              <w:jc w:val="center"/>
              <w:rPr>
                <w:rFonts w:hint="default" w:ascii="Times New Roman" w:hAnsi="Times New Roman" w:cs="Times New Roman"/>
                <w:b/>
                <w:bCs/>
                <w:sz w:val="16"/>
                <w:szCs w:val="16"/>
              </w:rPr>
            </w:pPr>
            <w:r>
              <w:rPr>
                <w:rFonts w:hint="default" w:ascii="Times New Roman" w:hAnsi="Times New Roman" w:cs="Times New Roman"/>
                <w:b/>
                <w:bCs/>
                <w:sz w:val="16"/>
                <w:szCs w:val="16"/>
              </w:rPr>
              <w:t>Comparator/subgroup</w:t>
            </w:r>
          </w:p>
        </w:tc>
        <w:tc>
          <w:tcPr>
            <w:tcW w:w="339" w:type="pct"/>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1006232E">
            <w:pPr>
              <w:jc w:val="center"/>
              <w:rPr>
                <w:rFonts w:hint="default" w:ascii="Times New Roman" w:hAnsi="Times New Roman" w:cs="Times New Roman"/>
                <w:b/>
                <w:bCs/>
                <w:sz w:val="16"/>
                <w:szCs w:val="16"/>
              </w:rPr>
            </w:pPr>
            <w:r>
              <w:rPr>
                <w:rFonts w:hint="default" w:ascii="Times New Roman" w:hAnsi="Times New Roman" w:cs="Times New Roman"/>
                <w:b/>
                <w:bCs/>
                <w:sz w:val="16"/>
                <w:szCs w:val="16"/>
              </w:rPr>
              <w:t>Measure</w:t>
            </w:r>
          </w:p>
        </w:tc>
        <w:tc>
          <w:tcPr>
            <w:tcW w:w="285" w:type="pct"/>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49510552">
            <w:pPr>
              <w:jc w:val="center"/>
              <w:rPr>
                <w:rFonts w:hint="default" w:ascii="Times New Roman" w:hAnsi="Times New Roman" w:cs="Times New Roman"/>
                <w:b/>
                <w:bCs/>
                <w:sz w:val="16"/>
                <w:szCs w:val="16"/>
              </w:rPr>
            </w:pPr>
            <w:r>
              <w:rPr>
                <w:rFonts w:hint="default" w:ascii="Times New Roman" w:hAnsi="Times New Roman" w:cs="Times New Roman"/>
                <w:b/>
                <w:bCs/>
                <w:sz w:val="16"/>
                <w:szCs w:val="16"/>
              </w:rPr>
              <w:t>Source-reported effect (95% CI/CrI)</w:t>
            </w:r>
          </w:p>
        </w:tc>
        <w:tc>
          <w:tcPr>
            <w:tcW w:w="414" w:type="pct"/>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29845E42">
            <w:pPr>
              <w:jc w:val="center"/>
              <w:rPr>
                <w:rFonts w:hint="default" w:ascii="Times New Roman" w:hAnsi="Times New Roman" w:cs="Times New Roman"/>
                <w:b/>
                <w:bCs/>
                <w:sz w:val="16"/>
                <w:szCs w:val="16"/>
              </w:rPr>
            </w:pPr>
            <w:r>
              <w:rPr>
                <w:rFonts w:hint="default" w:ascii="Times New Roman" w:hAnsi="Times New Roman" w:cs="Times New Roman"/>
                <w:b/>
                <w:bCs/>
                <w:sz w:val="16"/>
                <w:szCs w:val="16"/>
              </w:rPr>
              <w:t>k</w:t>
            </w:r>
          </w:p>
        </w:tc>
        <w:tc>
          <w:tcPr>
            <w:tcW w:w="203" w:type="pct"/>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04407D53">
            <w:pPr>
              <w:jc w:val="center"/>
              <w:rPr>
                <w:rFonts w:hint="default" w:ascii="Times New Roman" w:hAnsi="Times New Roman" w:cs="Times New Roman"/>
                <w:b/>
                <w:bCs/>
                <w:sz w:val="16"/>
                <w:szCs w:val="16"/>
              </w:rPr>
            </w:pPr>
            <w:r>
              <w:rPr>
                <w:rFonts w:hint="default" w:ascii="Times New Roman" w:hAnsi="Times New Roman" w:cs="Times New Roman"/>
                <w:b/>
                <w:bCs/>
                <w:sz w:val="16"/>
                <w:szCs w:val="16"/>
              </w:rPr>
              <w:t>I² (%)</w:t>
            </w:r>
          </w:p>
        </w:tc>
        <w:tc>
          <w:tcPr>
            <w:tcW w:w="464" w:type="pct"/>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4D2866DA">
            <w:pPr>
              <w:jc w:val="center"/>
              <w:rPr>
                <w:rFonts w:hint="default" w:ascii="Times New Roman" w:hAnsi="Times New Roman" w:cs="Times New Roman"/>
                <w:b/>
                <w:bCs/>
                <w:sz w:val="16"/>
                <w:szCs w:val="16"/>
              </w:rPr>
            </w:pPr>
            <w:r>
              <w:rPr>
                <w:rFonts w:hint="default" w:ascii="Times New Roman" w:hAnsi="Times New Roman" w:cs="Times New Roman"/>
                <w:b/>
                <w:bCs/>
                <w:sz w:val="16"/>
                <w:szCs w:val="16"/>
              </w:rPr>
              <w:t>Direction</w:t>
            </w:r>
          </w:p>
        </w:tc>
        <w:tc>
          <w:tcPr>
            <w:tcW w:w="347" w:type="pct"/>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1F4EF6F9">
            <w:pPr>
              <w:jc w:val="center"/>
              <w:rPr>
                <w:rFonts w:hint="default" w:ascii="Times New Roman" w:hAnsi="Times New Roman" w:cs="Times New Roman"/>
                <w:b/>
                <w:bCs/>
                <w:sz w:val="16"/>
                <w:szCs w:val="16"/>
              </w:rPr>
            </w:pPr>
            <w:r>
              <w:rPr>
                <w:rFonts w:hint="default" w:ascii="Times New Roman" w:hAnsi="Times New Roman" w:cs="Times New Roman"/>
                <w:b/>
                <w:bCs/>
                <w:sz w:val="16"/>
                <w:szCs w:val="16"/>
              </w:rPr>
              <w:t>Analytical use</w:t>
            </w:r>
          </w:p>
        </w:tc>
        <w:tc>
          <w:tcPr>
            <w:tcW w:w="489" w:type="pct"/>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62BD9C38">
            <w:pPr>
              <w:jc w:val="center"/>
              <w:rPr>
                <w:rFonts w:hint="default" w:ascii="Times New Roman" w:hAnsi="Times New Roman" w:cs="Times New Roman"/>
                <w:b/>
                <w:bCs/>
                <w:sz w:val="16"/>
                <w:szCs w:val="16"/>
              </w:rPr>
            </w:pPr>
            <w:r>
              <w:rPr>
                <w:rFonts w:hint="default" w:ascii="Times New Roman" w:hAnsi="Times New Roman" w:cs="Times New Roman"/>
                <w:b/>
                <w:bCs/>
                <w:sz w:val="16"/>
                <w:szCs w:val="16"/>
              </w:rPr>
              <w:t>Source location</w:t>
            </w:r>
          </w:p>
        </w:tc>
      </w:tr>
      <w:tr w14:paraId="1E5E8863">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2FA8F6A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Magwood et al. (2024)</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14A861E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A01</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77CC053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1947AC9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Short term</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08C4A17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Withheld control</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580B77A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4C23F4D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−0.36 (−0.63 to −0.10)</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30853FD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3</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7EDF2F8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NR</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1C611DA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1B9778A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62CDF38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Summary of Findings 1</w:t>
            </w:r>
          </w:p>
        </w:tc>
      </w:tr>
      <w:tr w14:paraId="314B8CE0">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51F2651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Magwood et al. (2024)</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1268B2D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A02</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0259290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6176106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Short term</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71C3D92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Active control</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50D1E2D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6B14172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−0.27 (−0.53 to −0.01)</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7C68DE2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2</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4DAF0EF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NR</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157E2CB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39DD030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4A8307A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Summary of Findings 2</w:t>
            </w:r>
          </w:p>
        </w:tc>
      </w:tr>
      <w:tr w14:paraId="688D94C3">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416A651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Magwood et al. (2024)</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6B166E1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A03</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57A5938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4C73FF9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Short term</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047D084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Withheld control</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35D752C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35FFA2F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−0.40 (−0.80 to 0.01)</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3C657D1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2</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4B890A4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NR</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69F509E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5C2F39C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24585A6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Summary of Findings 3</w:t>
            </w:r>
          </w:p>
        </w:tc>
      </w:tr>
      <w:tr w14:paraId="4AC6EFA6">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6BBBABE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Magwood et al. (2024)</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35BD607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A04</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34A2553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70B184F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Short term</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10E8E52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Active control app</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39B8B7F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71A097E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−0.59 (−0.98 to −0.19)</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3B5B813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2</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6E775CD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NR</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3F42CD4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2F16C56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217859D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Summary of Findings 4</w:t>
            </w:r>
          </w:p>
        </w:tc>
      </w:tr>
      <w:tr w14:paraId="2174F69E">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6C8793E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Magwood et al. (2024)</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495CF26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A05</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5AD0ED0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5DDF698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Short term</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362ADF3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Withheld control</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70B98A5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17F0431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−0.20 (−0.42 to 0.02)</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545DA97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2</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121060A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NR</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516EDCB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72918F2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51C3C43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Summary of Findings 5</w:t>
            </w:r>
          </w:p>
        </w:tc>
      </w:tr>
      <w:tr w14:paraId="7A675403">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64835E5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Noh et al. (2023)</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29FAD9F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A01</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6F87E9A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328AD8C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Posttest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2E2B2E9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All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665C5E7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Cohen’s 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6970234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−0.33 (−0.53 to −0.13)</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2B3E4C7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16</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3FE0873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76.4</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6C7C9D2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245A618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3C16AA3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Figure 3; PDF p. 7</w:t>
            </w:r>
          </w:p>
        </w:tc>
      </w:tr>
      <w:tr w14:paraId="19A8B219">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3DCED5B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Noh et al. (2023)</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05725FA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A02</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255EC39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3FFE855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Posttest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2B23AB6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iCBT</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07CEBB0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Cohen’s 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1232B7B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−0.35 (−0.60 to −0.11)</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5E7B3B5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11</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275576F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81.6</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48C83FF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1C37894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2BB6664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Figure 3; PDF p. 7</w:t>
            </w:r>
          </w:p>
        </w:tc>
      </w:tr>
      <w:tr w14:paraId="22EF3069">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66D1EE9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Noh et al. (2023)</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1EEC81C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A03</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4C50C85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1089843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3 months</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417BCD3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All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7FA2D49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Cohen’s 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68364CA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−0.13 (−0.34 to 0.09)</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4B1E62F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3</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1E93003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6A4AA6A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1459EA4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Follow-up synthesis</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4E045A8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Figure 3; PDF p. 9</w:t>
            </w:r>
          </w:p>
        </w:tc>
      </w:tr>
      <w:tr w14:paraId="06904BA8">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2B61B56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Noh et al. (2023)</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5150DD7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A04</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62FD7CD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67FCF42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6 months</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1CC441E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All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447399C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Cohen’s 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2C92F59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0.01 (−0.17 to 0.20)</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4004733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3</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61D61B7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70ACC17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0AD7E2B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Follow-up synthesis</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323A090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Figure 3 continued; PDF p. 9</w:t>
            </w:r>
          </w:p>
        </w:tc>
      </w:tr>
      <w:tr w14:paraId="5B3B738D">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2FF7C38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Noh et al. (2023)</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273F44A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A05</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1ADC92F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75F8DA9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12 months</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54BD001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All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5DBF69D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Cohen’s 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5232684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−0.04 (−0.29 to 0.22)</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33876B2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4</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57C38E8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67.5</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5D87B45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0C19887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Follow-up synthesis</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51C4FDD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Figure 3 continued; PDF p. 9</w:t>
            </w:r>
          </w:p>
        </w:tc>
      </w:tr>
      <w:tr w14:paraId="6D48496E">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7825AB9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Wu et al. (2023)</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1CDFECB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A01</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4D9A58B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 self-report</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32509C3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Posttest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5AE721A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All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4B1D477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7FD469A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−0.42 (−0.74 to −0.11)</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119CD40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18</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27F5383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89</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5D928B4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25E5D39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79B04D2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Results 2.4.1 and Figure 3; PDF pp. 4, 7</w:t>
            </w:r>
          </w:p>
        </w:tc>
      </w:tr>
      <w:tr w14:paraId="5F0B0C96">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04E8541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Wu et al. (2023)</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7630650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A02</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1567503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1364AA9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Posttest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1F35A9D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Attention control</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59DF9DE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1064870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−0.33 (−0.56 to −0.10)</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75739B3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8</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3FD4F0F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58</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58E713D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4197DC8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747809F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Figure 3; PDF p. 7</w:t>
            </w:r>
          </w:p>
        </w:tc>
      </w:tr>
      <w:tr w14:paraId="64AAEBE1">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6FADF77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Wu et al. (2023)</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3ED1C6E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A03</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0E98F18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4B2AA8B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3–6 months</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5F09964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All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46054EB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6BC74D1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−0.66 (−1.10 to −0.23)</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08A0058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5</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5BF96A0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73</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34726AE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4C92860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Follow-up synthesis</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3492186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Figure 4; PDF p. 7</w:t>
            </w:r>
          </w:p>
        </w:tc>
      </w:tr>
      <w:tr w14:paraId="23E9412D">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0932980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Wu et al. (2023)</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4BF8040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A04</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0B3B677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202440A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Post/follow-up mixed</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4CD5704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Self-guided</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2ADE650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480864C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−0.59 (−0.94 to −0.24)</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447C155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11</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4984672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83</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68B7DD5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75441C0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47CE368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Figure 5; PDF p. 8</w:t>
            </w:r>
          </w:p>
        </w:tc>
      </w:tr>
      <w:tr w14:paraId="296ADFA5">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5A10894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Thabrew et al. (2018)</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66DDE4B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A01</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75B57B2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7EFBB4B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Postintervention</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1AD6D3A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Any comparator</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07F1647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654818D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−0.06 (−0.35 to 0.23)</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6AEFB0D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5</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57F76E2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40.7</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2E43764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4EFB4CA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5EDD687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Analysis 1.1; printed p. 65/PDF p. 68</w:t>
            </w:r>
          </w:p>
        </w:tc>
      </w:tr>
      <w:tr w14:paraId="01327979">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3CA7C16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Thabrew et al. (2018)</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2B5FBB5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A02</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2A8E792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5A50897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3–6 months</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1638E77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Any comparator</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6A433D4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7F60F56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0.04 (−0.18 to 0.25)</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0C6DF3E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3</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6698F6E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4C4073E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3FDBF33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Follow-up synthesis</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62A06F8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Analysis 1.2; printed p. 65/PDF p. 69</w:t>
            </w:r>
          </w:p>
        </w:tc>
      </w:tr>
      <w:tr w14:paraId="73F215D2">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21E1135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Thabrew et al. (2018)</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6E25892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A03</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4D8772A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3CA811C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Postintervention</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0D74CEB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Waiting list</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7E319DE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0E4FCBD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−0.40 (−0.91 to 0.11)</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5160BC3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2</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0045046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28.4</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56F0D05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2292967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Strict primary</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1DDFDBD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Analysis 4.1; printed p. 75/PDF p. 78</w:t>
            </w:r>
          </w:p>
        </w:tc>
      </w:tr>
      <w:tr w14:paraId="140083FB">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0D45F6D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Wang et al. (2023)</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0C975D8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A01</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72D9F09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5AFF48E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Postintervention</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1C05938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Mixed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238B3B0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661C3DD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−0.42 (−0.56 to −0.27)</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4B2EA8D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18</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404D7C2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67</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3830B2E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564405C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35188FD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Results 3.4.2; Figure 5</w:t>
            </w:r>
          </w:p>
        </w:tc>
      </w:tr>
      <w:tr w14:paraId="3061D12E">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6898398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Wang et al. (2023)</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1CC9117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A02</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6904374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4441123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Postintervention</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6FBA427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Mixed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59DF72A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57D0556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−0.49 (−0.61 to −0.37)</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49E4812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11</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3A2E6EA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16</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1564AA6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1D19F68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60F9D5B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Table 2</w:t>
            </w:r>
          </w:p>
        </w:tc>
      </w:tr>
      <w:tr w14:paraId="40E356BE">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3902BDC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Wang et al. (2023)</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1EA054C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A03</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202D1DB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506A15E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Postintervention</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749C8E6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Mixed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0F53256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5B4AA4E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−0.42 (−0.76 to −0.08)</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12302C5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7</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04D4FAB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76</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6B43C8E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20905BE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5FC84C7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Table 2</w:t>
            </w:r>
          </w:p>
        </w:tc>
      </w:tr>
      <w:tr w14:paraId="21C64377">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4D016FE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Wang et al. (2023)</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6745BBC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A04</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16528C6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23B1CDC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Postintervention</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5A8F683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Mixed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2C4B7D9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6C0C717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−0.42 (−0.58 to −0.25)</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4F9A40E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14</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31A0160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72</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6D09C01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0A71CEE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149C7ED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Table 2</w:t>
            </w:r>
          </w:p>
        </w:tc>
      </w:tr>
      <w:tr w14:paraId="37599F96">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6FEA6C8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Wang et al. (2023)</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6367053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A05</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33B8BB8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11F89B1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Postintervention</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36E5469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Mixed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527C467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68FAFC6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−0.52 (−0.82 to −0.22)</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49937FC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3</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3CEB623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25</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0F70989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24A5D3A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319AE66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Table 2</w:t>
            </w:r>
          </w:p>
        </w:tc>
      </w:tr>
      <w:tr w14:paraId="43F6BE7B">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157BBD2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Wang et al. (2023)</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32E3920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A06</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1031174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47F4FD8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Postintervention</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61DD412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Mixed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6F21563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5E72830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−0.38 (−0.54 to −0.22)</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380FC35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13</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738DE18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64</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66F2D9B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6698357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0B9A692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Table 2</w:t>
            </w:r>
          </w:p>
        </w:tc>
      </w:tr>
      <w:tr w14:paraId="5D8EB7D0">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4CBA692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Wang et al. (2023)</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11EB6E9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A07</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792BBC1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36EDB0B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Postintervention</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7D8025F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Mixed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210E387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1659A0C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−0.55 (−0.94 to −0.16)</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54C9A1A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5</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4DDB9FC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73</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19746D4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031CB6D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04E26D3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Table 2</w:t>
            </w:r>
          </w:p>
        </w:tc>
      </w:tr>
      <w:tr w14:paraId="139D2EB1">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1332D15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Wang et al. (2026)</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2D233BC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A01</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48A7D8A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77CBD8A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Immediate postintervention</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2A66F94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NIC</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4001F00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166ED72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0.44 (−0.02 to 0.91)</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4EBB451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NA</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69FDAF4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NA</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6872B57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Positive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7F687AD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Network evidence map</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04FD82C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Table 2 and depression network results; 18 RCTs reported for the depression network, but only 17 depression RCTs identifiable in Table 1</w:t>
            </w:r>
          </w:p>
        </w:tc>
      </w:tr>
      <w:tr w14:paraId="75D19607">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57026D4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Wang et al. (2026)</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6538899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A02</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0674591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7EF5A03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Immediate postintervention</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52C2940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All network nodes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0619D87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SUCRA</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44C6B1D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79.3 (CI NA)</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140C142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NA</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7AA50B4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NA</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3F48A98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Higher ranking is better</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6FDB7EB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Network evidence map</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273EC9D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Figure 4 and Results</w:t>
            </w:r>
          </w:p>
        </w:tc>
      </w:tr>
      <w:tr w14:paraId="00996F4B">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66AAB8B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Pennant et al. (2015)</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6C4BD5B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A01</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4FD126E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Self-rated depression; depressed/elevated sample</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4AE39F5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Post-treatment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1F98F56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Non-therapeutic control</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2400AAB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17A4553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−0.62 (−1.13 to −0.11)</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3EA4F9D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7</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029B8B8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73</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2D2E432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645AC2C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Strict primary</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11ED916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Table 2</w:t>
            </w:r>
          </w:p>
        </w:tc>
      </w:tr>
      <w:tr w14:paraId="737E2A6A">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270AE07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Pennant et al. (2015)</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6E90663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A02</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07FF959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Clinician-rated depression; depressed/elevated sample</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6EB562F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Post-treatment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4FC7C54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Non-therapeutic control</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0E9D33D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12B40F0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−1.29 (−2.87 to 0.29)</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0C06304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2</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7E560BE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86</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5CD13F2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5C89F89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1D179BC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Table 2</w:t>
            </w:r>
          </w:p>
        </w:tc>
      </w:tr>
      <w:tr w14:paraId="571015A5">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6629222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Pennant et al. (2015)</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1103D05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A03</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201FE21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Self-rated depression; general population</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36DD451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Post-treatment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7E99B5D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Waiting list</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2DA0B6F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7D92252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−0.15 (−0.26 to −0.03)</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48D8B82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2EA6B46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NA</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4D133ED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0C2D7AC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692B638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Table 2</w:t>
            </w:r>
          </w:p>
        </w:tc>
      </w:tr>
      <w:tr w14:paraId="2605831C">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5CE3EC8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Pennant et al. (2015)</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3583312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A04</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48CDD18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Self-rated depression</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065C7DC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Post-treatment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1C9F21E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Face-to-face CBT</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13BDF20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6DCD8C0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1.65 (0.88 to 2.41)</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721F0C7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2</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09C069F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30</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552E748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Positive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5B79C47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726194C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Table 3</w:t>
            </w:r>
          </w:p>
        </w:tc>
      </w:tr>
      <w:tr w14:paraId="21F51D66">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502D59D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Pennant et al. (2015)</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2AFE9FB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A05</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190FF8B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Self-rated depression</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10E39BF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Post-treatment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3B154E5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Face-to-face counselling</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65CC3DA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5D3FF22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−0.23 (−0.51 to 0.06)</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250C8D4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08B7856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NA</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12713DC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6F48F5B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3010C37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Table 3</w:t>
            </w:r>
          </w:p>
        </w:tc>
      </w:tr>
      <w:tr w14:paraId="5806D63B">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6D67E9A9">
            <w:pPr>
              <w:spacing w:before="0" w:after="0" w:line="240" w:lineRule="auto"/>
              <w:jc w:val="center"/>
              <w:rPr>
                <w:rFonts w:hint="default" w:ascii="Times New Roman" w:hAnsi="Times New Roman" w:cs="Times New Roman"/>
                <w:sz w:val="16"/>
                <w:szCs w:val="16"/>
              </w:rPr>
            </w:pPr>
            <w:r>
              <w:rPr>
                <w:rFonts w:hint="eastAsia" w:cs="Times New Roman"/>
                <w:sz w:val="16"/>
                <w:szCs w:val="16"/>
                <w:lang w:eastAsia="zh-CN"/>
              </w:rPr>
              <w:t>Madrid-Cagigal</w:t>
            </w:r>
            <w:r>
              <w:rPr>
                <w:rFonts w:hint="default" w:ascii="Times New Roman" w:hAnsi="Times New Roman" w:cs="Times New Roman"/>
                <w:sz w:val="16"/>
                <w:szCs w:val="16"/>
              </w:rPr>
              <w:t xml:space="preserve"> et al. (2025)</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3F6B4DE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A01</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629189E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4D68259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Posttest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57AE676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All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35B4120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Cohen’s 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3A12A3A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0.55 (0.37 to 0.72)</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396E54A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16</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6C4B421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72.58</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7D8FDF0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Positive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3432A90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1DA16F5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Results 3.5 and Figure 2; PDF pp. 12–13</w:t>
            </w:r>
          </w:p>
        </w:tc>
      </w:tr>
      <w:tr w14:paraId="2B3DDC6D">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0052E02F">
            <w:pPr>
              <w:spacing w:before="0" w:after="0" w:line="240" w:lineRule="auto"/>
              <w:jc w:val="center"/>
              <w:rPr>
                <w:rFonts w:hint="default" w:ascii="Times New Roman" w:hAnsi="Times New Roman" w:cs="Times New Roman"/>
                <w:sz w:val="16"/>
                <w:szCs w:val="16"/>
              </w:rPr>
            </w:pPr>
            <w:r>
              <w:rPr>
                <w:rFonts w:hint="eastAsia" w:cs="Times New Roman"/>
                <w:sz w:val="16"/>
                <w:szCs w:val="16"/>
                <w:lang w:eastAsia="zh-CN"/>
              </w:rPr>
              <w:t>Madrid-Cagigal</w:t>
            </w:r>
            <w:r>
              <w:rPr>
                <w:rFonts w:hint="default" w:ascii="Times New Roman" w:hAnsi="Times New Roman" w:cs="Times New Roman"/>
                <w:sz w:val="16"/>
                <w:szCs w:val="16"/>
              </w:rPr>
              <w:t xml:space="preserve"> et al. (2025)</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32DEEE8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A02</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768DCC9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2B3BC2B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Posttest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13134BD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Fully automated</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566AD50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Cohen’s 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3422E45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0.53 (0.26 to 0.80)</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024B18B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8</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3DC6D72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NR</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0F967B7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Positive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4D4CFBE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254484B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Results 3.5 and Table 3; PDF pp. 12, 14</w:t>
            </w:r>
          </w:p>
        </w:tc>
      </w:tr>
      <w:tr w14:paraId="1CA1D0C7">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058A977B">
            <w:pPr>
              <w:spacing w:before="0" w:after="0" w:line="240" w:lineRule="auto"/>
              <w:jc w:val="center"/>
              <w:rPr>
                <w:rFonts w:hint="default" w:ascii="Times New Roman" w:hAnsi="Times New Roman" w:cs="Times New Roman"/>
                <w:sz w:val="16"/>
                <w:szCs w:val="16"/>
              </w:rPr>
            </w:pPr>
            <w:r>
              <w:rPr>
                <w:rFonts w:hint="eastAsia" w:cs="Times New Roman"/>
                <w:sz w:val="16"/>
                <w:szCs w:val="16"/>
                <w:lang w:eastAsia="zh-CN"/>
              </w:rPr>
              <w:t>Madrid-Cagigal</w:t>
            </w:r>
            <w:r>
              <w:rPr>
                <w:rFonts w:hint="default" w:ascii="Times New Roman" w:hAnsi="Times New Roman" w:cs="Times New Roman"/>
                <w:sz w:val="16"/>
                <w:szCs w:val="16"/>
              </w:rPr>
              <w:t xml:space="preserve"> et al. (2025)</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3208C75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A03</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106620B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23B0E7B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Posttest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6B0D49D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Guided</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1E7B320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Cohen’s 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68F6A1E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0.56 (0.32 to 0.81)</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419DE01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8</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5F30F0C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NR</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720AD84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Positive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0128AC8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3765B2D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Results 3.5 and Table 3; PDF pp. 12, 14</w:t>
            </w:r>
          </w:p>
        </w:tc>
      </w:tr>
      <w:tr w14:paraId="7A91945E">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3150432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Ebert et al. (2015)</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1CB8792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A01</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746FC7D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72C2467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Posttest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1F0EE5A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All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0C0BF98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Hedges’ g</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031EC18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0.56 (0.31 to 0.82)</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23EAEFE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11</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7461C99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53.88</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5204441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Positive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0A9E006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Strict primary</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3BB68C7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Table 2; PDF p. 9</w:t>
            </w:r>
          </w:p>
        </w:tc>
      </w:tr>
      <w:tr w14:paraId="0A872690">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3E1A331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Ebert et al. (2015)</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1F2A3F7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A02</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11B2A04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5A37DFC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Posttest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2EB4A03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Depression-targeted interventions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5E441B0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Hedges’ g</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4C8CF03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0.76 (0.41 to 1.12)</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1F44578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4</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4AD8081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61.42</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0BF83FB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Positive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39B651E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63144F6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Table 2; PDF p. 9</w:t>
            </w:r>
          </w:p>
        </w:tc>
      </w:tr>
      <w:tr w14:paraId="53945B89">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4704B7C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Harrer et al. (2019)</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087C13C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A01</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6107A23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691D3E4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Posttest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0923582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All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04D25A7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Hedges’ g</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009B348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0.18 (0.08 to 0.27)</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4864690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31</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5A37A9B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44</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615E69D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Positive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0447DCF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7824995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Table 2 and Results 3.3.1; PDF p. 10</w:t>
            </w:r>
          </w:p>
        </w:tc>
      </w:tr>
      <w:tr w14:paraId="112C24AB">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44FC1DF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Harrer et al. (2019)</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2FAA217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A02</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3ACB32F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1CDF392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Posttest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17AD432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Passive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112C166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Hedges’ g</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237076C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0.2</w:t>
            </w:r>
            <w:r>
              <w:rPr>
                <w:rFonts w:hint="eastAsia" w:ascii="Times New Roman" w:hAnsi="Times New Roman" w:cs="Times New Roman"/>
                <w:sz w:val="16"/>
                <w:szCs w:val="16"/>
                <w:lang w:eastAsia="zh-CN"/>
              </w:rPr>
              <w:t>7</w:t>
            </w:r>
            <w:r>
              <w:rPr>
                <w:rFonts w:hint="default" w:ascii="Times New Roman" w:hAnsi="Times New Roman" w:cs="Times New Roman"/>
                <w:sz w:val="16"/>
                <w:szCs w:val="16"/>
              </w:rPr>
              <w:t xml:space="preserve"> (0.17 to 0.36)</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55B76FA7">
            <w:pPr>
              <w:spacing w:before="0" w:after="0" w:line="240" w:lineRule="auto"/>
              <w:jc w:val="center"/>
              <w:rPr>
                <w:rFonts w:hint="default" w:ascii="Times New Roman" w:hAnsi="Times New Roman" w:eastAsia="宋体" w:cs="Times New Roman"/>
                <w:sz w:val="16"/>
                <w:szCs w:val="16"/>
                <w:lang w:val="en-US" w:eastAsia="zh-CN"/>
              </w:rPr>
            </w:pPr>
            <w:r>
              <w:rPr>
                <w:rFonts w:hint="eastAsia" w:cs="Times New Roman"/>
                <w:sz w:val="16"/>
                <w:szCs w:val="16"/>
                <w:lang w:val="en-US" w:eastAsia="zh-CN"/>
              </w:rPr>
              <w:t>24</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1432CFD5">
            <w:pPr>
              <w:spacing w:before="0" w:after="0" w:line="240" w:lineRule="auto"/>
              <w:jc w:val="center"/>
              <w:rPr>
                <w:rFonts w:hint="default" w:ascii="Times New Roman" w:hAnsi="Times New Roman" w:eastAsia="宋体" w:cs="Times New Roman"/>
                <w:sz w:val="16"/>
                <w:szCs w:val="16"/>
                <w:lang w:val="en-US" w:eastAsia="zh-CN"/>
              </w:rPr>
            </w:pPr>
            <w:r>
              <w:rPr>
                <w:rFonts w:hint="eastAsia" w:cs="Times New Roman"/>
                <w:sz w:val="16"/>
                <w:szCs w:val="16"/>
                <w:lang w:val="en-US" w:eastAsia="zh-CN"/>
              </w:rPr>
              <w:t>23.00</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155C247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Positive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2542A1E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Strict primary</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0BD3DEB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Table 3, control-group subgroup analysis; Results 3.4; PDF pp. 13–14</w:t>
            </w:r>
          </w:p>
        </w:tc>
      </w:tr>
      <w:tr w14:paraId="4FE97519">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6CF7F4A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Harrer et al. (2019)</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72B757A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A03</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37D7061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57672AA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Posttest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6FFD69B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Active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25CD102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Hedges’ g</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59DC516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−0.06 (−0.23 to 0.11)</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2F0F7ED0">
            <w:pPr>
              <w:spacing w:before="0" w:after="0" w:line="240" w:lineRule="auto"/>
              <w:jc w:val="center"/>
              <w:rPr>
                <w:rFonts w:hint="eastAsia" w:ascii="Times New Roman" w:hAnsi="Times New Roman" w:eastAsia="宋体" w:cs="Times New Roman"/>
                <w:sz w:val="16"/>
                <w:szCs w:val="16"/>
                <w:lang w:eastAsia="zh-CN"/>
              </w:rPr>
            </w:pPr>
            <w:r>
              <w:rPr>
                <w:rFonts w:hint="eastAsia" w:cs="Times New Roman"/>
                <w:sz w:val="16"/>
                <w:szCs w:val="16"/>
                <w:lang w:val="en-US" w:eastAsia="zh-CN"/>
              </w:rPr>
              <w:t>7</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663B888A">
            <w:pPr>
              <w:spacing w:before="0" w:after="0" w:line="240" w:lineRule="auto"/>
              <w:jc w:val="center"/>
              <w:rPr>
                <w:rFonts w:hint="default" w:ascii="Times New Roman" w:hAnsi="Times New Roman" w:eastAsia="宋体" w:cs="Times New Roman"/>
                <w:sz w:val="16"/>
                <w:szCs w:val="16"/>
                <w:lang w:val="en-US" w:eastAsia="zh-CN"/>
              </w:rPr>
            </w:pPr>
            <w:r>
              <w:rPr>
                <w:rFonts w:hint="eastAsia" w:cs="Times New Roman"/>
                <w:sz w:val="16"/>
                <w:szCs w:val="16"/>
                <w:lang w:val="en-US" w:eastAsia="zh-CN"/>
              </w:rPr>
              <w:t>50.00</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3A0EAEA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Positive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43F4152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Active-control subgroup</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48C17D3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Table 3, control-group subgroup analysis; Results 3.4; PDF pp. 13–14</w:t>
            </w:r>
          </w:p>
        </w:tc>
      </w:tr>
      <w:tr w14:paraId="5AC5E9B5">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2CED821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Feng et al. (2025)</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7AB0E12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A01</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5F50E71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5D1A9DE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Posttest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2512FAE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Mixed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256A9D7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Hedges’ g</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1F4091C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0.50 (0.18 to 0.82)</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5BA23E7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10</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572B2FA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89.7</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7FD679B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Positive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0939A81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59BABB1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Figure 3, overall depression effect</w:t>
            </w:r>
          </w:p>
        </w:tc>
      </w:tr>
      <w:tr w14:paraId="05EE6C99">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67F4178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Feng et al. (2025)</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143FC59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A02</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0F02E9C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27B7D84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Posttest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2867322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Mixed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3369D52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Hedges’ g</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5E369C8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0.61 (0.35 to 0.86)</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583198C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9</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3D6DD119">
            <w:pPr>
              <w:spacing w:before="0" w:after="0" w:line="240" w:lineRule="auto"/>
              <w:jc w:val="center"/>
              <w:rPr>
                <w:rFonts w:hint="eastAsia" w:ascii="Times New Roman" w:hAnsi="Times New Roman" w:eastAsia="宋体" w:cs="Times New Roman"/>
                <w:sz w:val="16"/>
                <w:szCs w:val="16"/>
                <w:lang w:val="en-US" w:eastAsia="zh-CN"/>
              </w:rPr>
            </w:pPr>
            <w:r>
              <w:rPr>
                <w:rFonts w:hint="default" w:ascii="Times New Roman" w:hAnsi="Times New Roman" w:cs="Times New Roman"/>
                <w:sz w:val="16"/>
                <w:szCs w:val="16"/>
              </w:rPr>
              <w:t>54.9</w:t>
            </w:r>
            <w:r>
              <w:rPr>
                <w:rFonts w:hint="eastAsia" w:cs="Times New Roman"/>
                <w:sz w:val="16"/>
                <w:szCs w:val="16"/>
                <w:lang w:val="en-US" w:eastAsia="zh-CN"/>
              </w:rPr>
              <w:t>0</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4A9AF6A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Positive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00C4F56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6231237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Results, “Depression—Overall Effect,” sensitivity analysis excluding the outlier; PDF p. 6</w:t>
            </w:r>
          </w:p>
        </w:tc>
      </w:tr>
      <w:tr w14:paraId="58558FB1">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5E10F651">
            <w:pPr>
              <w:spacing w:before="0" w:after="0" w:line="240" w:lineRule="auto"/>
              <w:jc w:val="center"/>
              <w:rPr>
                <w:rFonts w:hint="eastAsia" w:ascii="Times New Roman" w:hAnsi="Times New Roman" w:eastAsia="宋体" w:cs="Times New Roman"/>
                <w:sz w:val="16"/>
                <w:szCs w:val="16"/>
                <w:lang w:eastAsia="zh-CN"/>
              </w:rPr>
            </w:pPr>
            <w:r>
              <w:rPr>
                <w:rFonts w:hint="eastAsia" w:cs="Times New Roman"/>
                <w:sz w:val="16"/>
                <w:szCs w:val="16"/>
                <w:lang w:eastAsia="zh-CN"/>
              </w:rPr>
              <w:t>T. H. Chen et al. (2025)</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1B25ABC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A01</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5B0A06C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0AC564F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Posttest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5A15F37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University students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5FF13B2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Mean difference</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7D1426C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−1.34 (−2.08 to −0.59)</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415D4E4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3</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4A8B731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21</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7526BDD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2ECF5C4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73EAE04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Figure 4; PDF p. 7</w:t>
            </w:r>
          </w:p>
        </w:tc>
      </w:tr>
      <w:tr w14:paraId="19DC31E0">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0DC54F75">
            <w:pPr>
              <w:spacing w:before="0" w:after="0" w:line="240" w:lineRule="auto"/>
              <w:jc w:val="center"/>
              <w:rPr>
                <w:rFonts w:hint="eastAsia" w:ascii="Times New Roman" w:hAnsi="Times New Roman" w:eastAsia="宋体" w:cs="Times New Roman"/>
                <w:sz w:val="16"/>
                <w:szCs w:val="16"/>
                <w:lang w:eastAsia="zh-CN"/>
              </w:rPr>
            </w:pPr>
            <w:r>
              <w:rPr>
                <w:rFonts w:hint="eastAsia" w:cs="Times New Roman"/>
                <w:sz w:val="16"/>
                <w:szCs w:val="16"/>
                <w:lang w:eastAsia="zh-CN"/>
              </w:rPr>
              <w:t>T. H. Chen et al. (2025)</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0EA907F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X01</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71853BB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5F5FD32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Posttest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095FCC0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All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442F7E5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Mean difference</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3792443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−0.66 (−1.09 to −0.23)</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7F47085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9</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1B3F6E6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35</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475381C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37B84FB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Ineligible for pooling</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07B4535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Figure 3; PDF p. 6</w:t>
            </w:r>
          </w:p>
        </w:tc>
      </w:tr>
      <w:tr w14:paraId="4BA7A72A">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6EF9C56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Noh and Kim (2023)</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54BDB0A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A01</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78C7CB0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3B210B8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Posttest change</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41152DB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All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671BBB4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Hedges’ g</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722986D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−0.094 (−0.186 to −0.002)</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583FFDC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11</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7AC89B7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NR</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6FCBE79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1166503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Change-score sensitivity</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71C34A9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Figure 2 and Results; PDF pp. 7–8</w:t>
            </w:r>
          </w:p>
        </w:tc>
      </w:tr>
      <w:tr w14:paraId="4DE89AF1">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13F205B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Noh and Kim (2023)</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627ED0B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A02</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1DDEA8E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17E378F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Posttest change</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463E84E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Universal prevention</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7D92D4C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Hedges’ g</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328E0DE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−0.072 (−0.178 to 0.034)</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23CCA82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NR</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2B521D5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NR</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2D5F343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26B7463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308E4C1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Results; PDF p. 9</w:t>
            </w:r>
          </w:p>
        </w:tc>
      </w:tr>
      <w:tr w14:paraId="0DC4890F">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2E00442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Noh and Kim (2023)</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2898040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A03</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2E91D1D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7DA7895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Posttest change</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7F1894A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Selective prevention</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4BF6E08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Hedges’ g</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501DFA3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−0.140 (−0.321 to 0.042)</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21F5CCA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NR</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5E85D20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NR</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3A45433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7C87E41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19BE6D7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Results; PDF p. 9</w:t>
            </w:r>
          </w:p>
        </w:tc>
      </w:tr>
      <w:tr w14:paraId="358CCA24">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087ECB69">
            <w:pPr>
              <w:spacing w:before="0" w:after="0" w:line="240" w:lineRule="auto"/>
              <w:jc w:val="center"/>
              <w:rPr>
                <w:rFonts w:hint="eastAsia" w:ascii="Times New Roman" w:hAnsi="Times New Roman" w:eastAsia="宋体" w:cs="Times New Roman"/>
                <w:sz w:val="16"/>
                <w:szCs w:val="16"/>
                <w:lang w:eastAsia="zh-CN"/>
              </w:rPr>
            </w:pPr>
            <w:r>
              <w:rPr>
                <w:rFonts w:hint="eastAsia" w:cs="Times New Roman"/>
                <w:sz w:val="16"/>
                <w:szCs w:val="16"/>
                <w:lang w:eastAsia="zh-CN"/>
              </w:rPr>
              <w:t>Takizawa et al. (2026)</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046B81A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A01</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5509C12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6288C39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Posttest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7D570B4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Inactive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7423A02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Hedges’ g</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7E73058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0.06 (0.02 to 0.11)</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4536FC6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15</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521E5BA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16.34</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73914E3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Positive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29AE9F8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Extended sensitivity</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0CAD582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Table 7; PDF p. 14</w:t>
            </w:r>
          </w:p>
        </w:tc>
      </w:tr>
      <w:tr w14:paraId="2CFE81FA">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6380B339">
            <w:pPr>
              <w:spacing w:before="0" w:after="0" w:line="240" w:lineRule="auto"/>
              <w:jc w:val="center"/>
              <w:rPr>
                <w:rFonts w:hint="eastAsia" w:ascii="Times New Roman" w:hAnsi="Times New Roman" w:eastAsia="宋体" w:cs="Times New Roman"/>
                <w:sz w:val="16"/>
                <w:szCs w:val="16"/>
                <w:lang w:eastAsia="zh-CN"/>
              </w:rPr>
            </w:pPr>
            <w:r>
              <w:rPr>
                <w:rFonts w:hint="eastAsia" w:cs="Times New Roman"/>
                <w:sz w:val="16"/>
                <w:szCs w:val="16"/>
                <w:lang w:eastAsia="zh-CN"/>
              </w:rPr>
              <w:t>Takizawa et al. (2026)</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359C2F7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A02</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577E381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7FC0086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 month</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6C4586F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Inactive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2F82D3F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Hedges’ g</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149B217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0.06 (0.02 to 0.11)</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7EA987A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8</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48CA6B6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54C5616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Positive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75972F9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Follow-up synthesis</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1C2AC97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Table 9; PDF p. 14</w:t>
            </w:r>
          </w:p>
        </w:tc>
      </w:tr>
      <w:tr w14:paraId="229C0C69">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7D62271D">
            <w:pPr>
              <w:spacing w:before="0" w:after="0" w:line="240" w:lineRule="auto"/>
              <w:jc w:val="center"/>
              <w:rPr>
                <w:rFonts w:hint="eastAsia" w:ascii="Times New Roman" w:hAnsi="Times New Roman" w:eastAsia="宋体" w:cs="Times New Roman"/>
                <w:sz w:val="16"/>
                <w:szCs w:val="16"/>
                <w:lang w:eastAsia="zh-CN"/>
              </w:rPr>
            </w:pPr>
            <w:r>
              <w:rPr>
                <w:rFonts w:hint="eastAsia" w:cs="Times New Roman"/>
                <w:sz w:val="16"/>
                <w:szCs w:val="16"/>
                <w:lang w:eastAsia="zh-CN"/>
              </w:rPr>
              <w:t>Takizawa et al. (2026)</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4BA8309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A03</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0098065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760C3CC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≥6 months</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1309DF7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Inactive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7A4382C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Hedges’ g</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6A8FB9F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0.05 (0.00 to 0.10)</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34F33F9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5</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6AF8AFE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13189C7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Positive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1C2FACD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47AD713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Table 11; PDF p. 15</w:t>
            </w:r>
          </w:p>
        </w:tc>
      </w:tr>
      <w:tr w14:paraId="5B9E2D3C">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2F1D1F1A">
            <w:pPr>
              <w:spacing w:before="0" w:after="0" w:line="240" w:lineRule="auto"/>
              <w:jc w:val="center"/>
              <w:rPr>
                <w:rFonts w:hint="eastAsia" w:ascii="Times New Roman" w:hAnsi="Times New Roman" w:eastAsia="宋体" w:cs="Times New Roman"/>
                <w:sz w:val="16"/>
                <w:szCs w:val="16"/>
                <w:lang w:eastAsia="zh-CN"/>
              </w:rPr>
            </w:pPr>
            <w:r>
              <w:rPr>
                <w:rFonts w:hint="eastAsia" w:cs="Times New Roman"/>
                <w:sz w:val="16"/>
                <w:szCs w:val="16"/>
                <w:lang w:eastAsia="zh-CN"/>
              </w:rPr>
              <w:t>B. Chen et al. (2025)</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7060847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P01</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76F6498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2013D15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Posttest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5E0289D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iACT vs waiting list</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7FFAE58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0486907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−1.20 (−2.10 to −0.22)</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1FB196D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NA</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300F2A0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NA</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12CBC8C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39E593A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Network evidence map</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58EF10D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Figure 4; PDF p. 6</w:t>
            </w:r>
          </w:p>
        </w:tc>
      </w:tr>
      <w:tr w14:paraId="77AEBBD8">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4E8B9A39">
            <w:pPr>
              <w:spacing w:before="0" w:after="0" w:line="240" w:lineRule="auto"/>
              <w:jc w:val="center"/>
              <w:rPr>
                <w:rFonts w:hint="eastAsia" w:ascii="Times New Roman" w:hAnsi="Times New Roman" w:eastAsia="宋体" w:cs="Times New Roman"/>
                <w:sz w:val="16"/>
                <w:szCs w:val="16"/>
                <w:lang w:eastAsia="zh-CN"/>
              </w:rPr>
            </w:pPr>
            <w:r>
              <w:rPr>
                <w:rFonts w:hint="eastAsia" w:cs="Times New Roman"/>
                <w:sz w:val="16"/>
                <w:szCs w:val="16"/>
                <w:lang w:eastAsia="zh-CN"/>
              </w:rPr>
              <w:t>B. Chen et al. (2025)</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1F53CDF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P02</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09EE06D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539F23D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Posttest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067070F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iCBT vs waiting list</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4FD61F6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60A17CF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−1.10 (−1.80 to −0.59)</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3E9EBAF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NA</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2977D85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NA</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5C00372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4DE2778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Network evidence map</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7B545C5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Figure 4; PDF p. 6</w:t>
            </w:r>
          </w:p>
        </w:tc>
      </w:tr>
      <w:tr w14:paraId="2AE4D37D">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7BB010CF">
            <w:pPr>
              <w:spacing w:before="0" w:after="0" w:line="240" w:lineRule="auto"/>
              <w:jc w:val="center"/>
              <w:rPr>
                <w:rFonts w:hint="eastAsia" w:ascii="Times New Roman" w:hAnsi="Times New Roman" w:eastAsia="宋体" w:cs="Times New Roman"/>
                <w:sz w:val="16"/>
                <w:szCs w:val="16"/>
                <w:lang w:eastAsia="zh-CN"/>
              </w:rPr>
            </w:pPr>
            <w:r>
              <w:rPr>
                <w:rFonts w:hint="eastAsia" w:cs="Times New Roman"/>
                <w:sz w:val="16"/>
                <w:szCs w:val="16"/>
                <w:lang w:eastAsia="zh-CN"/>
              </w:rPr>
              <w:t>B. Chen et al. (2025)</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55695EA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P03</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2898801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6C1D3C4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Posttest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6DEA097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iDBT vs waiting list</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37704D3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77147EF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−3.70 (−5.70 to −1.60)</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6EA87D6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NA</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5FAAC0D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NA</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0219454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1621B09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Network evidence map</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08A2EB7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Figure 4; PDF p. 6</w:t>
            </w:r>
          </w:p>
        </w:tc>
      </w:tr>
      <w:tr w14:paraId="24E41800">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3BE1E959">
            <w:pPr>
              <w:spacing w:before="0" w:after="0" w:line="240" w:lineRule="auto"/>
              <w:jc w:val="center"/>
              <w:rPr>
                <w:rFonts w:hint="eastAsia" w:ascii="Times New Roman" w:hAnsi="Times New Roman" w:eastAsia="宋体" w:cs="Times New Roman"/>
                <w:sz w:val="16"/>
                <w:szCs w:val="16"/>
                <w:lang w:eastAsia="zh-CN"/>
              </w:rPr>
            </w:pPr>
            <w:r>
              <w:rPr>
                <w:rFonts w:hint="eastAsia" w:cs="Times New Roman"/>
                <w:sz w:val="16"/>
                <w:szCs w:val="16"/>
                <w:lang w:eastAsia="zh-CN"/>
              </w:rPr>
              <w:t>B. Chen et al. (2025)</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43922C7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P04</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0F5AD21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172C1D4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Posttest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1BD9E3D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iPDT vs waiting list</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2413228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483A376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−1.30 (−2.70 to −0.057)</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5173FB7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NA</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143EBC6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NA</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51AE142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3BAFA2C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Network evidence map</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215271E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Figure 4; PDF p. 6</w:t>
            </w:r>
          </w:p>
        </w:tc>
      </w:tr>
      <w:tr w14:paraId="415F3A4F">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3DC5E60C">
            <w:pPr>
              <w:spacing w:before="0" w:after="0" w:line="240" w:lineRule="auto"/>
              <w:jc w:val="center"/>
              <w:rPr>
                <w:rFonts w:hint="eastAsia" w:ascii="Times New Roman" w:hAnsi="Times New Roman" w:eastAsia="宋体" w:cs="Times New Roman"/>
                <w:sz w:val="16"/>
                <w:szCs w:val="16"/>
                <w:lang w:eastAsia="zh-CN"/>
              </w:rPr>
            </w:pPr>
            <w:r>
              <w:rPr>
                <w:rFonts w:hint="eastAsia" w:cs="Times New Roman"/>
                <w:sz w:val="16"/>
                <w:szCs w:val="16"/>
                <w:lang w:eastAsia="zh-CN"/>
              </w:rPr>
              <w:t>B. Chen et al. (2025)</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66B0588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P05</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035A4AA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4B50291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Posttest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3C75FC4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iDBT ranking</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78336DC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SUCRA</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366640E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0.9902 (CI NA)</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679D2AB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NA</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3BE29FA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NA</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56301D8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Higher ranking is better</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0B5B4BB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Network evidence map</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3846801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Table 1; PDF p. 7</w:t>
            </w:r>
          </w:p>
        </w:tc>
      </w:tr>
      <w:tr w14:paraId="14FF083E">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17DBD87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Wickersham et al. (2022)</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797EFE5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A01</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4EA1E24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 severity</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596370E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Longest available follow-up</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27F0C77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All eligible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24373F4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56881E6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−0.23 (−0.39 to −0.07)</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77BA771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10</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533EB83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59.5</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69548C6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0BDF63A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4F716DB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Figure 4 and Appendix 5</w:t>
            </w:r>
          </w:p>
        </w:tc>
      </w:tr>
      <w:tr w14:paraId="0CB02627">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58AA0D1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Wickersham et al. (2022)</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11DB9D6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A02</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4171BA0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 severity</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3E87AD6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Longest follow-up</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78BDE27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Treatment-focused studies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21B4DA3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3AE6946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−0.22 (−0.46 to 0.03)</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66DD708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7</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367338C2">
            <w:pPr>
              <w:spacing w:before="0" w:after="0" w:line="240" w:lineRule="auto"/>
              <w:jc w:val="center"/>
              <w:rPr>
                <w:rFonts w:hint="eastAsia" w:ascii="Times New Roman" w:hAnsi="Times New Roman" w:eastAsia="宋体" w:cs="Times New Roman"/>
                <w:sz w:val="16"/>
                <w:szCs w:val="16"/>
                <w:lang w:val="en-US" w:eastAsia="zh-CN"/>
              </w:rPr>
            </w:pPr>
            <w:r>
              <w:rPr>
                <w:rFonts w:hint="default" w:ascii="Times New Roman" w:hAnsi="Times New Roman" w:cs="Times New Roman"/>
                <w:sz w:val="16"/>
                <w:szCs w:val="16"/>
              </w:rPr>
              <w:t>68.7</w:t>
            </w:r>
            <w:r>
              <w:rPr>
                <w:rFonts w:hint="eastAsia" w:cs="Times New Roman"/>
                <w:sz w:val="16"/>
                <w:szCs w:val="16"/>
                <w:lang w:val="en-US" w:eastAsia="zh-CN"/>
              </w:rPr>
              <w:t>0</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780476C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7110461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201D4EF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Table 4, intervention-type stratification (treatment); PDF p. 9</w:t>
            </w:r>
          </w:p>
        </w:tc>
      </w:tr>
      <w:tr w14:paraId="53C3B41D">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776050C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Wickersham et al. (2022)</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050ECA4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A03</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0AB865E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 severity</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2862774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Longest follow-up</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4DC4081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Prevention-focused studies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6C13F2C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57C1D8C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−0.26 (−0.43 to −0.09)</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6D0987B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3</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43CDBACB">
            <w:pPr>
              <w:spacing w:before="0" w:after="0" w:line="240" w:lineRule="auto"/>
              <w:jc w:val="center"/>
              <w:rPr>
                <w:rFonts w:hint="eastAsia" w:ascii="Times New Roman" w:hAnsi="Times New Roman" w:eastAsia="宋体" w:cs="Times New Roman"/>
                <w:sz w:val="16"/>
                <w:szCs w:val="16"/>
                <w:lang w:val="en-US" w:eastAsia="zh-CN"/>
              </w:rPr>
            </w:pPr>
            <w:r>
              <w:rPr>
                <w:rFonts w:hint="default" w:ascii="Times New Roman" w:hAnsi="Times New Roman" w:cs="Times New Roman"/>
                <w:sz w:val="16"/>
                <w:szCs w:val="16"/>
              </w:rPr>
              <w:t>5.9</w:t>
            </w:r>
            <w:r>
              <w:rPr>
                <w:rFonts w:hint="eastAsia" w:cs="Times New Roman"/>
                <w:sz w:val="16"/>
                <w:szCs w:val="16"/>
                <w:lang w:val="en-US" w:eastAsia="zh-CN"/>
              </w:rPr>
              <w:t>0</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50C058C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0A010F1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00F857C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Table 4, intervention-type stratification (prevention); PDF p. 9</w:t>
            </w:r>
          </w:p>
        </w:tc>
      </w:tr>
      <w:tr w14:paraId="439E39C4">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51CB691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Wickersham et al. (2022)</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4C2DD48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A04</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412B93B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 severity</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3183790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Longest follow-up</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2D987C7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Active treatment control</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36C65FB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024B73B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−0.17 (−0.49 to 0.14)</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1442692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2</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5CB47FFE">
            <w:pPr>
              <w:spacing w:before="0" w:after="0" w:line="240" w:lineRule="auto"/>
              <w:jc w:val="center"/>
              <w:rPr>
                <w:rFonts w:hint="eastAsia" w:ascii="Times New Roman" w:hAnsi="Times New Roman" w:eastAsia="宋体" w:cs="Times New Roman"/>
                <w:sz w:val="16"/>
                <w:szCs w:val="16"/>
                <w:lang w:val="en-US" w:eastAsia="zh-CN"/>
              </w:rPr>
            </w:pPr>
            <w:r>
              <w:rPr>
                <w:rFonts w:hint="default" w:ascii="Times New Roman" w:hAnsi="Times New Roman" w:cs="Times New Roman"/>
                <w:sz w:val="16"/>
                <w:szCs w:val="16"/>
              </w:rPr>
              <w:t>32.1</w:t>
            </w:r>
            <w:r>
              <w:rPr>
                <w:rFonts w:hint="eastAsia" w:cs="Times New Roman"/>
                <w:sz w:val="16"/>
                <w:szCs w:val="16"/>
                <w:lang w:val="en-US" w:eastAsia="zh-CN"/>
              </w:rPr>
              <w:t>0</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1B852CA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05E993D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62D2F06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Table 4, control-group stratification (active treatment); PDF p. 9</w:t>
            </w:r>
          </w:p>
        </w:tc>
      </w:tr>
      <w:tr w14:paraId="1B5F8DAD">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5EA75D6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Wickersham et al. (2022)</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0BBECD2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A05</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6E0DAAD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 severity</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4EF8D36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Longest follow-up</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1A1AEE5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Waiting-list/attention/no-intervention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7EBA9D0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767048E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−0.25 (−0.43 to −0.07)</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4B5F4FA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9</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05FAB43A">
            <w:pPr>
              <w:spacing w:before="0" w:after="0" w:line="240" w:lineRule="auto"/>
              <w:jc w:val="center"/>
              <w:rPr>
                <w:rFonts w:hint="eastAsia" w:ascii="Times New Roman" w:hAnsi="Times New Roman" w:eastAsia="宋体" w:cs="Times New Roman"/>
                <w:sz w:val="16"/>
                <w:szCs w:val="16"/>
                <w:lang w:val="en-US" w:eastAsia="zh-CN"/>
              </w:rPr>
            </w:pPr>
            <w:r>
              <w:rPr>
                <w:rFonts w:hint="default" w:ascii="Times New Roman" w:hAnsi="Times New Roman" w:cs="Times New Roman"/>
                <w:sz w:val="16"/>
                <w:szCs w:val="16"/>
              </w:rPr>
              <w:t>61.9</w:t>
            </w:r>
            <w:r>
              <w:rPr>
                <w:rFonts w:hint="eastAsia" w:cs="Times New Roman"/>
                <w:sz w:val="16"/>
                <w:szCs w:val="16"/>
                <w:lang w:val="en-US" w:eastAsia="zh-CN"/>
              </w:rPr>
              <w:t>0</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1F05255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055D70E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5A7A46A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Table 4,control-group stratification (other controls</w:t>
            </w:r>
            <w:r>
              <w:rPr>
                <w:rFonts w:hint="eastAsia" w:cs="Times New Roman"/>
                <w:sz w:val="16"/>
                <w:szCs w:val="16"/>
                <w:lang w:val="en-US" w:eastAsia="zh-CN"/>
              </w:rPr>
              <w:t>, including non-active control conditions</w:t>
            </w:r>
            <w:r>
              <w:rPr>
                <w:rFonts w:hint="default" w:ascii="Times New Roman" w:hAnsi="Times New Roman" w:cs="Times New Roman"/>
                <w:sz w:val="16"/>
                <w:szCs w:val="16"/>
              </w:rPr>
              <w:t>); PDF p. 9</w:t>
            </w:r>
          </w:p>
        </w:tc>
      </w:tr>
      <w:tr w14:paraId="4BA03A05">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5ADA917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Hatoum et al. (2025)</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2F689D4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A01</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5147779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23C259D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Longest follow-up, mean 3.05 months</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427D2B0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Mostly active digital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4E350F5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Hedges’ g</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6FBEE86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−0.18 (−0.24 to −0.11)</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60703D7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9</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484075C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7EFB7B0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288F685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51EEBE9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Figure 2 and Results; PDF pp. 12, 14</w:t>
            </w:r>
          </w:p>
        </w:tc>
      </w:tr>
      <w:tr w14:paraId="239F021E">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2291FED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Li et al. (2021)</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02C551B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A01</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7EB3F36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786C1A4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Postintervention</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4C2124E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CCBT vs waiting list</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79B27E9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46467DD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−1.82 (−3.07 to −0.59)</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585AC1B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NA</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2245961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NA</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2867771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08684BD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Network evidence map</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25B0EAB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Results and league table; PDF p. 5</w:t>
            </w:r>
          </w:p>
        </w:tc>
      </w:tr>
      <w:tr w14:paraId="1430EB66">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7E5CD43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Li et al. (2021)</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0828E11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A02</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2AB2CEC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3B1D270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Postintervention</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0F8891A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CCBT vs education-based therapy</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6AD600C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4F651FE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−1.45 (−2.87 to −0.05)</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317106D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NA</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31843E8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NA</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47A71B9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3523C88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Network evidence map</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5B773D3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Results and league table; PDF p. 5</w:t>
            </w:r>
          </w:p>
        </w:tc>
      </w:tr>
      <w:tr w14:paraId="776F3225">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7C3C0FC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Li et al. (2021)</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414692B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A03</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460AAF8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3185BCB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Postintervention</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488BEF5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CCBT vs named control</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01D39ED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0AAE4FE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−1.13 (−2.17 to −0.11)</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0B4C524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NA</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3B64B61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NA</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03ACF7D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2346305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Network evidence map</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5203784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Results and league table; PDF p. 5</w:t>
            </w:r>
          </w:p>
        </w:tc>
      </w:tr>
      <w:tr w14:paraId="4A279FCC">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35D3FB7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Li et al. (2021)</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3B80EBA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A04</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73D7792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34C070E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Postintervention</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70B6B39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CCBT ranking</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2AD0ECC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SUCRA</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170D777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90.47% (95% CrI 0.55 to 1.00)</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2C2F027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NA</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13747AE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NA</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563FFE1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Higher ranking is better</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07BBE92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Network evidence map</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4DCCC49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Table 2 and Appendix C4; PDF p. 5</w:t>
            </w:r>
          </w:p>
        </w:tc>
      </w:tr>
      <w:tr w14:paraId="2D402C0B">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606BCB9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Grist et al. (2019)</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6FF5B22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A01</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7B57AB3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Depression-targeted intervention subgroup</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7DF0C83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Postintervention</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7404118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All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4FE76D1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Hedges’ g</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4B74E6D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0.43 (0.18 to 0.68)</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7C3DD7E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13</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195385A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NR</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4266901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Positive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5405474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5209CC4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Target-condition subgroup results; PDF p. 15</w:t>
            </w:r>
          </w:p>
        </w:tc>
      </w:tr>
      <w:tr w14:paraId="01A24698">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5EB8157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Välimäki et al. (2017)</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12F738D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A01</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6190615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65FD917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Postintervention</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68C4C44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All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6917B03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Author-reported median estimate</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3F5F991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1.68 (0.25 to 3.11)</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0D86353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10</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6362BA1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NR</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6EC31CA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Authors describe improvement</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616457E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7336B86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Abstract and Results; PDF pp. 1, 8</w:t>
            </w:r>
          </w:p>
        </w:tc>
      </w:tr>
      <w:tr w14:paraId="03E7D968">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16C61E4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Välimäki et al. (2017)</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266594A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A02</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4F2A864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77F591A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3–5 months</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31E6313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All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7C53471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Author-reported median estimate</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51AE792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2.91 (0.36 to 6.19)</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45067D8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4</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6542FEB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NR</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11835A4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Authors describe nonsignificant effect</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5E92BF7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Follow-up synthesis</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1E62AA6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Results; PDF p. 8</w:t>
            </w:r>
          </w:p>
        </w:tc>
      </w:tr>
      <w:tr w14:paraId="2A36A3B7">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7DB03A3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Välimäki et al. (2017)</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0F69511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A03</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118E0EE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7F7A158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≥6 months</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14F9BA4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All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74A471B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Author-reported median estimate</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20162D4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1.78 (0.37 to 3.20)</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6608FBE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3</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644439F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NR</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4B66C52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Authors describe improvement</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20CAB82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Follow-up synthesis</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275D159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Results; PDF p. 8</w:t>
            </w:r>
          </w:p>
        </w:tc>
      </w:tr>
      <w:tr w14:paraId="67AA739E">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4704A2C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Liu et al. (2024)</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3498C07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A01</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5904DCC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 severity</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74B8CD8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Posttest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1B13A0D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All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2F84300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1A1F78D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−0.49 (−0.66 to −0.33)</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5B8145B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16</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6C6932E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45</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3D74594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7FBF35A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3370FB2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Figure 3 and GRADE table</w:t>
            </w:r>
          </w:p>
        </w:tc>
      </w:tr>
      <w:tr w14:paraId="7AFCFA27">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7FED44F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Liu et al. (2024)</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407673B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A02</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7444029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 severity</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687AEF4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3 months</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2B14F6C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All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393E239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4083F36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−0.21 (−0.30 to −0.11)</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7E10722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10</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3DE767E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NR</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76AB590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6322FA5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7EC387A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GRADE table</w:t>
            </w:r>
          </w:p>
        </w:tc>
      </w:tr>
      <w:tr w14:paraId="46D39559">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3E045E2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Liu et al. (2024)</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1C9FE37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A03</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649EEF2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 severity</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2CA9ED6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6 months</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2F3A54E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All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2B38C7E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7653D5B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−0.18 (−0.35 to −0.02)</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61939F3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4</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7AA6C08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NR</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749F8A9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2488C7C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224ECC0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GRADE table</w:t>
            </w:r>
          </w:p>
        </w:tc>
      </w:tr>
      <w:tr w14:paraId="3BC17A08">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76CF599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Liu et al. (2024)</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5F3842B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A04</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235DF55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 severity</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73150C7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12 months</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579858B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All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0B165D8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7A86BCD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−0.38 (−0.56 to −0.20)</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6BAC7B6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2</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26D9A61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NR</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3F552A1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3E0063C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2C160A0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GRADE table</w:t>
            </w:r>
          </w:p>
        </w:tc>
      </w:tr>
      <w:tr w14:paraId="534441B8">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2C017D7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Liu et al. (2024)</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71FB72E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A05</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78CB101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Depression remission</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0DA38DE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Posttest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6E01BB7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All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69AADFA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RR</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3477D70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1.74 (1.36 to 2.21)</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752AEA8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7</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5A9131D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31</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66FC4B8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Higher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69C68C3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40D9749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Figure 4; NNT=4.35</w:t>
            </w:r>
          </w:p>
        </w:tc>
      </w:tr>
      <w:tr w14:paraId="7C1A7146">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794CF6B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Liu et al. (2024)</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15904D6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A06</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063A6D5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Depression remission</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514CE37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3 months</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322B79E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All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7529E92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RR</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6FCFDA6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1.13 (0.89 to 1.44)</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4B0D9FB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3</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52BC4FC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NR</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5D66F4B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Higher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05AD739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7395D49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Figure 4; NNT=16.7</w:t>
            </w:r>
          </w:p>
        </w:tc>
      </w:tr>
      <w:tr w14:paraId="723351BD">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2CD3E92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Liu et al. (2024)</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1634F03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A07</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07EF1B5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Acceptability, dropout</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697A272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Posttest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570B8F6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All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5F11D5E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RR</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4E4EC9C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1.22 (0.76 to 1.97)</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20FAA1A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16</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5896776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51</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5CC275D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Lower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3F7AFC3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3E16177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Figure 5</w:t>
            </w:r>
          </w:p>
        </w:tc>
      </w:tr>
      <w:tr w14:paraId="06A4B587">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1B4193F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Liu et al. (2024)</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0844531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A08</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42E46D0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Quality of life</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427F2B6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Posttest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11DC0BE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All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4624268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0E73A86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0.30 (0.07 to 0.54)</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1E84796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4</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778A5A9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1C26EEF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Higher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14784C9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234BBD5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Figure 6</w:t>
            </w:r>
          </w:p>
        </w:tc>
      </w:tr>
      <w:tr w14:paraId="60E20B70">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70A8B8F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Liu et al. (2024)</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171333E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A09</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218441F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Quality of life</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6CF4FAC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3 months</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541D4FC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All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5E8F7A7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43F0026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0.04 (−0.23 to 0.31)</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55845E5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3</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029FFCB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NR</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61D7BAC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Higher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26B2B18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772E45D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Figure 6</w:t>
            </w:r>
          </w:p>
        </w:tc>
      </w:tr>
      <w:tr w14:paraId="53514241">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5BD3D17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Townsend et al. (2022)</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0AD56DC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A01</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139928C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 severity</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312700C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Posttest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04A91BF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RCTs only</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20FFBB4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Hedges’ g</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746D3CF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−0.54 (−1.00 to −0.08)</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0552085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5</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4A49C15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84</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6CDB1DC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4EF2976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Strict primary</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551F1BA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Figure 3a</w:t>
            </w:r>
          </w:p>
        </w:tc>
      </w:tr>
      <w:tr w14:paraId="5072A5D7">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1B1BB5A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Townsend et al. (2022)</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29DB3A4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A02</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628F6D4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Anxiety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6DE94AB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Posttest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282448B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RCTs only</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1EC25F8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Hedges’ g</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108D02B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−0.05 (−0.31 to 0.22)</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730DB06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3</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309E88E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6</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3D094EC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2A36919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35A9692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Figure 4a</w:t>
            </w:r>
          </w:p>
        </w:tc>
      </w:tr>
      <w:tr w14:paraId="51D6493F">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645626E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Garrido et al. (2019)</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1647949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A01</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69F82AD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 severity</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45B1FCD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Posttest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33D36F9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No-intervention control</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1F0FADB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Cohen’s 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3B06C0C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0.33 (0.11 to 0.55)</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584ABD2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9</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7454301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66.69</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041B966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Positive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2462186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Strict primary</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7D2FB1B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Figure 2</w:t>
            </w:r>
          </w:p>
        </w:tc>
      </w:tr>
      <w:tr w14:paraId="6B1C2F0A">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037E7BA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Garrido et al. (2019)</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4FDFBF8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A02</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71C63C2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 severity</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78461CF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Posttest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49757EB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Active control</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4AD7E71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Cohen’s 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22D4A2F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0.14 (−0.04 to 0.31)</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5FE2B2E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6</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639A661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45.0</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4B4808C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Positive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0CFBA41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Active-control subgroup</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635B911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Figure 3</w:t>
            </w:r>
          </w:p>
        </w:tc>
      </w:tr>
      <w:tr w14:paraId="039C7C94">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060DB60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Garrido et al. (2019)</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7D6F845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A03</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36EA5FB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 severity</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45CE6B8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Posttest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2D6937B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No intervention; high interaction</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557A5F4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Cohen’s 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3D1BBD4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0.52 (0.23 to 0.80)</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582713D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5</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5F8B866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NR</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1EFFB5F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Positive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5C28B7E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71C818F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Figure 4</w:t>
            </w:r>
          </w:p>
        </w:tc>
      </w:tr>
      <w:tr w14:paraId="0632FE9D">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52FD8B1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Garrido et al. (2019)</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129708F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A04</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66C81A3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 severity</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4CD0A13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Posttest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21F013B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No intervention; low interaction</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40096FA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Cohen’s 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2DC1D51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0.16 (CI NR)</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6D1828F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2</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5B98F7C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NR</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7649749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Positive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3006499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4198A1B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Figure 4</w:t>
            </w:r>
          </w:p>
        </w:tc>
      </w:tr>
      <w:tr w14:paraId="08A38AE4">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095D74B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Garrido et al. (2019)</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665E8BE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A05</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04A2110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 severity</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240D619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Posttest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2254759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No intervention; no interaction</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46EFD55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Cohen’s 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6AD04FD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0.04 (CI NR)</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7DAA731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2</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37F8998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NR</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7AE9C62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Positive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3CDE37F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2B8016A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Figure 4</w:t>
            </w:r>
          </w:p>
        </w:tc>
      </w:tr>
      <w:tr w14:paraId="2BB0EFE0">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2A8661C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Garrido et al. (2019)</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1EE7F08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A06</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658A4DF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 severity</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63A152E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Posttest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1420624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Active control; high interaction</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46CCB9C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Cohen’s 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116E172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0.49 (−0.11 to 1.01)</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7C5257D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2</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52D3AED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NR</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75A18F9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Positive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24B6410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20CB99C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Figure 5</w:t>
            </w:r>
          </w:p>
        </w:tc>
      </w:tr>
      <w:tr w14:paraId="05AA4393">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41B7276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Ye et al. (2014)</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086DB3C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A01</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7734FC9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2E4D611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Postintervention</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5B05E1E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Waiting-list control</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6A0F18B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4A60D74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−0.16 (−0.44 to 0.12)</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36612E9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7</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30D31747">
            <w:pPr>
              <w:spacing w:before="0" w:after="0" w:line="240" w:lineRule="auto"/>
              <w:jc w:val="center"/>
              <w:rPr>
                <w:rFonts w:hint="default" w:ascii="Times New Roman" w:hAnsi="Times New Roman" w:eastAsia="宋体" w:cs="Times New Roman"/>
                <w:sz w:val="16"/>
                <w:szCs w:val="16"/>
                <w:lang w:val="en-US" w:eastAsia="zh-CN"/>
              </w:rPr>
            </w:pPr>
            <w:r>
              <w:rPr>
                <w:rFonts w:hint="default" w:ascii="Times New Roman" w:hAnsi="Times New Roman" w:cs="Times New Roman"/>
                <w:sz w:val="16"/>
                <w:szCs w:val="16"/>
              </w:rPr>
              <w:t>53</w:t>
            </w:r>
            <w:r>
              <w:rPr>
                <w:rFonts w:hint="eastAsia" w:cs="Times New Roman"/>
                <w:sz w:val="16"/>
                <w:szCs w:val="16"/>
                <w:lang w:val="en-US" w:eastAsia="zh-CN"/>
              </w:rPr>
              <w:t>.00</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582549E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281C40D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Extended sensitivity</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2EA856B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Results, postintervention depression outcome versus waitlist; Figure 2(c); PDF pp. 4 and 6</w:t>
            </w:r>
          </w:p>
        </w:tc>
      </w:tr>
      <w:tr w14:paraId="2C521490">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78A596A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Ye et al. (2014)</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5ED142A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A02</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3A3D955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003C858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Postintervention</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52E2E01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Face-to-face psychological intervention</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03B5F72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55AF47D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1.32 (−0.26 to 2.90)</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5B4C656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2</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5A52DD82">
            <w:pPr>
              <w:spacing w:before="0" w:after="0" w:line="240" w:lineRule="auto"/>
              <w:jc w:val="center"/>
              <w:rPr>
                <w:rFonts w:hint="default" w:ascii="Times New Roman" w:hAnsi="Times New Roman" w:eastAsia="宋体" w:cs="Times New Roman"/>
                <w:sz w:val="16"/>
                <w:szCs w:val="16"/>
                <w:lang w:val="en-US" w:eastAsia="zh-CN"/>
              </w:rPr>
            </w:pPr>
            <w:r>
              <w:rPr>
                <w:rFonts w:hint="eastAsia" w:cs="Times New Roman"/>
                <w:sz w:val="16"/>
                <w:szCs w:val="16"/>
                <w:lang w:val="en-US" w:eastAsia="zh-CN"/>
              </w:rPr>
              <w:t>82.00</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49C89F6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Source direction retained</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596311D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6CC588E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Results, internet-based versus face-to-face intervention; Figure 3(b); PDF p. 4</w:t>
            </w:r>
          </w:p>
        </w:tc>
      </w:tr>
      <w:tr w14:paraId="7E0C9781">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1CACEED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Lin et al. (2026)</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0101636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A01</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36120B8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60E979A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Postintervention</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60C1451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All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3F0EC6F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230D310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−0.26 (−0.41 to −0.12)</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6D68ABA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10</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107E644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20.4</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2B92A6F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3E1735D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5119644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Figure 3</w:t>
            </w:r>
          </w:p>
        </w:tc>
      </w:tr>
      <w:tr w14:paraId="0A0700B6">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589ADEE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Lin et al. (2026)</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5FD8A48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A02</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45ACB44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320D1A0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Earliest follow-up, 4–16 weeks</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159D475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All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2127C55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3DD5ED5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−0.33 (−0.57 to −0.09)</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66CF76C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5</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5D4EEBB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41.7</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63A9E18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350EAF1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Follow-up synthesis</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442B7E4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Figure 3</w:t>
            </w:r>
          </w:p>
        </w:tc>
      </w:tr>
      <w:tr w14:paraId="432E85C1">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2441675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Lin et al. (2026)</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20F5B57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A03</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6FF98B7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7E054BA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Postintervention</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188257B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Active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552F61B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2DF6B9D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−0.13 (−0.27 to 0.01)</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4B83C78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5</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11FE40B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1228100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4B43C48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Active-control subgroup</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4091D48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Supplementary Table S4</w:t>
            </w:r>
          </w:p>
        </w:tc>
      </w:tr>
      <w:tr w14:paraId="6DAB9899">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73544C1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Lin et al. (2026)</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32A2EE9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A04</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14FF451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7A4C7FA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Postintervention</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12A67BD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Passive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6FCD4A4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10B1C74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−0.46 (−0.65 to −0.27)</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4AB4BF0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5</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78CD3C8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3D26697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05DFB40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Strict primary</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53466D3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Supplementary Table S4</w:t>
            </w:r>
          </w:p>
        </w:tc>
      </w:tr>
      <w:tr w14:paraId="2A138122">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03C9F61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Sathe et al. (2026)</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68FBE74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A01</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38F90C3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 severity</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611B9E0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Endpoint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103EA03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All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6CC967E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Cohen’s 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488C1D2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−0.24 (−0.36 to −0.13)</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3656558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9</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532BADB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6F2AEA2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0770A85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7324C86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Figure 2</w:t>
            </w:r>
          </w:p>
        </w:tc>
      </w:tr>
      <w:tr w14:paraId="2E1CC405">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6957E63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Sathe et al. (2026)</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4399D7D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A02</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6F98EAF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Anxiety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0CCDD68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Endpoint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7FEDA89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All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03D26D3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Cohen’s 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146A55E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−0.16 (−0.38 to 0.05)</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6BEC911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6</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1FF6471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15.94</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01BACD7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0BF07B1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5206520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Supplementary Figure 4</w:t>
            </w:r>
          </w:p>
        </w:tc>
      </w:tr>
      <w:tr w14:paraId="0DEF9369">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01CE8E9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Sathe et al. (2026)</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06D6D2D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A03</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738F4DF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Any adverse event</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42A28AC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Endpoint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119DEDA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All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08BF079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RR</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69FB6B4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0.68 (0.45 to 1.04)</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6511CC2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7</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06957B7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7B2B242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Lower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465E8A9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78509ED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Supplementary Figure 5a</w:t>
            </w:r>
          </w:p>
        </w:tc>
      </w:tr>
      <w:tr w14:paraId="565AC24F">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1AE5456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Sathe et al. (2026)</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6A5F4AC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A04</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0CEFABF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Serious adverse event</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01B7BA1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Endpoint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6FE136B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All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39E3847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RR</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14FF87F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0.61 (0.09 to 3.98)</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3B65F8E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3</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682B85C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65C2F1E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Lower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48C3E08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609D860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Supplementary Figure 5b</w:t>
            </w:r>
          </w:p>
        </w:tc>
      </w:tr>
      <w:tr w14:paraId="5AC72365">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6AEAA9A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Sathe et al. (2026)</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32C4EB2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A05</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70C5F3C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Quality of life</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209DF3E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Endpoint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032FC6D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All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7304B53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Cohen’s 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6AC13B5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0.47 (0.18 to 0.75)</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3D136D8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3</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3588117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1DAB7D0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Higher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61959E1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189F7C89">
            <w:pPr>
              <w:spacing w:before="0" w:after="0" w:line="240" w:lineRule="auto"/>
              <w:jc w:val="center"/>
              <w:rPr>
                <w:rFonts w:hint="eastAsia" w:ascii="Times New Roman" w:hAnsi="Times New Roman" w:eastAsia="宋体" w:cs="Times New Roman"/>
                <w:sz w:val="16"/>
                <w:szCs w:val="16"/>
                <w:lang w:val="en-US" w:eastAsia="zh-CN"/>
              </w:rPr>
            </w:pPr>
            <w:r>
              <w:rPr>
                <w:rFonts w:hint="default" w:ascii="Times New Roman" w:hAnsi="Times New Roman" w:cs="Times New Roman"/>
                <w:sz w:val="16"/>
                <w:szCs w:val="16"/>
              </w:rPr>
              <w:t>Supplementary Figure 6; differs from the value reported in the main text</w:t>
            </w:r>
            <w:r>
              <w:rPr>
                <w:rFonts w:hint="eastAsia" w:ascii="Times New Roman" w:hAnsi="Times New Roman" w:cs="Times New Roman"/>
                <w:sz w:val="16"/>
                <w:szCs w:val="16"/>
                <w:lang w:val="en-US" w:eastAsia="zh-CN"/>
              </w:rPr>
              <w:t>*</w:t>
            </w:r>
          </w:p>
        </w:tc>
      </w:tr>
      <w:tr w14:paraId="2DCFB808">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04457AE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Sathe et al. (2026)</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5900555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A06</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1727652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Usability</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38D3149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Endpoint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3E5B8F8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All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296296D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Cohen’s 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38D6226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0.37 (0.11 to 0.62)</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0B22657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3</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7BB70CD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0992184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Higher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5FA5D9E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15C8AD8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Supplementary Figure 7</w:t>
            </w:r>
          </w:p>
        </w:tc>
      </w:tr>
      <w:tr w14:paraId="51692E1C">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026DF02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Sathe et al. (2026)</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5AA7DFD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A07</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79FEF4A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Acceptability</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7F3B601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Endpoint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791B1CF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All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19C240D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Cohen’s 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130E681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0.45 (0.02 to 0.89)</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0213D5B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4</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24D0310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79.3</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2F481BB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Higher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1C32066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24F8A96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Supplementary Figure 8</w:t>
            </w:r>
          </w:p>
        </w:tc>
      </w:tr>
      <w:tr w14:paraId="58EFC8CC">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12F8721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Sathe et al. (2026)</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5A35E51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A08</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5015467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Completion rate</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63A5DCD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Endpoint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49C6A5D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All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4A82C0D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RR</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68E1DCF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0.98 (0.89 to 1.08)</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0FA44C7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9</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026AF28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583D7AE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Higher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1F3912E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16B05A4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Supplementary Figure 9</w:t>
            </w:r>
          </w:p>
        </w:tc>
      </w:tr>
      <w:tr w14:paraId="4C7DEFA4">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3441146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Bevilacqua et al. (2024)</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42FAE78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A01</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2EA2EB4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6F35219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Postintervention</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5348C80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Technology-assisted CBT vs face-to-face CBT</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69B76F0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SMD</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23EEDDE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0.12 (−0.42 to 0.46)</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78D56BE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7</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4C48CF4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4215AAE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Positive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653319D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082A76D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Results and Figure 3</w:t>
            </w:r>
          </w:p>
        </w:tc>
      </w:tr>
      <w:tr w14:paraId="480FB7AF">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47D3E67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Tian et al. (2025)</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1E5E146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A01</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0474D7B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3A04E77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Postintervention</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2648D1E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Telepsychiatry vs waiting list/control</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78D8F8B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Hedges’ g</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727E3F0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0.54 (0.23 to 0.85)</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643AEDC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5</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3F50043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37</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5AA9A64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Positive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6338CCA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Strict primary</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6F9D6A3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Figure 4</w:t>
            </w:r>
          </w:p>
        </w:tc>
      </w:tr>
      <w:tr w14:paraId="7C20713F">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3D9A707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Tian et al. (2025)</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269F4C5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X01</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04C88D1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317FA2C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Postintervention</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643073F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 vs pre-intervention</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6AA5396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Hedges’ g</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6394071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0.83 (0.59 to 1.08)</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611D7E5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13</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04D849D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69</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27D5005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Positive indicates improvement</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0F89587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Ineligible for pooling</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65189F4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Figure 2 and Table 2</w:t>
            </w:r>
          </w:p>
        </w:tc>
      </w:tr>
      <w:tr w14:paraId="08661620">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0B284E0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Tian et al. (2025)</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3A18574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X02</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424714F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6EE62D4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Endpoint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43E90B7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Endpoint vs pre-intervention</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3766937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Hedges’ g</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2004005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1.14 (0.66 to 1.62)</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2CE6CDB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7</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6D80DB6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82</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0830F8E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Positive indicates improvement</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01CB84D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Ineligible for pooling</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54F44BF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Table 2</w:t>
            </w:r>
          </w:p>
        </w:tc>
      </w:tr>
      <w:tr w14:paraId="07CD08C9">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4035A6B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Reangsing et al. (2023)</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68D33EA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A01</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6E416D1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765E1ED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Postintervention or nearest assessment</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553EA89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Online MBI vs comparison groups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57A44A6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Hedges’ g</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2AF7D8A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0.184 (0.024 to 0.344)</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572A641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18 comparisons</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74E1053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61.8</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0B2B662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Positive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3783B83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1DDBE8A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Table 2</w:t>
            </w:r>
          </w:p>
        </w:tc>
      </w:tr>
      <w:tr w14:paraId="4FC1271B">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7252A9F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Bryant et al. (2024)</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6DCB4FB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A01</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5CC7CD1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Depression severity</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4939BCE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Postintervention</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7FF29E5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All control conditions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679077A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Hedges’ g</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782E82E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0.28 (0.08 to 0.47)</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6B2E4CC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9</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021611D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53.69</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477DD62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Positive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74A1543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4E33D3C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Figure 2B</w:t>
            </w:r>
          </w:p>
        </w:tc>
      </w:tr>
      <w:tr w14:paraId="276BC942">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17194DD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Christ et al. (2020)</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72673D2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A01</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78EB55A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6261FDE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Postintervention</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67162B2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Passive controls; all cCBT targets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379E3F1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Hedges’ g</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56EA634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0.52 (0.33 to 0.71)</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57FCD70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20</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368160D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68.69</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2AFB818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Positive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130882C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Strict primary</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75A69BF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Table 1</w:t>
            </w:r>
          </w:p>
        </w:tc>
      </w:tr>
      <w:tr w14:paraId="7C73E97A">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2748E37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Christ et al. (2020)</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56F7D3E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A02</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7A081F9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67C412B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Postintervention</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6033F25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Passive controls; one outlier removed</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6C33405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Hedges’ g</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2E94BCF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0.46 (0.29 to 0.63)</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11C610A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19</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7F455BE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58.49</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1CB27CA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Positive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3FA4E45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4B93FD3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Table 1</w:t>
            </w:r>
          </w:p>
        </w:tc>
      </w:tr>
      <w:tr w14:paraId="194428D4">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04FC183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Christ et al. (2020)</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02B8730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A03</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15ACDE1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7994AF1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Postintervention</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77BF7FA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Depression-targeted cCBT vs passive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1AC073E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Hedges’ g</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7097443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0.60 (0.35 to 0.85)</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40268D9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13</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4C526EF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73.27</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201B175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Positive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2EAD985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0E6BFB3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Table 1</w:t>
            </w:r>
          </w:p>
        </w:tc>
      </w:tr>
      <w:tr w14:paraId="539E4B04">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403A190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Christ et al. (2020)</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7705E53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A04</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2A9F39F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52F1EBF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Postintervention</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13F7072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Depression-targeted cCBT vs passive controls; outlier removed</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220EE34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Hedges’ g</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182BA98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0.51 (0.30 to 0.72)</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3BFFE56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12</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2A0A5E2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61.76</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49567AB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Positive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63E7369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31AA2AB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Table 1</w:t>
            </w:r>
          </w:p>
        </w:tc>
      </w:tr>
      <w:tr w14:paraId="09F9F8C8">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1EBF31E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Christ et al. (2020)</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4BAD97A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A05</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11D2491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6757ABA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Postintervention</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23B442D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Depression-targeted cCBT vs active treatment</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63008AC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Hedges’ g</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13E3A3A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−0.70 (−1.51 to 0.11)</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7D49DFE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4</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33FCBB6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90.63</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772DF27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Positive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00D3502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Active-control subgroup</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0719942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Table 1</w:t>
            </w:r>
          </w:p>
        </w:tc>
      </w:tr>
      <w:tr w14:paraId="1DDA6C59">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28C06C5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Christ et al. (2020)</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768A969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A06</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78E188C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1DDCB9A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1–5 months</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31E8F79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Passive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29F67C4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Hedges’ g</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6E42F1B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0.19 (−0.08 to 0.46)</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71942F2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2</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363E26A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115D43F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Positive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026D8F6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Follow-up synthesis</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26C1AA2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Table 7</w:t>
            </w:r>
          </w:p>
        </w:tc>
      </w:tr>
      <w:tr w14:paraId="31C9C758">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38C1C02F">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Christ et al. (2020)</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142DDA9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A07</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4E25F1D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665EDCD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6–12 months</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141D632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Passive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6049EA7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Hedges’ g</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7A902A7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0.27 (0.09 to 0.45)</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1028778A">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3</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187BDF6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75FC239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Positive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5BC3F53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Follow-up synthesis</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3F06FD6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Table 7</w:t>
            </w:r>
          </w:p>
        </w:tc>
      </w:tr>
      <w:tr w14:paraId="78D4ABCC">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61FB433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Leech et al. (2021)</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03C1C76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A01</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2E91142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0A81205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Immediate/short term</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3659A2D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All app controls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02DE2F1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Hedges’ g</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34A4684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0.52 (0.18 to 0.84)</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2075735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8</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7116981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79.37</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20B3595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Positive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608DB6ED">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0F2277BE">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Table 2</w:t>
            </w:r>
          </w:p>
        </w:tc>
      </w:tr>
      <w:tr w14:paraId="1D8E0ECF">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nil"/>
              <w:right w:val="nil"/>
              <w:insideH w:val="nil"/>
              <w:insideV w:val="nil"/>
            </w:tcBorders>
            <w:tcMar>
              <w:top w:w="45" w:type="dxa"/>
              <w:left w:w="45" w:type="dxa"/>
              <w:bottom w:w="45" w:type="dxa"/>
              <w:right w:w="45" w:type="dxa"/>
            </w:tcMar>
            <w:vAlign w:val="center"/>
          </w:tcPr>
          <w:p w14:paraId="568D8F6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Leech et al. (2021)</w:t>
            </w:r>
          </w:p>
        </w:tc>
        <w:tc>
          <w:tcPr>
            <w:tcW w:w="218" w:type="pct"/>
            <w:tcBorders>
              <w:top w:val="nil"/>
              <w:left w:val="nil"/>
              <w:bottom w:val="nil"/>
              <w:right w:val="nil"/>
              <w:insideH w:val="nil"/>
              <w:insideV w:val="nil"/>
            </w:tcBorders>
            <w:tcMar>
              <w:top w:w="45" w:type="dxa"/>
              <w:left w:w="45" w:type="dxa"/>
              <w:bottom w:w="45" w:type="dxa"/>
              <w:right w:w="45" w:type="dxa"/>
            </w:tcMar>
            <w:vAlign w:val="center"/>
          </w:tcPr>
          <w:p w14:paraId="35DEA5F6">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A02</w:t>
            </w:r>
          </w:p>
        </w:tc>
        <w:tc>
          <w:tcPr>
            <w:tcW w:w="602" w:type="pct"/>
            <w:tcBorders>
              <w:top w:val="nil"/>
              <w:left w:val="nil"/>
              <w:bottom w:val="nil"/>
              <w:right w:val="nil"/>
              <w:insideH w:val="nil"/>
              <w:insideV w:val="nil"/>
            </w:tcBorders>
            <w:tcMar>
              <w:top w:w="45" w:type="dxa"/>
              <w:left w:w="45" w:type="dxa"/>
              <w:bottom w:w="45" w:type="dxa"/>
              <w:right w:w="45" w:type="dxa"/>
            </w:tcMar>
            <w:vAlign w:val="center"/>
          </w:tcPr>
          <w:p w14:paraId="61132D5C">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nil"/>
              <w:right w:val="nil"/>
              <w:insideH w:val="nil"/>
              <w:insideV w:val="nil"/>
            </w:tcBorders>
            <w:tcMar>
              <w:top w:w="45" w:type="dxa"/>
              <w:left w:w="45" w:type="dxa"/>
              <w:bottom w:w="45" w:type="dxa"/>
              <w:right w:w="45" w:type="dxa"/>
            </w:tcMar>
            <w:vAlign w:val="center"/>
          </w:tcPr>
          <w:p w14:paraId="1E4EADD5">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6 weeks–6 months</w:t>
            </w:r>
          </w:p>
        </w:tc>
        <w:tc>
          <w:tcPr>
            <w:tcW w:w="694" w:type="pct"/>
            <w:tcBorders>
              <w:top w:val="nil"/>
              <w:left w:val="nil"/>
              <w:bottom w:val="nil"/>
              <w:right w:val="nil"/>
              <w:insideH w:val="nil"/>
              <w:insideV w:val="nil"/>
            </w:tcBorders>
            <w:tcMar>
              <w:top w:w="45" w:type="dxa"/>
              <w:left w:w="45" w:type="dxa"/>
              <w:bottom w:w="45" w:type="dxa"/>
              <w:right w:w="45" w:type="dxa"/>
            </w:tcMar>
            <w:vAlign w:val="center"/>
          </w:tcPr>
          <w:p w14:paraId="72F706EB">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Available follow-up studies</w:t>
            </w:r>
          </w:p>
        </w:tc>
        <w:tc>
          <w:tcPr>
            <w:tcW w:w="339" w:type="pct"/>
            <w:tcBorders>
              <w:top w:val="nil"/>
              <w:left w:val="nil"/>
              <w:bottom w:val="nil"/>
              <w:right w:val="nil"/>
              <w:insideH w:val="nil"/>
              <w:insideV w:val="nil"/>
            </w:tcBorders>
            <w:tcMar>
              <w:top w:w="45" w:type="dxa"/>
              <w:left w:w="45" w:type="dxa"/>
              <w:bottom w:w="45" w:type="dxa"/>
              <w:right w:w="45" w:type="dxa"/>
            </w:tcMar>
            <w:vAlign w:val="center"/>
          </w:tcPr>
          <w:p w14:paraId="69A2171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Hedges’ g</w:t>
            </w:r>
          </w:p>
        </w:tc>
        <w:tc>
          <w:tcPr>
            <w:tcW w:w="285" w:type="pct"/>
            <w:tcBorders>
              <w:top w:val="nil"/>
              <w:left w:val="nil"/>
              <w:bottom w:val="nil"/>
              <w:right w:val="nil"/>
              <w:insideH w:val="nil"/>
              <w:insideV w:val="nil"/>
            </w:tcBorders>
            <w:tcMar>
              <w:top w:w="45" w:type="dxa"/>
              <w:left w:w="45" w:type="dxa"/>
              <w:bottom w:w="45" w:type="dxa"/>
              <w:right w:w="45" w:type="dxa"/>
            </w:tcMar>
            <w:vAlign w:val="center"/>
          </w:tcPr>
          <w:p w14:paraId="588D3F3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NR</w:t>
            </w:r>
          </w:p>
        </w:tc>
        <w:tc>
          <w:tcPr>
            <w:tcW w:w="414" w:type="pct"/>
            <w:tcBorders>
              <w:top w:val="nil"/>
              <w:left w:val="nil"/>
              <w:bottom w:val="nil"/>
              <w:right w:val="nil"/>
              <w:insideH w:val="nil"/>
              <w:insideV w:val="nil"/>
            </w:tcBorders>
            <w:tcMar>
              <w:top w:w="45" w:type="dxa"/>
              <w:left w:w="45" w:type="dxa"/>
              <w:bottom w:w="45" w:type="dxa"/>
              <w:right w:w="45" w:type="dxa"/>
            </w:tcMar>
            <w:vAlign w:val="center"/>
          </w:tcPr>
          <w:p w14:paraId="369BF29C">
            <w:pPr>
              <w:spacing w:before="0" w:after="0" w:line="240" w:lineRule="auto"/>
              <w:jc w:val="center"/>
              <w:rPr>
                <w:rFonts w:hint="eastAsia" w:ascii="Times New Roman" w:hAnsi="Times New Roman" w:eastAsia="宋体" w:cs="Times New Roman"/>
                <w:sz w:val="16"/>
                <w:szCs w:val="16"/>
                <w:lang w:eastAsia="zh-CN"/>
              </w:rPr>
            </w:pPr>
            <w:r>
              <w:rPr>
                <w:rFonts w:hint="eastAsia" w:cs="Times New Roman"/>
                <w:sz w:val="16"/>
                <w:szCs w:val="16"/>
                <w:lang w:val="en-US" w:eastAsia="zh-CN"/>
              </w:rPr>
              <w:t>2</w:t>
            </w:r>
          </w:p>
        </w:tc>
        <w:tc>
          <w:tcPr>
            <w:tcW w:w="203" w:type="pct"/>
            <w:tcBorders>
              <w:top w:val="nil"/>
              <w:left w:val="nil"/>
              <w:bottom w:val="nil"/>
              <w:right w:val="nil"/>
              <w:insideH w:val="nil"/>
              <w:insideV w:val="nil"/>
            </w:tcBorders>
            <w:tcMar>
              <w:top w:w="45" w:type="dxa"/>
              <w:left w:w="45" w:type="dxa"/>
              <w:bottom w:w="45" w:type="dxa"/>
              <w:right w:w="45" w:type="dxa"/>
            </w:tcMar>
            <w:vAlign w:val="center"/>
          </w:tcPr>
          <w:p w14:paraId="0BF92E83">
            <w:pPr>
              <w:spacing w:before="0" w:after="0" w:line="240" w:lineRule="auto"/>
              <w:jc w:val="center"/>
              <w:rPr>
                <w:rFonts w:hint="eastAsia" w:ascii="Times New Roman" w:hAnsi="Times New Roman" w:eastAsia="宋体" w:cs="Times New Roman"/>
                <w:sz w:val="16"/>
                <w:szCs w:val="16"/>
                <w:lang w:eastAsia="zh-CN"/>
              </w:rPr>
            </w:pPr>
            <w:r>
              <w:rPr>
                <w:rFonts w:hint="default" w:ascii="Times New Roman" w:hAnsi="Times New Roman" w:cs="Times New Roman"/>
                <w:sz w:val="16"/>
                <w:szCs w:val="16"/>
              </w:rPr>
              <w:t>N</w:t>
            </w:r>
            <w:r>
              <w:rPr>
                <w:rFonts w:hint="eastAsia" w:cs="Times New Roman"/>
                <w:sz w:val="16"/>
                <w:szCs w:val="16"/>
                <w:lang w:val="en-US" w:eastAsia="zh-CN"/>
              </w:rPr>
              <w:t>A</w:t>
            </w:r>
          </w:p>
        </w:tc>
        <w:tc>
          <w:tcPr>
            <w:tcW w:w="464" w:type="pct"/>
            <w:tcBorders>
              <w:top w:val="nil"/>
              <w:left w:val="nil"/>
              <w:bottom w:val="nil"/>
              <w:right w:val="nil"/>
              <w:insideH w:val="nil"/>
              <w:insideV w:val="nil"/>
            </w:tcBorders>
            <w:tcMar>
              <w:top w:w="45" w:type="dxa"/>
              <w:left w:w="45" w:type="dxa"/>
              <w:bottom w:w="45" w:type="dxa"/>
              <w:right w:w="45" w:type="dxa"/>
            </w:tcMar>
            <w:vAlign w:val="center"/>
          </w:tcPr>
          <w:p w14:paraId="1774CCC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Positive favours intervention</w:t>
            </w:r>
          </w:p>
        </w:tc>
        <w:tc>
          <w:tcPr>
            <w:tcW w:w="347" w:type="pct"/>
            <w:tcBorders>
              <w:top w:val="nil"/>
              <w:left w:val="nil"/>
              <w:bottom w:val="nil"/>
              <w:right w:val="nil"/>
              <w:insideH w:val="nil"/>
              <w:insideV w:val="nil"/>
            </w:tcBorders>
            <w:tcMar>
              <w:top w:w="45" w:type="dxa"/>
              <w:left w:w="45" w:type="dxa"/>
              <w:bottom w:w="45" w:type="dxa"/>
              <w:right w:w="45" w:type="dxa"/>
            </w:tcMar>
            <w:vAlign w:val="center"/>
          </w:tcPr>
          <w:p w14:paraId="5D0CF0B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Narrative follow-up synthesis</w:t>
            </w:r>
          </w:p>
        </w:tc>
        <w:tc>
          <w:tcPr>
            <w:tcW w:w="489" w:type="pct"/>
            <w:tcBorders>
              <w:top w:val="nil"/>
              <w:left w:val="nil"/>
              <w:bottom w:val="nil"/>
              <w:right w:val="nil"/>
              <w:insideH w:val="nil"/>
              <w:insideV w:val="nil"/>
            </w:tcBorders>
            <w:tcMar>
              <w:top w:w="45" w:type="dxa"/>
              <w:left w:w="45" w:type="dxa"/>
              <w:bottom w:w="45" w:type="dxa"/>
              <w:right w:w="45" w:type="dxa"/>
            </w:tcMar>
            <w:vAlign w:val="center"/>
          </w:tcPr>
          <w:p w14:paraId="49B7B4A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Results 3.7 and 3.7.1; Table 3; PDF pp. 5–7</w:t>
            </w:r>
          </w:p>
        </w:tc>
      </w:tr>
      <w:tr w14:paraId="6FECCC54">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414" w:type="pct"/>
            <w:tcBorders>
              <w:top w:val="nil"/>
              <w:left w:val="nil"/>
              <w:bottom w:val="single" w:color="000000" w:sz="12" w:space="0"/>
              <w:right w:val="nil"/>
              <w:insideH w:val="nil"/>
              <w:insideV w:val="nil"/>
            </w:tcBorders>
            <w:tcMar>
              <w:top w:w="45" w:type="dxa"/>
              <w:left w:w="45" w:type="dxa"/>
              <w:bottom w:w="45" w:type="dxa"/>
              <w:right w:w="45" w:type="dxa"/>
            </w:tcMar>
            <w:vAlign w:val="center"/>
          </w:tcPr>
          <w:p w14:paraId="35BFFBF7">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Eilert et al. (2022)</w:t>
            </w:r>
          </w:p>
        </w:tc>
        <w:tc>
          <w:tcPr>
            <w:tcW w:w="218" w:type="pct"/>
            <w:tcBorders>
              <w:top w:val="nil"/>
              <w:left w:val="nil"/>
              <w:bottom w:val="single" w:color="000000" w:sz="12" w:space="0"/>
              <w:right w:val="nil"/>
              <w:insideH w:val="nil"/>
              <w:insideV w:val="nil"/>
            </w:tcBorders>
            <w:tcMar>
              <w:top w:w="45" w:type="dxa"/>
              <w:left w:w="45" w:type="dxa"/>
              <w:bottom w:w="45" w:type="dxa"/>
              <w:right w:w="45" w:type="dxa"/>
            </w:tcMar>
            <w:vAlign w:val="center"/>
          </w:tcPr>
          <w:p w14:paraId="6C9A4979">
            <w:pPr>
              <w:spacing w:before="0" w:after="0" w:line="240" w:lineRule="auto"/>
              <w:jc w:val="center"/>
              <w:rPr>
                <w:rFonts w:hint="default" w:ascii="Times New Roman" w:hAnsi="Times New Roman" w:eastAsia="宋体" w:cs="Times New Roman"/>
                <w:sz w:val="16"/>
                <w:szCs w:val="16"/>
                <w:lang w:val="en-US" w:eastAsia="zh-CN"/>
              </w:rPr>
            </w:pPr>
            <w:r>
              <w:rPr>
                <w:rFonts w:hint="eastAsia" w:cs="Times New Roman"/>
                <w:sz w:val="16"/>
                <w:szCs w:val="16"/>
                <w:lang w:val="en-US" w:eastAsia="zh-CN"/>
              </w:rPr>
              <w:t>A01</w:t>
            </w:r>
          </w:p>
        </w:tc>
        <w:tc>
          <w:tcPr>
            <w:tcW w:w="602" w:type="pct"/>
            <w:tcBorders>
              <w:top w:val="nil"/>
              <w:left w:val="nil"/>
              <w:bottom w:val="single" w:color="000000" w:sz="12" w:space="0"/>
              <w:right w:val="nil"/>
              <w:insideH w:val="nil"/>
              <w:insideV w:val="nil"/>
            </w:tcBorders>
            <w:tcMar>
              <w:top w:w="45" w:type="dxa"/>
              <w:left w:w="45" w:type="dxa"/>
              <w:bottom w:w="45" w:type="dxa"/>
              <w:right w:w="45" w:type="dxa"/>
            </w:tcMar>
            <w:vAlign w:val="center"/>
          </w:tcPr>
          <w:p w14:paraId="51A00979">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Depressive symptoms</w:t>
            </w:r>
          </w:p>
        </w:tc>
        <w:tc>
          <w:tcPr>
            <w:tcW w:w="527" w:type="pct"/>
            <w:tcBorders>
              <w:top w:val="nil"/>
              <w:left w:val="nil"/>
              <w:bottom w:val="single" w:color="000000" w:sz="12" w:space="0"/>
              <w:right w:val="nil"/>
              <w:insideH w:val="nil"/>
              <w:insideV w:val="nil"/>
            </w:tcBorders>
            <w:tcMar>
              <w:top w:w="45" w:type="dxa"/>
              <w:left w:w="45" w:type="dxa"/>
              <w:bottom w:w="45" w:type="dxa"/>
              <w:right w:w="45" w:type="dxa"/>
            </w:tcMar>
            <w:vAlign w:val="center"/>
          </w:tcPr>
          <w:p w14:paraId="4347C60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Postintervention</w:t>
            </w:r>
          </w:p>
        </w:tc>
        <w:tc>
          <w:tcPr>
            <w:tcW w:w="694" w:type="pct"/>
            <w:tcBorders>
              <w:top w:val="nil"/>
              <w:left w:val="nil"/>
              <w:bottom w:val="single" w:color="000000" w:sz="12" w:space="0"/>
              <w:right w:val="nil"/>
              <w:insideH w:val="nil"/>
              <w:insideV w:val="nil"/>
            </w:tcBorders>
            <w:tcMar>
              <w:top w:w="45" w:type="dxa"/>
              <w:left w:w="45" w:type="dxa"/>
              <w:bottom w:w="45" w:type="dxa"/>
              <w:right w:w="45" w:type="dxa"/>
            </w:tcMar>
            <w:vAlign w:val="center"/>
          </w:tcPr>
          <w:p w14:paraId="15EE347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Mixed intervention foci and control conditions</w:t>
            </w:r>
          </w:p>
        </w:tc>
        <w:tc>
          <w:tcPr>
            <w:tcW w:w="339" w:type="pct"/>
            <w:tcBorders>
              <w:top w:val="nil"/>
              <w:left w:val="nil"/>
              <w:bottom w:val="single" w:color="000000" w:sz="12" w:space="0"/>
              <w:right w:val="nil"/>
              <w:insideH w:val="nil"/>
              <w:insideV w:val="nil"/>
            </w:tcBorders>
            <w:tcMar>
              <w:top w:w="45" w:type="dxa"/>
              <w:left w:w="45" w:type="dxa"/>
              <w:bottom w:w="45" w:type="dxa"/>
              <w:right w:w="45" w:type="dxa"/>
            </w:tcMar>
            <w:vAlign w:val="center"/>
          </w:tcPr>
          <w:p w14:paraId="529E6E61">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Hedges’ g</w:t>
            </w:r>
          </w:p>
        </w:tc>
        <w:tc>
          <w:tcPr>
            <w:tcW w:w="285" w:type="pct"/>
            <w:tcBorders>
              <w:top w:val="nil"/>
              <w:left w:val="nil"/>
              <w:bottom w:val="single" w:color="000000" w:sz="12" w:space="0"/>
              <w:right w:val="nil"/>
              <w:insideH w:val="nil"/>
              <w:insideV w:val="nil"/>
            </w:tcBorders>
            <w:tcMar>
              <w:top w:w="45" w:type="dxa"/>
              <w:left w:w="45" w:type="dxa"/>
              <w:bottom w:w="45" w:type="dxa"/>
              <w:right w:w="45" w:type="dxa"/>
            </w:tcMar>
            <w:vAlign w:val="center"/>
          </w:tcPr>
          <w:p w14:paraId="2D421C88">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−0.27 (−0.55 to 0.01)</w:t>
            </w:r>
          </w:p>
        </w:tc>
        <w:tc>
          <w:tcPr>
            <w:tcW w:w="414" w:type="pct"/>
            <w:tcBorders>
              <w:top w:val="nil"/>
              <w:left w:val="nil"/>
              <w:bottom w:val="single" w:color="000000" w:sz="12" w:space="0"/>
              <w:right w:val="nil"/>
              <w:insideH w:val="nil"/>
              <w:insideV w:val="nil"/>
            </w:tcBorders>
            <w:tcMar>
              <w:top w:w="45" w:type="dxa"/>
              <w:left w:w="45" w:type="dxa"/>
              <w:bottom w:w="45" w:type="dxa"/>
              <w:right w:w="45" w:type="dxa"/>
            </w:tcMar>
            <w:vAlign w:val="center"/>
          </w:tcPr>
          <w:p w14:paraId="305773C0">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13 comparisons from 10 studies</w:t>
            </w:r>
          </w:p>
        </w:tc>
        <w:tc>
          <w:tcPr>
            <w:tcW w:w="203" w:type="pct"/>
            <w:tcBorders>
              <w:top w:val="nil"/>
              <w:left w:val="nil"/>
              <w:bottom w:val="single" w:color="000000" w:sz="12" w:space="0"/>
              <w:right w:val="nil"/>
              <w:insideH w:val="nil"/>
              <w:insideV w:val="nil"/>
            </w:tcBorders>
            <w:tcMar>
              <w:top w:w="45" w:type="dxa"/>
              <w:left w:w="45" w:type="dxa"/>
              <w:bottom w:w="45" w:type="dxa"/>
              <w:right w:w="45" w:type="dxa"/>
            </w:tcMar>
            <w:vAlign w:val="center"/>
          </w:tcPr>
          <w:p w14:paraId="0E44684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71.40</w:t>
            </w:r>
          </w:p>
        </w:tc>
        <w:tc>
          <w:tcPr>
            <w:tcW w:w="464" w:type="pct"/>
            <w:tcBorders>
              <w:top w:val="nil"/>
              <w:left w:val="nil"/>
              <w:bottom w:val="single" w:color="000000" w:sz="12" w:space="0"/>
              <w:right w:val="nil"/>
              <w:insideH w:val="nil"/>
              <w:insideV w:val="nil"/>
            </w:tcBorders>
            <w:tcMar>
              <w:top w:w="45" w:type="dxa"/>
              <w:left w:w="45" w:type="dxa"/>
              <w:bottom w:w="45" w:type="dxa"/>
              <w:right w:w="45" w:type="dxa"/>
            </w:tcMar>
            <w:vAlign w:val="center"/>
          </w:tcPr>
          <w:p w14:paraId="781AE282">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Negative favours intervention</w:t>
            </w:r>
          </w:p>
        </w:tc>
        <w:tc>
          <w:tcPr>
            <w:tcW w:w="347" w:type="pct"/>
            <w:tcBorders>
              <w:top w:val="nil"/>
              <w:left w:val="nil"/>
              <w:bottom w:val="single" w:color="000000" w:sz="12" w:space="0"/>
              <w:right w:val="nil"/>
              <w:insideH w:val="nil"/>
              <w:insideV w:val="nil"/>
            </w:tcBorders>
            <w:tcMar>
              <w:top w:w="45" w:type="dxa"/>
              <w:left w:w="45" w:type="dxa"/>
              <w:bottom w:w="45" w:type="dxa"/>
              <w:right w:w="45" w:type="dxa"/>
            </w:tcMar>
            <w:vAlign w:val="center"/>
          </w:tcPr>
          <w:p w14:paraId="7A3F7474">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Extracted; not pooled because the target comparison was not separately recoverable</w:t>
            </w:r>
          </w:p>
        </w:tc>
        <w:tc>
          <w:tcPr>
            <w:tcW w:w="489" w:type="pct"/>
            <w:tcBorders>
              <w:top w:val="nil"/>
              <w:left w:val="nil"/>
              <w:bottom w:val="single" w:color="000000" w:sz="12" w:space="0"/>
              <w:right w:val="nil"/>
              <w:insideH w:val="nil"/>
              <w:insideV w:val="nil"/>
            </w:tcBorders>
            <w:tcMar>
              <w:top w:w="45" w:type="dxa"/>
              <w:left w:w="45" w:type="dxa"/>
              <w:bottom w:w="45" w:type="dxa"/>
              <w:right w:w="45" w:type="dxa"/>
            </w:tcMar>
            <w:vAlign w:val="center"/>
          </w:tcPr>
          <w:p w14:paraId="2755CF43">
            <w:pPr>
              <w:spacing w:before="0" w:after="0" w:line="240" w:lineRule="auto"/>
              <w:jc w:val="center"/>
              <w:rPr>
                <w:rFonts w:hint="default" w:ascii="Times New Roman" w:hAnsi="Times New Roman" w:cs="Times New Roman"/>
                <w:sz w:val="16"/>
                <w:szCs w:val="16"/>
              </w:rPr>
            </w:pPr>
            <w:r>
              <w:rPr>
                <w:rFonts w:hint="default" w:ascii="Times New Roman" w:hAnsi="Times New Roman" w:cs="Times New Roman"/>
                <w:sz w:val="16"/>
                <w:szCs w:val="16"/>
              </w:rPr>
              <w:t>Results, “Random-Effects Model for Depression”; Figure 3; PDF p. 12</w:t>
            </w:r>
          </w:p>
        </w:tc>
      </w:tr>
    </w:tbl>
    <w:p w14:paraId="1203EAA5">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rPr>
          <w:rFonts w:hint="eastAsia" w:ascii="Times New Roman" w:hAnsi="Times New Roman" w:eastAsia="宋体"/>
          <w:i/>
          <w:kern w:val="2"/>
          <w:sz w:val="16"/>
          <w:szCs w:val="24"/>
          <w:lang w:val="en-US" w:eastAsia="zh-CN"/>
        </w:rPr>
      </w:pPr>
      <w:r>
        <w:rPr>
          <w:rFonts w:hint="eastAsia" w:ascii="Times New Roman" w:hAnsi="Times New Roman" w:eastAsia="宋体"/>
          <w:b/>
          <w:bCs/>
          <w:i/>
          <w:kern w:val="2"/>
          <w:sz w:val="16"/>
          <w:szCs w:val="24"/>
          <w:lang w:val="en-US" w:eastAsia="zh-CN"/>
        </w:rPr>
        <w:t>N</w:t>
      </w:r>
      <w:r>
        <w:rPr>
          <w:rFonts w:hint="default" w:ascii="Times New Roman" w:hAnsi="Times New Roman" w:eastAsia="宋体"/>
          <w:b/>
          <w:bCs/>
          <w:i/>
          <w:kern w:val="2"/>
          <w:sz w:val="16"/>
          <w:szCs w:val="24"/>
          <w:lang w:eastAsia="zh-CN"/>
        </w:rPr>
        <w:t>ote.</w:t>
      </w:r>
      <w:r>
        <w:rPr>
          <w:rFonts w:hint="default" w:ascii="Times New Roman" w:hAnsi="Times New Roman" w:eastAsia="宋体"/>
          <w:i/>
          <w:kern w:val="2"/>
          <w:sz w:val="16"/>
          <w:szCs w:val="24"/>
          <w:lang w:eastAsia="zh-CN"/>
        </w:rPr>
        <w:t xml:space="preserve"> Source-reported effect measures and directions are retained as reported by the original reviews. NR indicates that information was not reported or could not be reliably recovered from the available source; NA indicates that the field was not applicable.</w:t>
      </w:r>
    </w:p>
    <w:p w14:paraId="2A36B353">
      <w:pPr>
        <w:pStyle w:val="4"/>
        <w:bidi w:val="0"/>
        <w:rPr>
          <w:rFonts w:ascii="Times New Roman" w:hAnsi="Times New Roman"/>
        </w:rPr>
      </w:pPr>
      <w:bookmarkStart w:id="3" w:name="_Toc1447"/>
      <w:r>
        <w:rPr>
          <w:rFonts w:ascii="Times New Roman" w:hAnsi="Times New Roman"/>
        </w:rPr>
        <w:t>Supplementary Table S</w:t>
      </w:r>
      <w:r>
        <w:rPr>
          <w:rFonts w:hint="eastAsia" w:eastAsia="宋体"/>
          <w:lang w:val="en-US" w:eastAsia="zh-CN"/>
        </w:rPr>
        <w:t>3</w:t>
      </w:r>
      <w:r>
        <w:rPr>
          <w:rFonts w:ascii="Times New Roman" w:hAnsi="Times New Roman"/>
        </w:rPr>
        <w:t>. Full-text reports excluded and primary reasons</w:t>
      </w:r>
      <w:bookmarkEnd w:id="3"/>
    </w:p>
    <w:tbl>
      <w:tblPr>
        <w:tblStyle w:val="35"/>
        <w:tblW w:w="0" w:type="auto"/>
        <w:jc w:val="center"/>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Layout w:type="autofit"/>
        <w:tblCellMar>
          <w:top w:w="0" w:type="dxa"/>
          <w:left w:w="108" w:type="dxa"/>
          <w:bottom w:w="0" w:type="dxa"/>
          <w:right w:w="108" w:type="dxa"/>
        </w:tblCellMar>
      </w:tblPr>
      <w:tblGrid>
        <w:gridCol w:w="326"/>
        <w:gridCol w:w="8053"/>
        <w:gridCol w:w="1351"/>
        <w:gridCol w:w="3320"/>
      </w:tblGrid>
      <w:tr w14:paraId="073D9945">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tblHeader/>
          <w:jc w:val="center"/>
        </w:trPr>
        <w:tc>
          <w:tcPr>
            <w:tcW w:w="0" w:type="auto"/>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280D6ECA">
            <w:pPr>
              <w:keepNext w:val="0"/>
              <w:keepLines w:val="0"/>
              <w:widowControl/>
              <w:suppressLineNumbers w:val="0"/>
              <w:jc w:val="center"/>
              <w:rPr>
                <w:rFonts w:hint="default" w:ascii="Times New Roman" w:hAnsi="Times New Roman" w:cs="Times New Roman"/>
                <w:sz w:val="16"/>
                <w:szCs w:val="16"/>
              </w:rPr>
            </w:pPr>
            <w:r>
              <w:rPr>
                <w:rFonts w:hint="default" w:ascii="Times New Roman" w:hAnsi="Times New Roman" w:eastAsia="宋体" w:cs="Times New Roman"/>
                <w:b/>
                <w:bCs/>
                <w:kern w:val="0"/>
                <w:sz w:val="16"/>
                <w:szCs w:val="16"/>
                <w:lang w:val="en-US" w:eastAsia="zh-CN" w:bidi="ar"/>
              </w:rPr>
              <w:t>No.</w:t>
            </w:r>
          </w:p>
        </w:tc>
        <w:tc>
          <w:tcPr>
            <w:tcW w:w="0" w:type="auto"/>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504CB318">
            <w:pPr>
              <w:keepNext w:val="0"/>
              <w:keepLines w:val="0"/>
              <w:widowControl/>
              <w:suppressLineNumbers w:val="0"/>
              <w:jc w:val="center"/>
              <w:rPr>
                <w:rFonts w:hint="default" w:ascii="Times New Roman" w:hAnsi="Times New Roman" w:cs="Times New Roman"/>
                <w:sz w:val="16"/>
                <w:szCs w:val="16"/>
              </w:rPr>
            </w:pPr>
            <w:r>
              <w:rPr>
                <w:rFonts w:hint="default" w:ascii="Times New Roman" w:hAnsi="Times New Roman" w:eastAsia="宋体" w:cs="Times New Roman"/>
                <w:b/>
                <w:bCs/>
                <w:kern w:val="0"/>
                <w:sz w:val="16"/>
                <w:szCs w:val="16"/>
                <w:lang w:val="en-US" w:eastAsia="zh-CN" w:bidi="ar"/>
              </w:rPr>
              <w:t>Title</w:t>
            </w:r>
          </w:p>
        </w:tc>
        <w:tc>
          <w:tcPr>
            <w:tcW w:w="0" w:type="auto"/>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2A933291">
            <w:pPr>
              <w:keepNext w:val="0"/>
              <w:keepLines w:val="0"/>
              <w:widowControl/>
              <w:suppressLineNumbers w:val="0"/>
              <w:jc w:val="center"/>
              <w:rPr>
                <w:rFonts w:hint="default" w:ascii="Times New Roman" w:hAnsi="Times New Roman" w:cs="Times New Roman"/>
                <w:sz w:val="16"/>
                <w:szCs w:val="16"/>
              </w:rPr>
            </w:pPr>
            <w:r>
              <w:rPr>
                <w:rFonts w:hint="default" w:ascii="Times New Roman" w:hAnsi="Times New Roman" w:eastAsia="宋体" w:cs="Times New Roman"/>
                <w:b/>
                <w:bCs/>
                <w:kern w:val="0"/>
                <w:sz w:val="16"/>
                <w:szCs w:val="16"/>
                <w:lang w:val="en-US" w:eastAsia="zh-CN" w:bidi="ar"/>
              </w:rPr>
              <w:t>First author, year</w:t>
            </w:r>
          </w:p>
        </w:tc>
        <w:tc>
          <w:tcPr>
            <w:tcW w:w="0" w:type="auto"/>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5A853963">
            <w:pPr>
              <w:keepNext w:val="0"/>
              <w:keepLines w:val="0"/>
              <w:widowControl/>
              <w:suppressLineNumbers w:val="0"/>
              <w:jc w:val="center"/>
              <w:rPr>
                <w:rFonts w:hint="default" w:ascii="Times New Roman" w:hAnsi="Times New Roman" w:cs="Times New Roman"/>
                <w:sz w:val="16"/>
                <w:szCs w:val="16"/>
              </w:rPr>
            </w:pPr>
            <w:r>
              <w:rPr>
                <w:rFonts w:hint="default" w:ascii="Times New Roman" w:hAnsi="Times New Roman" w:eastAsia="宋体" w:cs="Times New Roman"/>
                <w:b/>
                <w:bCs/>
                <w:kern w:val="0"/>
                <w:sz w:val="16"/>
                <w:szCs w:val="16"/>
                <w:lang w:val="en-US" w:eastAsia="zh-CN" w:bidi="ar"/>
              </w:rPr>
              <w:t>Primary reason for exclusion</w:t>
            </w:r>
          </w:p>
        </w:tc>
      </w:tr>
      <w:tr w14:paraId="35F3B41A">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20779A2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1</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53BF28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Digital Interventions for Anxiety and Depressive Symptoms in Adolescence: Systematic Review</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7A87EA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Kuberka, 2025</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1650E7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 meta-analysis</w:t>
            </w:r>
          </w:p>
        </w:tc>
      </w:tr>
      <w:tr w14:paraId="1C70641A">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088B29E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2</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A232A3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Impact of Mindfulness-Based Interventions on Stress, Anxiety and Depression Among Nursing Students: A Systematic Review and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EC771D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Shen, 2026</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80F7E0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Population or age criteria not met</w:t>
            </w:r>
          </w:p>
        </w:tc>
      </w:tr>
      <w:tr w14:paraId="44C42694">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3F288C7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3</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FCEED2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Effectiveness of Text Messaging Interventions for the Management of Depression: A Systematic Review and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558D09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Senanayake, 2019</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7291D7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Population or age criteria not met</w:t>
            </w:r>
          </w:p>
        </w:tc>
      </w:tr>
      <w:tr w14:paraId="02F5CC72">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22BB90B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4</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1D22FA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Effectiveness of Cognitive Behavioral Therapy in Treating Adolescent Depression: A Systematic Review</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E76091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Pulungan, 2025</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7E7C13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 meta-analysis</w:t>
            </w:r>
          </w:p>
        </w:tc>
      </w:tr>
      <w:tr w14:paraId="3F7A6495">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124B6B4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5</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2E7CED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The effectiveness of mindfulness-based interventions in reducing anxiety and depression among students: A systematic review and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384601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Alzahrani, 2026</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52E032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Not a digital psychological intervention</w:t>
            </w:r>
          </w:p>
        </w:tc>
      </w:tr>
      <w:tr w14:paraId="3F56DA45">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61FC717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6</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6CEE88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Interventions to build resilience and to ameliorate negative psychosocial effects of the COVID-19 pandemic on children and adolescents: A systematic review and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67B2AC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Wendel, 2024</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558767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Not a digital psychological intervention</w:t>
            </w:r>
          </w:p>
        </w:tc>
      </w:tr>
      <w:tr w14:paraId="21229748">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4BD6B95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7</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9EDF80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Effectiveness of Mindfulness on Student Anxiety and Depression During the COVID-19 Pandemic: A Systematic Review and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694E63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Pranata, 2024</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021B6B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Not a digital psychological intervention</w:t>
            </w:r>
          </w:p>
        </w:tc>
      </w:tr>
      <w:tr w14:paraId="5B9F7686">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40B9DE1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8</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779F79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Therapeutic Games to Reduce Anxiety and Depression in Young People: A Systematic Review and Exploratory Meta-analysis of Their Use and Effectiveness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F5D9A4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Eve, 2024</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62FDDB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cs="Times New Roman"/>
                <w:sz w:val="16"/>
                <w:szCs w:val="16"/>
              </w:rPr>
              <w:t>Eligible depression effect not reliably mappable to source RCTs</w:t>
            </w:r>
          </w:p>
        </w:tc>
      </w:tr>
      <w:tr w14:paraId="29F1B7BA">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7607D9A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9</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1F16E1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Effects of nonpharmacological interventions on depressive symptoms and depression among nursing students: A systematic review and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8A40CA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Chen, 2019</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6C06F3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Not a digital psychological intervention</w:t>
            </w:r>
          </w:p>
        </w:tc>
      </w:tr>
      <w:tr w14:paraId="3B2E3609">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073F5F3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10</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C92DDC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Annual Research Review: Digital health interventions for children and young people with mental health problems: A systematic and meta-review</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60781F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Hollis, 2017</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316939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cs="Times New Roman"/>
                <w:sz w:val="16"/>
                <w:szCs w:val="16"/>
              </w:rPr>
              <w:t>No eligible original meta-analysis</w:t>
            </w:r>
          </w:p>
        </w:tc>
      </w:tr>
      <w:tr w14:paraId="11F1977E">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75A47CD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11</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7C1C18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A systematic review of prevention programs targeting depression, anxiety, and stress in university students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C83F61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Rith-Najarian, 2019</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51C32C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Eligible digital psychological intervention effect not separately extractable</w:t>
            </w:r>
          </w:p>
        </w:tc>
      </w:tr>
      <w:tr w14:paraId="70D400E7">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7A38D20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12</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366B58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Efficacy and acceptability of internet- and computer-based psychological interventions for children and adolescents with subthreshold depression</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241F07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Zhang, 2025</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44645E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Ineligible publication type: correspondence/to the editor</w:t>
            </w:r>
          </w:p>
        </w:tc>
      </w:tr>
      <w:tr w14:paraId="5CE125B3">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267B969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13</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4EEA07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Psychological intervention for negative emotions aroused by COVID-19 pandemic in university students: A systematic review and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E5D507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Wang, 2023</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38C3F3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Eligible digital psychological intervention effect not separately extractable</w:t>
            </w:r>
          </w:p>
        </w:tc>
      </w:tr>
      <w:tr w14:paraId="4BDC1DD3">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5C9F741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14</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DC8CED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Digital mental health interventions for anxiety and depressive symptoms in university students during the COVID-19 pandemic: A systematic review of randomized controlled trials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C2E065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Riboldi, 2023</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C6030B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 meta-analysis</w:t>
            </w:r>
          </w:p>
        </w:tc>
      </w:tr>
      <w:tr w14:paraId="651C3728">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6159126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15</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04E8D4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Serious games for the treatment or prevention of depression: A systematic review</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6AAE8D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Fleming, 2014</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5ED0EF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 meta-analysis</w:t>
            </w:r>
          </w:p>
        </w:tc>
      </w:tr>
      <w:tr w14:paraId="5659842D">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77354B9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16</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E05CE0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A systematic review on TeleMental Health in youth mental health: Focus on anxiety, depression and obsessive-compulsive disorder</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8CBB22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Orsolini, 2021</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10AB14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 meta-analysis</w:t>
            </w:r>
          </w:p>
        </w:tc>
      </w:tr>
      <w:tr w14:paraId="1A9383B2">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6E06AF1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17</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5F56A9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Promoting mental health in children and adolescents through digital technology: A systematic review and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AC26B4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Chen, 2024</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3F2A4C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Non-randomized evidence only</w:t>
            </w:r>
          </w:p>
        </w:tc>
      </w:tr>
      <w:tr w14:paraId="56F6991F">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2A78676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18</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9AE590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Computerised cognitive behavioural therapy for the prevention and treatment of depression and anxiety in children and adolescents: A systematic review</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13506D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Richardson, 2010</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42168E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 meta-analysis</w:t>
            </w:r>
          </w:p>
        </w:tc>
      </w:tr>
      <w:tr w14:paraId="7A721BDC">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661756E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19</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D2C2D5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Self-Administered Interventions Based on Natural Language Processing Models for Reducing Depressive and Anxiety Symptoms: Systematic Review and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C024F2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Villarreal-Zegarra, 2024</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3599E2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Population or age criteria not met</w:t>
            </w:r>
          </w:p>
        </w:tc>
      </w:tr>
      <w:tr w14:paraId="5D960B58">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209ECDE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20</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155245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Effects of Mindfulness-Based Stress Reduction on Depression in Adolescents and Young Adults: A Systematic Review and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E7B2DA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Chi, 2018</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44D560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Eligible digital psychological intervention effect not separately extractable</w:t>
            </w:r>
          </w:p>
        </w:tc>
      </w:tr>
      <w:tr w14:paraId="1C2724C4">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6F1B2AE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21</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21760E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Effects of Internet-Based Acceptance and Commitment Therapy (IACT) on Adolescents: A Systematic Review and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D8C4CB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Wang, 2023</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1E1E2A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Population or age criteria not met</w:t>
            </w:r>
          </w:p>
        </w:tc>
      </w:tr>
      <w:tr w14:paraId="31BA838B">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6A7EFF1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22</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2F548E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Effects of mindfulness-based interventions on psychological outcomes in college and university students during COVID-19 pandemics: A systematic review and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B0FA82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Reangsing, 2023</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781DA9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Non-randomized evidence only</w:t>
            </w:r>
          </w:p>
        </w:tc>
      </w:tr>
      <w:tr w14:paraId="20FDA851">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1F55CAD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23</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83C475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Efficacy of mobile applications in treating depression: Systemic review and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3A36F2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Araib, 2026</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61F8E5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Population or age criteria not met</w:t>
            </w:r>
          </w:p>
        </w:tc>
      </w:tr>
      <w:tr w14:paraId="2DF6E60B">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17A70EE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24</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40A1FA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Effects of Mobile Mindfulness Meditation on the Mental Health of University Students: Systematic Review and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48FF84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Chen, 2023</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7DA850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Population or age criteria not met</w:t>
            </w:r>
          </w:p>
        </w:tc>
      </w:tr>
      <w:tr w14:paraId="52D6AA3A">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56FC729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25</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2A5E39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Effects of online mindfulness-based interventions on the mental health of university students: A systematic review and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88005D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Gong, 2023</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7DCCD2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Non-randomized evidence only</w:t>
            </w:r>
          </w:p>
        </w:tc>
      </w:tr>
      <w:tr w14:paraId="085D1452">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5AF893C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26</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0181A7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A Systematic Review and Meta-analysis of Online Mindfulness-Based Interventions for University Students: An Examination of Psychological Distress and Well-being, and Attrition Rates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B9E898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Alrashdi, 2023</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D14944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 separately extractable depression outcome</w:t>
            </w:r>
          </w:p>
        </w:tc>
      </w:tr>
      <w:tr w14:paraId="5B4F5FA8">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1E95E0B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27</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2ACBBA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Digital Interventions for Improving Body Dissatisfaction in Children and Emerging Adults: Systematic Review and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D25AAE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Liu, 2025</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FDC261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 separately extractable depression outcome</w:t>
            </w:r>
          </w:p>
        </w:tc>
      </w:tr>
      <w:tr w14:paraId="3D8F6837">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7352FD4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28</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38ACCF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Effect of acceptance and commitment therapy for adolescent depression: A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E126DA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Yu, 2025</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8101AF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Not a digital psychological intervention</w:t>
            </w:r>
          </w:p>
        </w:tc>
      </w:tr>
      <w:tr w14:paraId="67837F7C">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231B1C7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29</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67E8EC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Integrating mindfulness and physical activity: A meta-analysis of mindful movement interventions for symptoms of anxiety and depression among university students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05399C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Xu, 2025</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064276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Not a digital psychological intervention</w:t>
            </w:r>
          </w:p>
        </w:tc>
      </w:tr>
      <w:tr w14:paraId="4A47AB5E">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390F2BB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30</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E125BF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Internet- and Mobile-Based Interventions for Mental and Somatic Conditions in Children and Adolescents: A Systematic Review of Meta-analyses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CA3D6F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Domhardt, 2020</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A92EAC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 meta-analysis</w:t>
            </w:r>
          </w:p>
        </w:tc>
      </w:tr>
      <w:tr w14:paraId="6A6D39C5">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587C096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31</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28588D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Mindfulness in Mental Health and Psychiatric Disorders of Children and Adolescents: A Systematic Review and Meta-Analysis of Randomized Controlled Trials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582ED8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Carneiro, 2025</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86B2D4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Not a digital psychological intervention</w:t>
            </w:r>
          </w:p>
        </w:tc>
      </w:tr>
      <w:tr w14:paraId="56A8348F">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7173AE1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32</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7B316B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Mental and Physical Health Impacts of Mindfulness Training for College Undergraduates: A Systematic Review and Meta-Analysis of Randomized Controlled Trials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BF5DB8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Johnson, 2023</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63DCC7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Eligible digital psychological intervention effect not separately extractable</w:t>
            </w:r>
          </w:p>
        </w:tc>
      </w:tr>
      <w:tr w14:paraId="451D4299">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5CD6701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33</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1C4E7C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Meta-Analysis of Psychological Interventions for Reducing Stress, Anxiety, and Depression among University Students during the COVID-19 Pandemic</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E6A4D6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Malinauskas, 2022</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1FF9A7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Eligible digital psychological intervention effect not separately extractable</w:t>
            </w:r>
          </w:p>
        </w:tc>
      </w:tr>
      <w:tr w14:paraId="7C978B4B">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139CCE5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34</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74DD86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Meta-analytic Review of Online Guided Self-help Interventions for Depressive Symptoms Among College Students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D36A3D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Ma, 2021</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F2D102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Population or age criteria not met</w:t>
            </w:r>
          </w:p>
        </w:tc>
      </w:tr>
      <w:tr w14:paraId="2BC0711E">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7B724D7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35</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44CB94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Mindfulness-informed (ACT) and Mindfulness-based Programs (MBSR/MBCT) Applied for College Students to Reduce Symptoms of Depression and Anxiety</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8AB3AE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Ma, 2022</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6C04F8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Not a digital psychological intervention</w:t>
            </w:r>
          </w:p>
        </w:tc>
      </w:tr>
      <w:tr w14:paraId="46ED507F">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62C1493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36</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8DBF51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Problem-solving Training as an Active Ingredient of Treatment for Youth Depression: A Scoping Review and Exploratory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885625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Krause, 2021</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CF3E59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Not a digital psychological intervention</w:t>
            </w:r>
          </w:p>
        </w:tc>
      </w:tr>
      <w:tr w14:paraId="75BF35DD">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18AB218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37</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1E4E6F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Psychological Interventions for Social Anxiety Disorder in Children and Adolescents: A Systematic Review and Network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CB8388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Xian, 2024</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AC9ADD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Population or age criteria not met</w:t>
            </w:r>
          </w:p>
        </w:tc>
      </w:tr>
      <w:tr w14:paraId="5EAD1527">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1AF5345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38</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543D4A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Psychological Interventions to Improve Sleep in Young Adults: A Meta-analysis of Randomised Controlled Trials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1850BE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Kodsi, 2021</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5BF40C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Not a digital psychological intervention</w:t>
            </w:r>
          </w:p>
        </w:tc>
      </w:tr>
      <w:tr w14:paraId="1343C51C">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40A972D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39</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9EBDAB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A Meta-Analysis of the Impact of Universal and Indicated Preventive Technology-Delivered Interventions for Higher Education Students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57B553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Conley, 2016</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F79005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 separately extractable depression outcome</w:t>
            </w:r>
          </w:p>
        </w:tc>
      </w:tr>
      <w:tr w14:paraId="2738C22E">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0622536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40</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B9C7E2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Effect of Mindfulness on Psychological Distress and Well-being of Children and Adolescents: A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2C3550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Zhang, 2022</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D0C21B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Not a digital psychological intervention</w:t>
            </w:r>
          </w:p>
        </w:tc>
      </w:tr>
      <w:tr w14:paraId="4423323F">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40DFD29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41</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803B95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Effectiveness of internet-based self-help interventions for depression in adolescents and young adults: A systematic review and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FDF02A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Ma, 2024</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A41FBC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 eligible randomized between-group comparative effect</w:t>
            </w:r>
          </w:p>
        </w:tc>
      </w:tr>
      <w:tr w14:paraId="2C8192AC">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7D459DA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42</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A13820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Effectiveness of internet-delivered psychological treatments for children and adolescents with anxiety and/or depressive disorders: Systematic review and network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57138A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López-Soler, 2024</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1981CA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Non-randomized evidence only</w:t>
            </w:r>
          </w:p>
        </w:tc>
      </w:tr>
      <w:tr w14:paraId="7BCB4B37">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46A2C14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43</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0A0984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Effectiveness of Resilience Interventions for Higher Education Students: A Meta-Analysis and Metaregression</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241560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Ang, 2022</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FF1FCF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Eligible digital psychological intervention effect not separately extractable</w:t>
            </w:r>
          </w:p>
        </w:tc>
      </w:tr>
      <w:tr w14:paraId="7A9212A3">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6A52DF0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44</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0E8965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A comparison of the effectiveness of cognitive behavioural interventions based on delivery features for elevated symptoms of depression in adolescents: A systematic review</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A2DF3A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Bjornstad, 2024</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719DEC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Eligible digital psychological intervention effect not separately extractable</w:t>
            </w:r>
          </w:p>
        </w:tc>
      </w:tr>
      <w:tr w14:paraId="0BB16F0B">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263FF2E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45</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67B2E8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A Meta-Analysis Examining the Efficacy and Predictors of Change in Mindfulness- and Self-Compassion-Based Interventions (MBSCIs) in Reducing Psychological Distress Among University Students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7064ED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Buen, 2026</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552D9F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Not a digital psychological intervention</w:t>
            </w:r>
          </w:p>
        </w:tc>
      </w:tr>
      <w:tr w14:paraId="3A73CC4E">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743E4C6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46</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C4026F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Acceptability, usage, and efficacy of mindfulness apps for college student mental health: A systematic review and meta-analysis of RCTs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BA8A09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LaMontagne, 2024</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38BCC6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Population or age criteria not met</w:t>
            </w:r>
          </w:p>
        </w:tc>
      </w:tr>
      <w:tr w14:paraId="652E4FF3">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2D6337A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47</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B06149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Application of Positive Psychology in Digital Interventions for Children, Adolescents, and Young Adults: Systematic Review and Meta-Analysis of Controlled Trials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F36422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Saboor, 2024</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00741D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 separately extractable depression outcome</w:t>
            </w:r>
          </w:p>
        </w:tc>
      </w:tr>
      <w:tr w14:paraId="6F500335">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2AC0BF6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48</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1DCCAE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Computer-Delivered and Web-Based Interventions to Improve Depression, Anxiety, and Psychological Well-Being of University Students: A Systematic Review and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8251DB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Davies, 2014</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A7E541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Population or age criteria not met</w:t>
            </w:r>
          </w:p>
        </w:tc>
      </w:tr>
      <w:tr w14:paraId="351F6048">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50A3412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49</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8FDE27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Effectiveness comparisons of various psychosocial therapies for children and adolescents with depression: A Bayesian network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9557B4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Liang, 2021</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2CD2F0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Eligible digital psychological intervention effect not separately extractable</w:t>
            </w:r>
          </w:p>
        </w:tc>
      </w:tr>
      <w:tr w14:paraId="47DE0750">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7E22660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50</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9315DF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Psychosocial Interventions for Depression Among Young People in Sub-Saharan Africa: A Systematic Review and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149736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Olisaeloka, 2024</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249C3F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Eligible digital psychological intervention effect not separately extractable</w:t>
            </w:r>
          </w:p>
        </w:tc>
      </w:tr>
      <w:tr w14:paraId="0E32B06C">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0FD2E30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51</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7B7809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Precision Optimization of Behavioral Activation for Major and Subthreshold Depression: A Meta-Analysis of Exploring Dose–Response Relationships and Moderating Factors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981B69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Huang, 2026</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3FC178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Eligible digital psychological intervention effect not separately extractable</w:t>
            </w:r>
          </w:p>
        </w:tc>
      </w:tr>
      <w:tr w14:paraId="064A4DF3">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7F14F48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52</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735B94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Primary Prevention of Depression: An Umbrella Review of Controlled Interventions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D363A1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Salazar de Pablo, 2021</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F5F9C3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Eligible digital psychological intervention effect not separately extractable</w:t>
            </w:r>
          </w:p>
        </w:tc>
      </w:tr>
      <w:tr w14:paraId="164C1CA1">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703B8F6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53</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21898E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The Effectiveness of Mindfulness-Based Programs for Mental Health Outcomes in Young Adults: A Systematic Review and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B23901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Seneviratne, 2026</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B44116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Eligible digital psychological intervention effect not separately extractable</w:t>
            </w:r>
          </w:p>
        </w:tc>
      </w:tr>
      <w:tr w14:paraId="3D4383CF">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6B87808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54</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50C6E5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Effectiveness of Digital Health Interventions on Stress, Anxiety, and Depression in University Students: A Systematic Review and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2ACAD3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Zhan, 2026</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9B5A7B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Population or age criteria not met</w:t>
            </w:r>
          </w:p>
        </w:tc>
      </w:tr>
      <w:tr w14:paraId="73386544">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59E3BC0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55</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FB29CC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Relative Effectiveness of Online Cognitive Behavioural Therapy with Anxious or Depressed Young People: Rapid Review and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3987DE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Howes, 2023</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39EBF0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 separately extractable depression outcome</w:t>
            </w:r>
          </w:p>
        </w:tc>
      </w:tr>
      <w:tr w14:paraId="0FFE32E9">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5CF4039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56</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18A351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Smartphone-Based Interventions and Internalizing Disorders in Youth: Systematic Review and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8F1FCD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Buttazzoni, 2021</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488B9A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Non-randomized evidence only</w:t>
            </w:r>
          </w:p>
        </w:tc>
      </w:tr>
      <w:tr w14:paraId="57A8024C">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60E5AB3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57</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B38FC1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The Efficacy of Mobile Applications for Reducing Depression in Adolescents and Young Adults: A Meta-analysis of Randomized Control Trials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F73ADD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Lee, 2025</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3E7EB7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Population or age criteria not met</w:t>
            </w:r>
          </w:p>
        </w:tc>
      </w:tr>
      <w:tr w14:paraId="5A415E77">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7D8FEA7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58</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4AB04C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Transdiagnostic Effects of Mindfulness-Based Interventions on Emotion Regulation and Psychopathology in Adolescents: A Systematic Review and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F69CE5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Zhao, 2026</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B9835E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Not a digital psychological intervention</w:t>
            </w:r>
          </w:p>
        </w:tc>
      </w:tr>
      <w:tr w14:paraId="5A2B9A98">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720D8EF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59</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F2A001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Using Virtual Reality Technology to Treat Adolescent and Young Adult Depression Disorder: A Systematic Review and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290A7F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Pu, 2025</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3D2E07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Non-randomized evidence only</w:t>
            </w:r>
          </w:p>
        </w:tc>
      </w:tr>
      <w:tr w14:paraId="5BC29D52">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0059D24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60</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D9586E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Quality Social Connection as an Active Ingredient in Digital Interventions for Young People with Depression and Anxiety: Systematic Scoping Review and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3E2B92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Dewa, 2021</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409976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Not a systematic review</w:t>
            </w:r>
          </w:p>
        </w:tc>
      </w:tr>
      <w:tr w14:paraId="0039D97A">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6119D63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61</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447C6A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School-based intervention for depressive symptoms in upper secondary education: A focused review and meta-analysis of the effect of CBT-based prevention</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397D82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Kambara, 2021</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32D2FD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Not a digital psychological intervention</w:t>
            </w:r>
          </w:p>
        </w:tc>
      </w:tr>
      <w:tr w14:paraId="4969C9BA">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527F78F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62</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8592DA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Social connection interventions and depression in young adults: A systematic review and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92AD4D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Vazquez Alvarez, 2024</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D3AB55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Not a digital psychological intervention</w:t>
            </w:r>
          </w:p>
        </w:tc>
      </w:tr>
      <w:tr w14:paraId="77D92ADB">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769BB09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63</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744B95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The Effectiveness of AI Chatbots in Alleviating Mental Distress and Promoting Health Behaviors Among Adolescents and Young Adults: Systematic Review and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56C43D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Hui, 2025</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6D3172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Population or age criteria not met</w:t>
            </w:r>
          </w:p>
        </w:tc>
      </w:tr>
      <w:tr w14:paraId="0B0F6138">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39EB867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64</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63123C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The intervention effect of internet-based cognitive behavioral therapy on anxiety, depression, and stress in college students: A systematic review and meta-analysis based on randomized controlled trials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DB3375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Liu, 2026</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E4E10B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Population or age criteria not met</w:t>
            </w:r>
          </w:p>
        </w:tc>
      </w:tr>
      <w:tr w14:paraId="2B1B9540">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4AAA45D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65</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B8425F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Youth co-creation in health interventions: A systematic review and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74E848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Tao, 2025</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06DFEF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Not a digital psychological intervention</w:t>
            </w:r>
          </w:p>
        </w:tc>
      </w:tr>
      <w:tr w14:paraId="4527CB46">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1D37FE1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66</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435B24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Effectiveness of Cognitive-Based Interventions on Psychological Distress in Adolescents With Physical Disabilities: A Systematic Review and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7A317E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Li, 2024</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CB4ED3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Eligible digital psychological intervention effect not separately extractable</w:t>
            </w:r>
          </w:p>
        </w:tc>
      </w:tr>
      <w:tr w14:paraId="120B7762">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729F58F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67</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C63E76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Effectiveness of technology-based psychosocial interventions for child, adolescents and young adults undergoing cancer treatment: A meta-analysis of randomised controlled trials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40EE06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Ozturk, 2022</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450386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 separately extractable depression outcome</w:t>
            </w:r>
          </w:p>
        </w:tc>
      </w:tr>
      <w:tr w14:paraId="040B24C6">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4EADCAA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68</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F65CCF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Effectiveness of transdiagnostic preventive interventions for anxiety and depression in at-risk adolescents: A systematic review and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8921E1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Zafra-Palomino, 2026</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0C089E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 eligible randomized between-group comparative effect</w:t>
            </w:r>
          </w:p>
        </w:tc>
      </w:tr>
      <w:tr w14:paraId="36013D79">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37EDA83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69</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E9EB5D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Effectiveness of youth psychotherapy delivered remotely: A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36DF69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Venturo-Conerly, 2022</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8B2C4E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Population or age criteria not met</w:t>
            </w:r>
          </w:p>
        </w:tc>
      </w:tr>
      <w:tr w14:paraId="3EC3A91E">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4278076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70</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04FEF8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Effects of Physical Activity-Based Digital Health Interventions on Psychological Outcomes in Overweight and Obese Adolescents: A Systematic Review and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8E7FE9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Li, 2026</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93F260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Not a digital psychological intervention</w:t>
            </w:r>
          </w:p>
        </w:tc>
      </w:tr>
      <w:tr w14:paraId="5665128C">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3210F7D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71</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92C872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Emotional management interventions for nursing students: A systematic review and network meta-analysis of randomized controlled trials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3E8B2D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Wang, 2025</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D853A2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Not a digital psychological intervention</w:t>
            </w:r>
          </w:p>
        </w:tc>
      </w:tr>
      <w:tr w14:paraId="4025B7D2">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2E4A91E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72</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EBAB8E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Healing Online or Onsite: A Meta-analysis of Online Mental Health RCTs and a Comparison with In-person RCTs Among Children and Adolescents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8C8F32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Zhang, 2026</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63AAF1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 separately extractable depression outcome</w:t>
            </w:r>
          </w:p>
        </w:tc>
      </w:tr>
      <w:tr w14:paraId="6370A507">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099A6FA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73</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B282BC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Internet interventions for perfectionism: A meta-analysis and proposals for the college setting</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FAAE3C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Iliakis, 2023</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448F67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Not a digital psychological intervention</w:t>
            </w:r>
          </w:p>
        </w:tc>
      </w:tr>
      <w:tr w14:paraId="267800AA">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single" w:color="000000" w:sz="12" w:space="0"/>
              <w:right w:val="nil"/>
              <w:insideH w:val="nil"/>
              <w:insideV w:val="nil"/>
            </w:tcBorders>
            <w:tcMar>
              <w:top w:w="45" w:type="dxa"/>
              <w:left w:w="45" w:type="dxa"/>
              <w:bottom w:w="45" w:type="dxa"/>
              <w:right w:w="45" w:type="dxa"/>
            </w:tcMar>
            <w:vAlign w:val="center"/>
          </w:tcPr>
          <w:p w14:paraId="5B7B0EA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74</w:t>
            </w:r>
          </w:p>
        </w:tc>
        <w:tc>
          <w:tcPr>
            <w:tcW w:w="0" w:type="auto"/>
            <w:tcBorders>
              <w:top w:val="nil"/>
              <w:left w:val="nil"/>
              <w:bottom w:val="single" w:color="000000" w:sz="12" w:space="0"/>
              <w:right w:val="nil"/>
              <w:insideH w:val="nil"/>
              <w:insideV w:val="nil"/>
            </w:tcBorders>
            <w:tcMar>
              <w:top w:w="45" w:type="dxa"/>
              <w:left w:w="45" w:type="dxa"/>
              <w:bottom w:w="45" w:type="dxa"/>
              <w:right w:w="45" w:type="dxa"/>
            </w:tcMar>
            <w:vAlign w:val="center"/>
          </w:tcPr>
          <w:p w14:paraId="3F84976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Is behavioural activation an effective treatment for depression in children and adolescents? An updated systematic review and meta-analysis</w:t>
            </w:r>
          </w:p>
        </w:tc>
        <w:tc>
          <w:tcPr>
            <w:tcW w:w="0" w:type="auto"/>
            <w:tcBorders>
              <w:top w:val="nil"/>
              <w:left w:val="nil"/>
              <w:bottom w:val="single" w:color="000000" w:sz="12" w:space="0"/>
              <w:right w:val="nil"/>
              <w:insideH w:val="nil"/>
              <w:insideV w:val="nil"/>
            </w:tcBorders>
            <w:tcMar>
              <w:top w:w="45" w:type="dxa"/>
              <w:left w:w="45" w:type="dxa"/>
              <w:bottom w:w="45" w:type="dxa"/>
              <w:right w:w="45" w:type="dxa"/>
            </w:tcMar>
            <w:vAlign w:val="center"/>
          </w:tcPr>
          <w:p w14:paraId="0837BD3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Tindall, 2024</w:t>
            </w:r>
          </w:p>
        </w:tc>
        <w:tc>
          <w:tcPr>
            <w:tcW w:w="0" w:type="auto"/>
            <w:tcBorders>
              <w:top w:val="nil"/>
              <w:left w:val="nil"/>
              <w:bottom w:val="single" w:color="000000" w:sz="12" w:space="0"/>
              <w:right w:val="nil"/>
              <w:insideH w:val="nil"/>
              <w:insideV w:val="nil"/>
            </w:tcBorders>
            <w:tcMar>
              <w:top w:w="45" w:type="dxa"/>
              <w:left w:w="45" w:type="dxa"/>
              <w:bottom w:w="45" w:type="dxa"/>
              <w:right w:w="45" w:type="dxa"/>
            </w:tcMar>
            <w:vAlign w:val="center"/>
          </w:tcPr>
          <w:p w14:paraId="1ACAC88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Not a digital psychological intervention</w:t>
            </w:r>
          </w:p>
        </w:tc>
      </w:tr>
    </w:tbl>
    <w:p w14:paraId="6E387344">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rPr>
          <w:rFonts w:hint="eastAsia" w:ascii="Times New Roman" w:hAnsi="Times New Roman" w:eastAsia="宋体"/>
          <w:i/>
          <w:kern w:val="2"/>
          <w:sz w:val="16"/>
          <w:szCs w:val="24"/>
          <w:lang w:eastAsia="zh-CN"/>
        </w:rPr>
      </w:pPr>
      <w:r>
        <w:rPr>
          <w:rFonts w:hint="eastAsia" w:ascii="Times New Roman" w:hAnsi="Times New Roman" w:eastAsia="宋体"/>
          <w:b/>
          <w:bCs/>
          <w:i/>
          <w:kern w:val="2"/>
          <w:sz w:val="16"/>
          <w:szCs w:val="24"/>
          <w:lang w:eastAsia="zh-CN"/>
        </w:rPr>
        <w:t>Note.</w:t>
      </w:r>
      <w:r>
        <w:rPr>
          <w:rFonts w:hint="eastAsia" w:ascii="Times New Roman" w:hAnsi="Times New Roman" w:eastAsia="宋体"/>
          <w:i/>
          <w:kern w:val="2"/>
          <w:sz w:val="16"/>
          <w:szCs w:val="24"/>
          <w:lang w:eastAsia="zh-CN"/>
        </w:rPr>
        <w:t xml:space="preserve"> Each report was assigned one primary reason for exclusion. The 74 excluded reports reconcile with the PRISMA flow diagram.</w:t>
      </w:r>
    </w:p>
    <w:p w14:paraId="64FB4C07">
      <w:pPr>
        <w:pStyle w:val="4"/>
        <w:bidi w:val="0"/>
        <w:rPr>
          <w:rFonts w:ascii="Times New Roman" w:hAnsi="Times New Roman"/>
        </w:rPr>
      </w:pPr>
      <w:bookmarkStart w:id="4" w:name="_Toc16643"/>
      <w:r>
        <w:rPr>
          <w:rFonts w:ascii="Times New Roman" w:hAnsi="Times New Roman"/>
        </w:rPr>
        <w:t>Supplementary Table S</w:t>
      </w:r>
      <w:r>
        <w:rPr>
          <w:rFonts w:hint="eastAsia" w:eastAsia="宋体"/>
          <w:lang w:val="en-US" w:eastAsia="zh-CN"/>
        </w:rPr>
        <w:t>4</w:t>
      </w:r>
      <w:r>
        <w:rPr>
          <w:rFonts w:ascii="Times New Roman" w:hAnsi="Times New Roman"/>
        </w:rPr>
        <w:t>. Characteristics of included systematic reviews</w:t>
      </w:r>
      <w:bookmarkEnd w:id="4"/>
    </w:p>
    <w:tbl>
      <w:tblPr>
        <w:tblStyle w:val="35"/>
        <w:tblW w:w="0" w:type="auto"/>
        <w:jc w:val="center"/>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Layout w:type="autofit"/>
        <w:tblCellMar>
          <w:top w:w="0" w:type="dxa"/>
          <w:left w:w="108" w:type="dxa"/>
          <w:bottom w:w="0" w:type="dxa"/>
          <w:right w:w="108" w:type="dxa"/>
        </w:tblCellMar>
      </w:tblPr>
      <w:tblGrid>
        <w:gridCol w:w="757"/>
        <w:gridCol w:w="1104"/>
        <w:gridCol w:w="1443"/>
        <w:gridCol w:w="2277"/>
        <w:gridCol w:w="2499"/>
        <w:gridCol w:w="1860"/>
        <w:gridCol w:w="3110"/>
      </w:tblGrid>
      <w:tr w14:paraId="22F70B7F">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tblHeader/>
          <w:jc w:val="center"/>
        </w:trPr>
        <w:tc>
          <w:tcPr>
            <w:tcW w:w="0" w:type="auto"/>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160DED6F">
            <w:pPr>
              <w:keepNext w:val="0"/>
              <w:keepLines w:val="0"/>
              <w:widowControl/>
              <w:suppressLineNumbers w:val="0"/>
              <w:jc w:val="center"/>
              <w:rPr>
                <w:rFonts w:hint="default" w:ascii="Times New Roman" w:hAnsi="Times New Roman" w:cs="Times New Roman"/>
                <w:sz w:val="16"/>
                <w:szCs w:val="16"/>
              </w:rPr>
            </w:pPr>
            <w:r>
              <w:rPr>
                <w:rFonts w:hint="default" w:ascii="Times New Roman" w:hAnsi="Times New Roman" w:eastAsia="宋体" w:cs="Times New Roman"/>
                <w:b/>
                <w:bCs/>
                <w:kern w:val="0"/>
                <w:sz w:val="16"/>
                <w:szCs w:val="16"/>
                <w:lang w:val="en-US" w:eastAsia="zh-CN" w:bidi="ar"/>
              </w:rPr>
              <w:t>Evidence set</w:t>
            </w:r>
          </w:p>
        </w:tc>
        <w:tc>
          <w:tcPr>
            <w:tcW w:w="0" w:type="auto"/>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67DA6B46">
            <w:pPr>
              <w:keepNext w:val="0"/>
              <w:keepLines w:val="0"/>
              <w:widowControl/>
              <w:suppressLineNumbers w:val="0"/>
              <w:jc w:val="center"/>
              <w:rPr>
                <w:rFonts w:hint="default" w:ascii="Times New Roman" w:hAnsi="Times New Roman" w:cs="Times New Roman"/>
                <w:sz w:val="16"/>
                <w:szCs w:val="16"/>
              </w:rPr>
            </w:pPr>
            <w:r>
              <w:rPr>
                <w:rFonts w:hint="default" w:ascii="Times New Roman" w:hAnsi="Times New Roman" w:eastAsia="宋体" w:cs="Times New Roman"/>
                <w:b/>
                <w:bCs/>
                <w:kern w:val="0"/>
                <w:sz w:val="16"/>
                <w:szCs w:val="16"/>
                <w:lang w:val="en-US" w:eastAsia="zh-CN" w:bidi="ar"/>
              </w:rPr>
              <w:t>Review</w:t>
            </w:r>
          </w:p>
        </w:tc>
        <w:tc>
          <w:tcPr>
            <w:tcW w:w="0" w:type="auto"/>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0FC40F78">
            <w:pPr>
              <w:keepNext w:val="0"/>
              <w:keepLines w:val="0"/>
              <w:widowControl/>
              <w:suppressLineNumbers w:val="0"/>
              <w:jc w:val="center"/>
              <w:rPr>
                <w:rFonts w:hint="default" w:ascii="Times New Roman" w:hAnsi="Times New Roman" w:cs="Times New Roman"/>
                <w:sz w:val="16"/>
                <w:szCs w:val="16"/>
              </w:rPr>
            </w:pPr>
            <w:r>
              <w:rPr>
                <w:rFonts w:hint="default" w:ascii="Times New Roman" w:hAnsi="Times New Roman" w:eastAsia="宋体" w:cs="Times New Roman"/>
                <w:b/>
                <w:bCs/>
                <w:kern w:val="0"/>
                <w:sz w:val="16"/>
                <w:szCs w:val="16"/>
                <w:lang w:val="en-US" w:eastAsia="zh-CN" w:bidi="ar"/>
              </w:rPr>
              <w:t>Review design</w:t>
            </w:r>
          </w:p>
        </w:tc>
        <w:tc>
          <w:tcPr>
            <w:tcW w:w="0" w:type="auto"/>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5CF65329">
            <w:pPr>
              <w:keepNext w:val="0"/>
              <w:keepLines w:val="0"/>
              <w:widowControl/>
              <w:suppressLineNumbers w:val="0"/>
              <w:jc w:val="center"/>
              <w:rPr>
                <w:rFonts w:hint="default" w:ascii="Times New Roman" w:hAnsi="Times New Roman" w:cs="Times New Roman"/>
                <w:sz w:val="16"/>
                <w:szCs w:val="16"/>
              </w:rPr>
            </w:pPr>
            <w:r>
              <w:rPr>
                <w:rFonts w:hint="default" w:ascii="Times New Roman" w:hAnsi="Times New Roman" w:eastAsia="宋体" w:cs="Times New Roman"/>
                <w:b/>
                <w:bCs/>
                <w:kern w:val="0"/>
                <w:sz w:val="16"/>
                <w:szCs w:val="16"/>
                <w:lang w:val="en-US" w:eastAsia="zh-CN" w:bidi="ar"/>
              </w:rPr>
              <w:t>Population and age scope</w:t>
            </w:r>
          </w:p>
        </w:tc>
        <w:tc>
          <w:tcPr>
            <w:tcW w:w="0" w:type="auto"/>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1729BE87">
            <w:pPr>
              <w:keepNext w:val="0"/>
              <w:keepLines w:val="0"/>
              <w:widowControl/>
              <w:suppressLineNumbers w:val="0"/>
              <w:jc w:val="center"/>
              <w:rPr>
                <w:rFonts w:hint="default" w:ascii="Times New Roman" w:hAnsi="Times New Roman" w:cs="Times New Roman"/>
                <w:sz w:val="16"/>
                <w:szCs w:val="16"/>
              </w:rPr>
            </w:pPr>
            <w:r>
              <w:rPr>
                <w:rFonts w:hint="default" w:ascii="Times New Roman" w:hAnsi="Times New Roman" w:eastAsia="宋体" w:cs="Times New Roman"/>
                <w:b/>
                <w:bCs/>
                <w:kern w:val="0"/>
                <w:sz w:val="16"/>
                <w:szCs w:val="16"/>
                <w:lang w:val="en-US" w:eastAsia="zh-CN" w:bidi="ar"/>
              </w:rPr>
              <w:t>Digital intervention scope</w:t>
            </w:r>
          </w:p>
        </w:tc>
        <w:tc>
          <w:tcPr>
            <w:tcW w:w="0" w:type="auto"/>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5DC04CAD">
            <w:pPr>
              <w:keepNext w:val="0"/>
              <w:keepLines w:val="0"/>
              <w:widowControl/>
              <w:suppressLineNumbers w:val="0"/>
              <w:jc w:val="center"/>
              <w:rPr>
                <w:rFonts w:hint="default" w:ascii="Times New Roman" w:hAnsi="Times New Roman" w:cs="Times New Roman"/>
                <w:sz w:val="16"/>
                <w:szCs w:val="16"/>
              </w:rPr>
            </w:pPr>
            <w:r>
              <w:rPr>
                <w:rFonts w:hint="default" w:ascii="Times New Roman" w:hAnsi="Times New Roman" w:eastAsia="宋体" w:cs="Times New Roman"/>
                <w:b/>
                <w:bCs/>
                <w:kern w:val="0"/>
                <w:sz w:val="16"/>
                <w:szCs w:val="16"/>
                <w:lang w:val="en-US" w:eastAsia="zh-CN" w:bidi="ar"/>
              </w:rPr>
              <w:t>Comparator scope</w:t>
            </w:r>
          </w:p>
        </w:tc>
        <w:tc>
          <w:tcPr>
            <w:tcW w:w="0" w:type="auto"/>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610DDFE8">
            <w:pPr>
              <w:keepNext w:val="0"/>
              <w:keepLines w:val="0"/>
              <w:widowControl/>
              <w:suppressLineNumbers w:val="0"/>
              <w:jc w:val="center"/>
              <w:rPr>
                <w:rFonts w:hint="default" w:ascii="Times New Roman" w:hAnsi="Times New Roman" w:cs="Times New Roman"/>
                <w:sz w:val="16"/>
                <w:szCs w:val="16"/>
              </w:rPr>
            </w:pPr>
            <w:r>
              <w:rPr>
                <w:rFonts w:hint="default" w:ascii="Times New Roman" w:hAnsi="Times New Roman" w:eastAsia="宋体" w:cs="Times New Roman"/>
                <w:b/>
                <w:bCs/>
                <w:kern w:val="0"/>
                <w:sz w:val="16"/>
                <w:szCs w:val="16"/>
                <w:lang w:val="en-US" w:eastAsia="zh-CN" w:bidi="ar"/>
              </w:rPr>
              <w:t>Included evidence</w:t>
            </w:r>
          </w:p>
        </w:tc>
      </w:tr>
      <w:tr w14:paraId="09387679">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664C3D4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Main</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F99BE4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Magwood et al. (2024)</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73AC58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Systematic review and pairwise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E30223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15–24 years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E97024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Mobile apps delivering mindfulness, CBT, combined, or other psychological interventions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E2F10A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Withheld and active controls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5C480C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36 trials; N = 7,984</w:t>
            </w:r>
          </w:p>
        </w:tc>
      </w:tr>
      <w:tr w14:paraId="4AA8F3DA">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1AD4153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Main</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5466E1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Noh et al. (2023)</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76040C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Systematic review and pairwise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27DAA3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13–25 years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C21770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Website- and mobile-based psychological interventions, predominantly iCBT</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B4ED72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Passive and active controls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CA468D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16 RCTs reported in 22 articles; no single aggregate N reported</w:t>
            </w:r>
          </w:p>
        </w:tc>
      </w:tr>
      <w:tr w14:paraId="2BEE2F21">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5F62692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Main</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2543FC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Wu et al. (2023)</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AE7040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Systematic review and pairwise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74E216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11–19 years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5B05E2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Internet- and computer-based CBT for adolescent depression</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BF8811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Waitlist, usual care, and active controls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706808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18 RCTs; N = 1,683</w:t>
            </w:r>
          </w:p>
        </w:tc>
      </w:tr>
      <w:tr w14:paraId="2983F3A3">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1859CE1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Main</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06466C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Thabrew et al. (2018)</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4E1B8E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Cochrane systematic review and pairwise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E1FB70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Included trials: 10–18 years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F2B172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E-health psychological interventions for young people with long-term physical conditions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F250EE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Waitlist, usual care, and attention controls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73984A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5 RCTs; N = 463</w:t>
            </w:r>
          </w:p>
        </w:tc>
      </w:tr>
      <w:tr w14:paraId="5BE6F762">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734F96E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Main</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3B5BEC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Wang et al. (2023)</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70BB2C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Systematic review and pairwise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C662B9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Adolescents and university students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075269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Internet-based self-help interventions, including CBT, third-wave CBT, and problem-solving therapy</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BDC99C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Mixed control conditions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955AAC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25 comparisons; N = 4,480 (intervention, 2,355; control, 2,125)</w:t>
            </w:r>
          </w:p>
        </w:tc>
      </w:tr>
      <w:tr w14:paraId="77E73C60">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73C3EE7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Main</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8A7EF6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Wang et al. (2026)</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083175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Systematic review and Bayesian network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ABC236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12–25 years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CD9482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Four categories of digital health intervention, as defined by the source review</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BA3772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 intervention, treatment as usual, and active digital comparators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DA7B8D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cs="Times New Roman"/>
                <w:sz w:val="16"/>
                <w:szCs w:val="16"/>
              </w:rPr>
              <w:t>18 RCTs overall (N = 5,821); 17 RCTs reported depression outcomes (randomized N = 5,779)</w:t>
            </w:r>
          </w:p>
        </w:tc>
      </w:tr>
      <w:tr w14:paraId="4AB5A329">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4128D82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Main</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8CC803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Pennant et al. (2015)</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AFD2CF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Systematic review and pairwise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A106C4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5–25 years; depression analyses concerned young people</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936ABA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Computerized CBT, computerized interpretation-bias modification, computerized problem-solving therapy, and mobile apps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46AC88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Nontherapeutic and active controls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D4C7AA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27 RCTs; no single aggregate N reported; analysis-specific k and N available</w:t>
            </w:r>
          </w:p>
        </w:tc>
      </w:tr>
      <w:tr w14:paraId="49A92DCE">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2C17902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Main</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64DD864">
            <w:pPr>
              <w:keepNext w:val="0"/>
              <w:keepLines w:val="0"/>
              <w:widowControl/>
              <w:suppressLineNumbers w:val="0"/>
              <w:jc w:val="left"/>
              <w:rPr>
                <w:rFonts w:hint="default" w:ascii="Times New Roman" w:hAnsi="Times New Roman" w:cs="Times New Roman"/>
                <w:sz w:val="16"/>
                <w:szCs w:val="16"/>
              </w:rPr>
            </w:pPr>
            <w:r>
              <w:rPr>
                <w:rFonts w:hint="eastAsia" w:cs="Times New Roman"/>
                <w:kern w:val="0"/>
                <w:sz w:val="16"/>
                <w:szCs w:val="16"/>
                <w:lang w:val="en-US" w:eastAsia="zh-CN" w:bidi="ar"/>
              </w:rPr>
              <w:t>Madrid-Cagigal</w:t>
            </w:r>
            <w:r>
              <w:rPr>
                <w:rFonts w:hint="default" w:ascii="Times New Roman" w:hAnsi="Times New Roman" w:eastAsia="宋体" w:cs="Times New Roman"/>
                <w:kern w:val="0"/>
                <w:sz w:val="16"/>
                <w:szCs w:val="16"/>
                <w:lang w:val="en-US" w:eastAsia="zh-CN" w:bidi="ar"/>
              </w:rPr>
              <w:t xml:space="preserve"> et al. (2025)</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FE6BE6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Systematic review and pairwise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B58506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Study mean ages: 18.53–25.00 years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0F1BAE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Broad digital mental health interventions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859C66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Passive and active controls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68018E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34 studies in the narrative synthesis; 21 two-arm RCTs in the meta-analysis; depression k = 16, N = 2,316</w:t>
            </w:r>
          </w:p>
        </w:tc>
      </w:tr>
      <w:tr w14:paraId="230CCDC5">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4F0299B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Main</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382719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Ebert et al. (2015)</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1E52CB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Systematic review and pairwise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3FF8E2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6–25 years; age-eligible depression analyses separately extractable</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9828DB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Computerized and internet-based CBT for anxiety and depression</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28BDE1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Waitlist and active controls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6F6951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13 RCTs; N = 796</w:t>
            </w:r>
          </w:p>
        </w:tc>
      </w:tr>
      <w:tr w14:paraId="4A39C767">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3C3C0EF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Main</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1AD044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Harrer et al. (2019)</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BF62E3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Systematic review and pairwise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D0F5DD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University students; mean age ≤24 years by eligibility</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9BEF6B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Internet-based mental health interventions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89FBE8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Passive and active controls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9BFAEF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48 RCTs; depression represented by 31 comparisons; no single aggregate N reported</w:t>
            </w:r>
          </w:p>
        </w:tc>
      </w:tr>
      <w:tr w14:paraId="62C729A2">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6EB04AA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Main</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82BAD5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Eilert et al. (2022)</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B8B8DA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Systematic review and pairwise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C78B15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Children and young people</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0682B1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Internet-delivered psychological interventions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24AAF3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Mixed control conditions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976532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23 studies in the systematic review; 16 in the meta-analysis; N = 1,985 across 21 comparisons (intervention, 977; control, 1,008)</w:t>
            </w:r>
          </w:p>
        </w:tc>
      </w:tr>
      <w:tr w14:paraId="2B9BDB92">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2A24A9E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Main</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629E15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Feng et al. (2025)</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7449BD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Systematic review and pairwise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DB223E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Average age: 12–25 years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6DF29B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Artificial intelligence-driven conversational agents using natural-language processing or machine learning</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7EE186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Waitlist, information-only, and active controls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BEE509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14 articles reporting 15 trials; N = 1,974</w:t>
            </w:r>
          </w:p>
        </w:tc>
      </w:tr>
      <w:tr w14:paraId="6FFC23F6">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23D6F0C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Extended</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4335BE8">
            <w:pPr>
              <w:keepNext w:val="0"/>
              <w:keepLines w:val="0"/>
              <w:widowControl/>
              <w:suppressLineNumbers w:val="0"/>
              <w:jc w:val="left"/>
              <w:rPr>
                <w:rFonts w:hint="default" w:ascii="Times New Roman" w:hAnsi="Times New Roman" w:cs="Times New Roman"/>
                <w:sz w:val="16"/>
                <w:szCs w:val="16"/>
              </w:rPr>
            </w:pPr>
            <w:r>
              <w:rPr>
                <w:rFonts w:hint="eastAsia" w:cs="Times New Roman"/>
                <w:kern w:val="0"/>
                <w:sz w:val="16"/>
                <w:szCs w:val="16"/>
                <w:lang w:val="en-US" w:eastAsia="zh-CN" w:bidi="ar"/>
              </w:rPr>
              <w:t>T. H. Chen et al. (2025)</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A0ACE5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Systematic review and pairwise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434ABC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Overall range: 14.7–35.3 years; eligible university subgroup mean ages: 18.78–22.90 years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0F3210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CBT-informed chatbots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8EECE8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Passive and active controls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44CA17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10 RCTs overall; depression k = 9; project-eligible subgroup k = 3, N = 205</w:t>
            </w:r>
          </w:p>
        </w:tc>
      </w:tr>
      <w:tr w14:paraId="2166357F">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4C8F6B9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Main</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4839FF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Noh and Kim (2023)</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974FA4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Systematic review and pairwise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0B49AC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10–24 years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351F77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Online universal and selective prevention interventions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E5D10D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 intervention, waitlist, and active controls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DC22B0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19 RCTs; depression change-score analysis k = 11, N = 2,687</w:t>
            </w:r>
          </w:p>
        </w:tc>
      </w:tr>
      <w:tr w14:paraId="3FB31185">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0610933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Extended</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7D0D60F">
            <w:pPr>
              <w:keepNext w:val="0"/>
              <w:keepLines w:val="0"/>
              <w:widowControl/>
              <w:suppressLineNumbers w:val="0"/>
              <w:jc w:val="left"/>
              <w:rPr>
                <w:rFonts w:hint="default" w:ascii="Times New Roman" w:hAnsi="Times New Roman" w:cs="Times New Roman"/>
                <w:sz w:val="16"/>
                <w:szCs w:val="16"/>
              </w:rPr>
            </w:pPr>
            <w:r>
              <w:rPr>
                <w:rFonts w:hint="eastAsia" w:cs="Times New Roman"/>
                <w:kern w:val="0"/>
                <w:sz w:val="16"/>
                <w:szCs w:val="16"/>
                <w:lang w:val="en-US" w:eastAsia="zh-CN" w:bidi="ar"/>
              </w:rPr>
              <w:t>Takizawa et al. (2026)</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24B5BA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Systematic review and pairwise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716A58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Overall range: 5–19 years; depression pool predominantly 10–19 years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0F87FA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Universal digital mental health interventions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C89A7A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 intervention, usual practice, and active controls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FA920A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29 RCTs; N = 22,705; depression k = 15</w:t>
            </w:r>
          </w:p>
        </w:tc>
      </w:tr>
      <w:tr w14:paraId="12BB6C84">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7AFBF3C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Main</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D8D28CC">
            <w:pPr>
              <w:keepNext w:val="0"/>
              <w:keepLines w:val="0"/>
              <w:widowControl/>
              <w:suppressLineNumbers w:val="0"/>
              <w:jc w:val="left"/>
              <w:rPr>
                <w:rFonts w:hint="default" w:ascii="Times New Roman" w:hAnsi="Times New Roman" w:cs="Times New Roman"/>
                <w:sz w:val="16"/>
                <w:szCs w:val="16"/>
              </w:rPr>
            </w:pPr>
            <w:r>
              <w:rPr>
                <w:rFonts w:hint="eastAsia" w:cs="Times New Roman"/>
                <w:kern w:val="0"/>
                <w:sz w:val="16"/>
                <w:szCs w:val="16"/>
                <w:lang w:val="en-US" w:eastAsia="zh-CN" w:bidi="ar"/>
              </w:rPr>
              <w:t>B. Chen et al. (2025)</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51D0D3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Systematic review and network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4D5EEB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Target range: 10–25 years; samples with mean age ≤25 years could include some older students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A306E0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Internet-delivered psychotherapies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25D341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Waitlist, usual care, and active psychological interventions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181254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27 reports; total N reported inconsistently as 3,345–3,451</w:t>
            </w:r>
          </w:p>
        </w:tc>
      </w:tr>
      <w:tr w14:paraId="151E5FEB">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71766CC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Main</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09D185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Wickersham et al. (2022)</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A02F29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Systematic review and pairwise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97385F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11–19 years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BA93A6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Computerized CBT for prevention and treatment</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0690A2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Waitlist, usual care, and active controls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B81318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16 RCTs; 13 entered at least one meta-analysis; depression k = 10; total review N = 4,012</w:t>
            </w:r>
          </w:p>
        </w:tc>
      </w:tr>
      <w:tr w14:paraId="55D71C98">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704241B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Main</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FCA2E0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Hatoum et al. (2025)</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DF59FF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Systematic review and pairwise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CAAA9E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10–24 years; ≥80% of participants age-eligible</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F9F6D9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Digital single-session interventions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6A4F25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Passive and active controls; some uncontrolled evidence included narratively</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7974B9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22 articles describing 18 unique digital single-session interventions; 16 RCTs; total N = 9,353; depression follow-up meta-analysis k = 9</w:t>
            </w:r>
          </w:p>
        </w:tc>
      </w:tr>
      <w:tr w14:paraId="253A9C51">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07C7FB5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Extended</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E6DD5E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Li et al. (2021)</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81B0B5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Systematic review and Bayesian network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B6B8F1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Review range: 7–18 years; participants in all three computerized CBT trials were 11–16 years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64BB11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Broad psychosocial prevention interventions with a separable computerized CBT node</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34555D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Waitlist and other psychosocial intervention nodes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C59640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27 RCTs; N = 5,976; project-eligible computerized CBT node k = 3</w:t>
            </w:r>
          </w:p>
        </w:tc>
      </w:tr>
      <w:tr w14:paraId="1D9089A5">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44453CA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Extended</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81B8AE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Grist et al. (2019)</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A0C9B2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Systematic review and pairwise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83CE0D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6–18 years; depression-targeted subgroup separately extractable</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3DB6A9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Computerized, internet-based, app-based, and virtual-reality psychological interventions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2FC83C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Waitlist, treatment as usual, and active controls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BCADE7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34 RCTs; N = 3,113; depression-targeted subgroup included 13 comparisons</w:t>
            </w:r>
          </w:p>
        </w:tc>
      </w:tr>
      <w:tr w14:paraId="7CE46527">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708E28E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Main</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CE6E32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Välimäki et al. (2017)</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263E1C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Systematic review and pairwise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FDD317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Included studies: 11–24 years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9339DF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Web-based psychological interventions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62A623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Passive and active controls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1E0D77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22 studies reported in 27 papers; 15 studies entered the meta-analysis, N = 4,979; depression postintervention k = 10</w:t>
            </w:r>
          </w:p>
        </w:tc>
      </w:tr>
      <w:tr w14:paraId="59250130">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779D126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Main</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8D4E1F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Liu et al. (2024)</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A2F0A7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Systematic review and pairwise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B05CD4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Study mean ages: 13.35–17.50 years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58F8A0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Self-guided or therapist-guided iCBT</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09DCDE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Waitlist, treatment as usual, and active controls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F65ACD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19 RCTs; 16 in the postintervention depression analysis; preintervention N = 3,399</w:t>
            </w:r>
          </w:p>
        </w:tc>
      </w:tr>
      <w:tr w14:paraId="537E8862">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7495B71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Main</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D435A6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Townsend et al. (2022)</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A65270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Systematic review and pairwise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FCB04E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12–25 years; the review also applied a mean-age criterion</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C0F28F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Serious games and gaming interventions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5477AA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Passive and active controls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D38E0E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12 studies: 7 RCTs and 5 non-RCTs; RCT effects separately extractable; RCT depression analysis N = 666</w:t>
            </w:r>
          </w:p>
        </w:tc>
      </w:tr>
      <w:tr w14:paraId="1AE30A21">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5ADFF8A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Main</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AEEC1F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Garrido et al. (2019)</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784D17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Mixed-methods systematic review and pairwise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672394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12–25 years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958E80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Broad digital mental health interventions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20F8DE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No-intervention and active controls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7EB910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41 studies in the narrative synthesis; depression meta-analysis included 15 RCT comparisons (9 no-intervention and 6 active-control comparisons); no aggregate N reported</w:t>
            </w:r>
          </w:p>
        </w:tc>
      </w:tr>
      <w:tr w14:paraId="43A80503">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5309108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Extended</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540070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Ye et al. (2014)</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43E5EC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Systematic review and pairwise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71F45F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Children, adolescents, and young adults; the depression waitlist pool was audited against the project age criterion</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642EF1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Internet-based psychological interventions for anxiety and/or depression</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B943C0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Waitlist and face-to-face psychological interventions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4B8BCF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Depression versus waitlist: 7 RCTs, N = 490; internet versus face-to-face intervention: 2 RCTs, N = 66</w:t>
            </w:r>
          </w:p>
        </w:tc>
      </w:tr>
      <w:tr w14:paraId="61408CEF">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6640A65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Main</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964193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Lin et al. (2026)</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AC3EA1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Systematic review and pairwise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56FF76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Young people without diagnosed mental disorders; samples predominantly comprised students and young adults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A0AE4A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Mindfulness-based smartphone apps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974348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Passive and active controls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26D24B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19 RCTs in the review; 13 entered at least one meta-analysis; depression k = 10, N = 1,543</w:t>
            </w:r>
          </w:p>
        </w:tc>
      </w:tr>
      <w:tr w14:paraId="53BD739C">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452D85B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Main</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E9BF29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Sathe et al. (2026)</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45B6F5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Systematic review and pairwise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AAA0C1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13–25 years; the review also referred to a median-age criterion of 10–24 years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7B7BE7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Mobile app-based CBT</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C8F93D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Passive and active controls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136C0C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10 RCTs; depression meta-analysis k = 9; total review N = 1,896; main analysis N = 1,127</w:t>
            </w:r>
          </w:p>
        </w:tc>
      </w:tr>
      <w:tr w14:paraId="5E7FAA24">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200F349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Extended</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2CA3FB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Bevilacqua et al. (2024)</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0C61C7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Systematic review and pairwise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2E2F3A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Eligibility required age ≤18 years, although one study included participants aged 15–25 years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CD71BB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Technology-assisted versus face-to-face CBT</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A0E18B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Face-to-face CBT</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9609C5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10 RCTs overall; depression k = 7; no single aggregate N reported</w:t>
            </w:r>
          </w:p>
        </w:tc>
      </w:tr>
      <w:tr w14:paraId="27EDC2DF">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3EBC8CF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Main</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555FDE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Tian et al. (2025)</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A5CC2B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Systematic review and pairwise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94F0E2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15–24 years; depressive and/or anxiety disorders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C2EAD7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Telepsychiatry-delivered psychological interventions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918590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Waitlist and active controls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6726D7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26 studies, N = 1,558; 14 RCTs overall; depression versus waitlist k = 5, N = 293</w:t>
            </w:r>
          </w:p>
        </w:tc>
      </w:tr>
      <w:tr w14:paraId="454AD83D">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551A3AD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Main</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588FF90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Reangsing et al. (2023)</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DA2CB1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Systematic review and pairwise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ED9F79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University students; overall mean age 22.6 years (SD = 3.2); study mean ages 18.2–31.1 years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E28D3F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Online mindfulness-based interventions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18D2E4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Passive and active controls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CF69BA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15 primary studies contributing 18 comparisons; N = 1,886</w:t>
            </w:r>
          </w:p>
        </w:tc>
      </w:tr>
      <w:tr w14:paraId="08B58814">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082E8FF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Extended</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7AD75C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Bryant et al. (2024)</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DCA3CD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Systematic review and pairwise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A9CAD8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Pediatric samples; review eligibility criterion &lt;18 years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CF678E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Gamified digital mental health interventions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39989E0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Passive and active controls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FD5111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27 RCTs; N = 2,911; depression k = 9, N = 1,332</w:t>
            </w:r>
          </w:p>
        </w:tc>
      </w:tr>
      <w:tr w14:paraId="4A7F1C6A">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30D5546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Main</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A087DE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Christ et al. (2020)</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97A622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Systematic review and pairwise meta-analysis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2DD88F8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Mean age: 12–25 years; elevated depressive symptoms or diagnosis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6CE430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Computer-, internet-, or smartphone-based CBT</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428E20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Passive and active controls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05EB7C4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24 RCTs; depression passive-control pool k = 20, N = 1,604; depression-targeted passive-control pool k = 13, N = 1,162</w:t>
            </w:r>
          </w:p>
        </w:tc>
      </w:tr>
      <w:tr w14:paraId="737B2DF6">
        <w:tblPrEx>
          <w:tblBorders>
            <w:top w:val="single" w:color="A6A6A6" w:sz="2" w:space="0"/>
            <w:left w:val="single" w:color="A6A6A6" w:sz="2" w:space="0"/>
            <w:bottom w:val="single" w:color="A6A6A6" w:sz="2" w:space="0"/>
            <w:right w:val="single" w:color="A6A6A6" w:sz="2" w:space="0"/>
            <w:insideH w:val="single" w:color="A6A6A6" w:sz="2" w:space="0"/>
            <w:insideV w:val="single" w:color="A6A6A6" w:sz="2" w:space="0"/>
          </w:tblBorders>
          <w:tblCellMar>
            <w:top w:w="0" w:type="dxa"/>
            <w:left w:w="108" w:type="dxa"/>
            <w:bottom w:w="0" w:type="dxa"/>
            <w:right w:w="108" w:type="dxa"/>
          </w:tblCellMar>
        </w:tblPrEx>
        <w:trPr>
          <w:cantSplit/>
          <w:jc w:val="center"/>
        </w:trPr>
        <w:tc>
          <w:tcPr>
            <w:tcW w:w="0" w:type="auto"/>
            <w:tcBorders>
              <w:top w:val="nil"/>
              <w:left w:val="nil"/>
              <w:bottom w:val="single" w:color="000000" w:sz="12" w:space="0"/>
              <w:right w:val="nil"/>
              <w:insideH w:val="nil"/>
              <w:insideV w:val="nil"/>
            </w:tcBorders>
            <w:tcMar>
              <w:top w:w="45" w:type="dxa"/>
              <w:left w:w="45" w:type="dxa"/>
              <w:bottom w:w="45" w:type="dxa"/>
              <w:right w:w="45" w:type="dxa"/>
            </w:tcMar>
            <w:vAlign w:val="center"/>
          </w:tcPr>
          <w:p w14:paraId="7157997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Extended</w:t>
            </w:r>
          </w:p>
        </w:tc>
        <w:tc>
          <w:tcPr>
            <w:tcW w:w="0" w:type="auto"/>
            <w:tcBorders>
              <w:top w:val="nil"/>
              <w:left w:val="nil"/>
              <w:bottom w:val="single" w:color="000000" w:sz="12" w:space="0"/>
              <w:right w:val="nil"/>
              <w:insideH w:val="nil"/>
              <w:insideV w:val="nil"/>
            </w:tcBorders>
            <w:tcMar>
              <w:top w:w="45" w:type="dxa"/>
              <w:left w:w="45" w:type="dxa"/>
              <w:bottom w:w="45" w:type="dxa"/>
              <w:right w:w="45" w:type="dxa"/>
            </w:tcMar>
            <w:vAlign w:val="center"/>
          </w:tcPr>
          <w:p w14:paraId="5730842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Leech et al. (2021)</w:t>
            </w:r>
          </w:p>
        </w:tc>
        <w:tc>
          <w:tcPr>
            <w:tcW w:w="0" w:type="auto"/>
            <w:tcBorders>
              <w:top w:val="nil"/>
              <w:left w:val="nil"/>
              <w:bottom w:val="single" w:color="000000" w:sz="12" w:space="0"/>
              <w:right w:val="nil"/>
              <w:insideH w:val="nil"/>
              <w:insideV w:val="nil"/>
            </w:tcBorders>
            <w:tcMar>
              <w:top w:w="45" w:type="dxa"/>
              <w:left w:w="45" w:type="dxa"/>
              <w:bottom w:w="45" w:type="dxa"/>
              <w:right w:w="45" w:type="dxa"/>
            </w:tcMar>
            <w:vAlign w:val="center"/>
          </w:tcPr>
          <w:p w14:paraId="1AB57ED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Systematic review and pairwise meta-analysis</w:t>
            </w:r>
          </w:p>
        </w:tc>
        <w:tc>
          <w:tcPr>
            <w:tcW w:w="0" w:type="auto"/>
            <w:tcBorders>
              <w:top w:val="nil"/>
              <w:left w:val="nil"/>
              <w:bottom w:val="single" w:color="000000" w:sz="12" w:space="0"/>
              <w:right w:val="nil"/>
              <w:insideH w:val="nil"/>
              <w:insideV w:val="nil"/>
            </w:tcBorders>
            <w:tcMar>
              <w:top w:w="45" w:type="dxa"/>
              <w:left w:w="45" w:type="dxa"/>
              <w:bottom w:w="45" w:type="dxa"/>
              <w:right w:w="45" w:type="dxa"/>
            </w:tcMar>
            <w:vAlign w:val="center"/>
          </w:tcPr>
          <w:p w14:paraId="5EF9B29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10–35 years; project audit confirmed that ≥75% of the evidence was age-eligible</w:t>
            </w:r>
          </w:p>
        </w:tc>
        <w:tc>
          <w:tcPr>
            <w:tcW w:w="0" w:type="auto"/>
            <w:tcBorders>
              <w:top w:val="nil"/>
              <w:left w:val="nil"/>
              <w:bottom w:val="single" w:color="000000" w:sz="12" w:space="0"/>
              <w:right w:val="nil"/>
              <w:insideH w:val="nil"/>
              <w:insideV w:val="nil"/>
            </w:tcBorders>
            <w:tcMar>
              <w:top w:w="45" w:type="dxa"/>
              <w:left w:w="45" w:type="dxa"/>
              <w:bottom w:w="45" w:type="dxa"/>
              <w:right w:w="45" w:type="dxa"/>
            </w:tcMar>
            <w:vAlign w:val="center"/>
          </w:tcPr>
          <w:p w14:paraId="3596CEB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Standalone smartphone apps</w:t>
            </w:r>
          </w:p>
        </w:tc>
        <w:tc>
          <w:tcPr>
            <w:tcW w:w="0" w:type="auto"/>
            <w:tcBorders>
              <w:top w:val="nil"/>
              <w:left w:val="nil"/>
              <w:bottom w:val="single" w:color="000000" w:sz="12" w:space="0"/>
              <w:right w:val="nil"/>
              <w:insideH w:val="nil"/>
              <w:insideV w:val="nil"/>
            </w:tcBorders>
            <w:tcMar>
              <w:top w:w="45" w:type="dxa"/>
              <w:left w:w="45" w:type="dxa"/>
              <w:bottom w:w="45" w:type="dxa"/>
              <w:right w:w="45" w:type="dxa"/>
            </w:tcMar>
            <w:vAlign w:val="center"/>
          </w:tcPr>
          <w:p w14:paraId="16D8321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Passive and active controls</w:t>
            </w:r>
          </w:p>
        </w:tc>
        <w:tc>
          <w:tcPr>
            <w:tcW w:w="0" w:type="auto"/>
            <w:tcBorders>
              <w:top w:val="nil"/>
              <w:left w:val="nil"/>
              <w:bottom w:val="single" w:color="000000" w:sz="12" w:space="0"/>
              <w:right w:val="nil"/>
              <w:insideH w:val="nil"/>
              <w:insideV w:val="nil"/>
            </w:tcBorders>
            <w:tcMar>
              <w:top w:w="45" w:type="dxa"/>
              <w:left w:w="45" w:type="dxa"/>
              <w:bottom w:w="45" w:type="dxa"/>
              <w:right w:w="45" w:type="dxa"/>
            </w:tcMar>
            <w:vAlign w:val="center"/>
          </w:tcPr>
          <w:p w14:paraId="1051B9C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11 independent RCTs; total N = 1,706; depression k = 8, analysis N = 862</w:t>
            </w:r>
          </w:p>
        </w:tc>
      </w:tr>
    </w:tbl>
    <w:p w14:paraId="32C88269">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rPr>
          <w:rFonts w:hint="default" w:ascii="Times New Roman" w:hAnsi="Times New Roman" w:eastAsia="宋体"/>
          <w:i/>
          <w:kern w:val="2"/>
          <w:sz w:val="16"/>
          <w:szCs w:val="24"/>
          <w:lang w:eastAsia="zh-CN"/>
        </w:rPr>
      </w:pPr>
      <w:r>
        <w:rPr>
          <w:rFonts w:hint="default" w:ascii="Times New Roman" w:hAnsi="Times New Roman" w:eastAsia="宋体"/>
          <w:b/>
          <w:bCs/>
          <w:i/>
          <w:kern w:val="2"/>
          <w:sz w:val="16"/>
          <w:szCs w:val="24"/>
          <w:lang w:eastAsia="zh-CN"/>
        </w:rPr>
        <w:t xml:space="preserve">Note. </w:t>
      </w:r>
      <w:r>
        <w:rPr>
          <w:rFonts w:hint="default" w:ascii="Times New Roman" w:hAnsi="Times New Roman" w:eastAsia="宋体"/>
          <w:i/>
          <w:kern w:val="2"/>
          <w:sz w:val="16"/>
          <w:szCs w:val="24"/>
          <w:lang w:eastAsia="zh-CN"/>
        </w:rPr>
        <w:t>The main evidence set comprised 25 reviews and the extended evidence set comprised 8 reviews. Study and participant counts are reported as presented in the source reviews or for the specified project-eligible analysis. Counts should not be summed across reviews because primary RCTs overlap. CBT = cognitive behavioural therapy; cCBT = computerized CBT; iCBT = internet-based CBT; N = number of participants; RCT = randomized controlled trial; SD = standard deviation.</w:t>
      </w:r>
    </w:p>
    <w:p w14:paraId="4FC59AF2">
      <w:pPr>
        <w:pStyle w:val="4"/>
        <w:bidi w:val="0"/>
        <w:rPr>
          <w:rFonts w:ascii="Times New Roman" w:hAnsi="Times New Roman"/>
          <w:lang w:val="en-US" w:eastAsia="en-US"/>
        </w:rPr>
      </w:pPr>
      <w:bookmarkStart w:id="5" w:name="_Toc26535"/>
      <w:r>
        <w:rPr>
          <w:rFonts w:ascii="Times New Roman" w:hAnsi="Times New Roman"/>
          <w:lang w:val="en-US" w:eastAsia="en-US"/>
        </w:rPr>
        <w:t>Supplementary Table S</w:t>
      </w:r>
      <w:r>
        <w:rPr>
          <w:rFonts w:hint="eastAsia" w:eastAsia="宋体"/>
          <w:lang w:val="en-US" w:eastAsia="zh-CN"/>
        </w:rPr>
        <w:t>5</w:t>
      </w:r>
      <w:r>
        <w:rPr>
          <w:rFonts w:ascii="Times New Roman" w:hAnsi="Times New Roman"/>
          <w:lang w:val="en-US" w:eastAsia="en-US"/>
        </w:rPr>
        <w:t>. Strict-primary review–RCT membership</w:t>
      </w:r>
      <w:bookmarkEnd w:id="5"/>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0"/>
        <w:gridCol w:w="688"/>
        <w:gridCol w:w="7746"/>
        <w:gridCol w:w="1464"/>
        <w:gridCol w:w="2158"/>
      </w:tblGrid>
      <w:tr w14:paraId="34676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auto" w:sz="12" w:space="0"/>
              <w:left w:val="nil"/>
              <w:bottom w:val="single" w:color="auto" w:sz="6" w:space="0"/>
              <w:right w:val="nil"/>
            </w:tcBorders>
            <w:vAlign w:val="center"/>
          </w:tcPr>
          <w:p w14:paraId="2D84818F">
            <w:pPr>
              <w:keepNext w:val="0"/>
              <w:keepLines w:val="0"/>
              <w:widowControl/>
              <w:suppressLineNumbers w:val="0"/>
              <w:jc w:val="center"/>
              <w:rPr>
                <w:rFonts w:hint="default"/>
                <w:vertAlign w:val="baseline"/>
                <w:lang w:val="en-US" w:eastAsia="en-US"/>
              </w:rPr>
            </w:pPr>
            <w:r>
              <w:rPr>
                <w:rFonts w:hint="default" w:ascii="Times New Roman" w:hAnsi="Times New Roman" w:eastAsia="宋体" w:cs="Times New Roman"/>
                <w:b/>
                <w:bCs/>
                <w:kern w:val="0"/>
                <w:sz w:val="16"/>
                <w:szCs w:val="16"/>
                <w:lang w:val="en-US" w:eastAsia="zh-CN" w:bidi="ar"/>
              </w:rPr>
              <w:t>Review</w:t>
            </w:r>
          </w:p>
        </w:tc>
        <w:tc>
          <w:tcPr>
            <w:tcW w:w="0" w:type="auto"/>
            <w:tcBorders>
              <w:top w:val="single" w:color="auto" w:sz="12" w:space="0"/>
              <w:left w:val="nil"/>
              <w:bottom w:val="single" w:color="auto" w:sz="6" w:space="0"/>
              <w:right w:val="nil"/>
            </w:tcBorders>
            <w:vAlign w:val="center"/>
          </w:tcPr>
          <w:p w14:paraId="5D62E32E">
            <w:pPr>
              <w:keepNext w:val="0"/>
              <w:keepLines w:val="0"/>
              <w:widowControl/>
              <w:suppressLineNumbers w:val="0"/>
              <w:jc w:val="center"/>
              <w:rPr>
                <w:rFonts w:hint="default"/>
                <w:vertAlign w:val="baseline"/>
                <w:lang w:val="en-US" w:eastAsia="en-US"/>
              </w:rPr>
            </w:pPr>
            <w:r>
              <w:rPr>
                <w:rFonts w:hint="default" w:ascii="Times New Roman" w:hAnsi="Times New Roman" w:eastAsia="宋体" w:cs="Times New Roman"/>
                <w:b/>
                <w:bCs/>
                <w:kern w:val="0"/>
                <w:sz w:val="16"/>
                <w:szCs w:val="16"/>
                <w:lang w:val="en-US" w:eastAsia="zh-CN" w:bidi="ar"/>
              </w:rPr>
              <w:t>Effect ID</w:t>
            </w:r>
          </w:p>
        </w:tc>
        <w:tc>
          <w:tcPr>
            <w:tcW w:w="0" w:type="auto"/>
            <w:tcBorders>
              <w:top w:val="single" w:color="auto" w:sz="12" w:space="0"/>
              <w:left w:val="nil"/>
              <w:bottom w:val="single" w:color="auto" w:sz="6" w:space="0"/>
              <w:right w:val="nil"/>
            </w:tcBorders>
            <w:vAlign w:val="center"/>
          </w:tcPr>
          <w:p w14:paraId="0A876879">
            <w:pPr>
              <w:keepNext w:val="0"/>
              <w:keepLines w:val="0"/>
              <w:widowControl/>
              <w:suppressLineNumbers w:val="0"/>
              <w:jc w:val="center"/>
              <w:rPr>
                <w:rFonts w:hint="default"/>
                <w:vertAlign w:val="baseline"/>
                <w:lang w:val="en-US" w:eastAsia="en-US"/>
              </w:rPr>
            </w:pPr>
            <w:r>
              <w:rPr>
                <w:rFonts w:hint="default" w:ascii="Times New Roman" w:hAnsi="Times New Roman" w:eastAsia="宋体" w:cs="Times New Roman"/>
                <w:b/>
                <w:bCs/>
                <w:kern w:val="0"/>
                <w:sz w:val="16"/>
                <w:szCs w:val="16"/>
                <w:lang w:val="en-US" w:eastAsia="zh-CN" w:bidi="ar"/>
              </w:rPr>
              <w:t>Included RCTs, first author and year</w:t>
            </w:r>
          </w:p>
        </w:tc>
        <w:tc>
          <w:tcPr>
            <w:tcW w:w="0" w:type="auto"/>
            <w:tcBorders>
              <w:top w:val="single" w:color="auto" w:sz="12" w:space="0"/>
              <w:left w:val="nil"/>
              <w:bottom w:val="single" w:color="auto" w:sz="6" w:space="0"/>
              <w:right w:val="nil"/>
            </w:tcBorders>
            <w:vAlign w:val="center"/>
          </w:tcPr>
          <w:p w14:paraId="06A70BB3">
            <w:pPr>
              <w:keepNext w:val="0"/>
              <w:keepLines w:val="0"/>
              <w:widowControl/>
              <w:suppressLineNumbers w:val="0"/>
              <w:jc w:val="center"/>
              <w:rPr>
                <w:rFonts w:hint="default"/>
                <w:vertAlign w:val="baseline"/>
                <w:lang w:val="en-US" w:eastAsia="en-US"/>
              </w:rPr>
            </w:pPr>
            <w:r>
              <w:rPr>
                <w:rFonts w:hint="default" w:ascii="Times New Roman" w:hAnsi="Times New Roman" w:eastAsia="宋体" w:cs="Times New Roman"/>
                <w:b/>
                <w:bCs/>
                <w:kern w:val="0"/>
                <w:sz w:val="16"/>
                <w:szCs w:val="16"/>
                <w:lang w:val="en-US" w:eastAsia="zh-CN" w:bidi="ar"/>
              </w:rPr>
              <w:t>No. of independent RCT clusters</w:t>
            </w:r>
          </w:p>
        </w:tc>
        <w:tc>
          <w:tcPr>
            <w:tcW w:w="0" w:type="auto"/>
            <w:tcBorders>
              <w:top w:val="single" w:color="auto" w:sz="12" w:space="0"/>
              <w:left w:val="nil"/>
              <w:bottom w:val="single" w:color="auto" w:sz="6" w:space="0"/>
              <w:right w:val="nil"/>
            </w:tcBorders>
            <w:vAlign w:val="center"/>
          </w:tcPr>
          <w:p w14:paraId="31FFA459">
            <w:pPr>
              <w:keepNext w:val="0"/>
              <w:keepLines w:val="0"/>
              <w:widowControl/>
              <w:suppressLineNumbers w:val="0"/>
              <w:jc w:val="center"/>
              <w:rPr>
                <w:rFonts w:hint="default"/>
                <w:vertAlign w:val="baseline"/>
                <w:lang w:val="en-US" w:eastAsia="en-US"/>
              </w:rPr>
            </w:pPr>
            <w:r>
              <w:rPr>
                <w:rFonts w:hint="default" w:ascii="Times New Roman" w:hAnsi="Times New Roman" w:eastAsia="宋体" w:cs="Times New Roman"/>
                <w:b/>
                <w:bCs/>
                <w:kern w:val="0"/>
                <w:sz w:val="16"/>
                <w:szCs w:val="16"/>
                <w:lang w:val="en-US" w:eastAsia="zh-CN" w:bidi="ar"/>
              </w:rPr>
              <w:t>Source</w:t>
            </w:r>
          </w:p>
        </w:tc>
      </w:tr>
      <w:tr w14:paraId="5B0C0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auto" w:sz="6" w:space="0"/>
              <w:left w:val="nil"/>
              <w:bottom w:val="nil"/>
              <w:right w:val="nil"/>
            </w:tcBorders>
            <w:vAlign w:val="center"/>
          </w:tcPr>
          <w:p w14:paraId="78DF09DC">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Thabrew et al. (2018)</w:t>
            </w:r>
          </w:p>
        </w:tc>
        <w:tc>
          <w:tcPr>
            <w:tcW w:w="0" w:type="auto"/>
            <w:tcBorders>
              <w:top w:val="single" w:color="auto" w:sz="6" w:space="0"/>
              <w:left w:val="nil"/>
              <w:bottom w:val="nil"/>
              <w:right w:val="nil"/>
            </w:tcBorders>
            <w:vAlign w:val="center"/>
          </w:tcPr>
          <w:p w14:paraId="20C8A308">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A03</w:t>
            </w:r>
          </w:p>
        </w:tc>
        <w:tc>
          <w:tcPr>
            <w:tcW w:w="0" w:type="auto"/>
            <w:tcBorders>
              <w:top w:val="single" w:color="auto" w:sz="6" w:space="0"/>
              <w:left w:val="nil"/>
              <w:bottom w:val="nil"/>
              <w:right w:val="nil"/>
            </w:tcBorders>
            <w:vAlign w:val="center"/>
          </w:tcPr>
          <w:p w14:paraId="637F9048">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Newcombe (2012); Palermo (2009)</w:t>
            </w:r>
          </w:p>
        </w:tc>
        <w:tc>
          <w:tcPr>
            <w:tcW w:w="0" w:type="auto"/>
            <w:tcBorders>
              <w:top w:val="single" w:color="auto" w:sz="6" w:space="0"/>
              <w:left w:val="nil"/>
              <w:bottom w:val="nil"/>
              <w:right w:val="nil"/>
            </w:tcBorders>
            <w:vAlign w:val="center"/>
          </w:tcPr>
          <w:p w14:paraId="1438C909">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2</w:t>
            </w:r>
          </w:p>
        </w:tc>
        <w:tc>
          <w:tcPr>
            <w:tcW w:w="0" w:type="auto"/>
            <w:tcBorders>
              <w:top w:val="single" w:color="auto" w:sz="6" w:space="0"/>
              <w:left w:val="nil"/>
              <w:bottom w:val="nil"/>
              <w:right w:val="nil"/>
            </w:tcBorders>
            <w:vAlign w:val="center"/>
          </w:tcPr>
          <w:p w14:paraId="6BBE0729">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Analysis 4.1 (PDF p. 75)</w:t>
            </w:r>
          </w:p>
        </w:tc>
      </w:tr>
      <w:tr w14:paraId="3BBB3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vAlign w:val="center"/>
          </w:tcPr>
          <w:p w14:paraId="32D270E0">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Pennant et al. (2015)</w:t>
            </w:r>
          </w:p>
        </w:tc>
        <w:tc>
          <w:tcPr>
            <w:tcW w:w="0" w:type="auto"/>
            <w:tcBorders>
              <w:top w:val="nil"/>
              <w:left w:val="nil"/>
              <w:bottom w:val="nil"/>
              <w:right w:val="nil"/>
            </w:tcBorders>
            <w:vAlign w:val="center"/>
          </w:tcPr>
          <w:p w14:paraId="3B25C3C3">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A01</w:t>
            </w:r>
          </w:p>
        </w:tc>
        <w:tc>
          <w:tcPr>
            <w:tcW w:w="0" w:type="auto"/>
            <w:tcBorders>
              <w:top w:val="nil"/>
              <w:left w:val="nil"/>
              <w:bottom w:val="nil"/>
              <w:right w:val="nil"/>
            </w:tcBorders>
            <w:vAlign w:val="center"/>
          </w:tcPr>
          <w:p w14:paraId="38E2433F">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Clarke (2009); Ellis (2011); Fleming (2012); Sethi (2010); Sethi (2013); Stallard (2011); Stasiak (2012)</w:t>
            </w:r>
          </w:p>
        </w:tc>
        <w:tc>
          <w:tcPr>
            <w:tcW w:w="0" w:type="auto"/>
            <w:tcBorders>
              <w:top w:val="nil"/>
              <w:left w:val="nil"/>
              <w:bottom w:val="nil"/>
              <w:right w:val="nil"/>
            </w:tcBorders>
            <w:vAlign w:val="center"/>
          </w:tcPr>
          <w:p w14:paraId="42D4DC20">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7</w:t>
            </w:r>
          </w:p>
        </w:tc>
        <w:tc>
          <w:tcPr>
            <w:tcW w:w="0" w:type="auto"/>
            <w:tcBorders>
              <w:top w:val="nil"/>
              <w:left w:val="nil"/>
              <w:bottom w:val="nil"/>
              <w:right w:val="nil"/>
            </w:tcBorders>
            <w:vAlign w:val="center"/>
          </w:tcPr>
          <w:p w14:paraId="470DFA9E">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Figure 5, cCBT in young people subtotal (PDF p. 14)</w:t>
            </w:r>
          </w:p>
        </w:tc>
      </w:tr>
      <w:tr w14:paraId="48101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vAlign w:val="center"/>
          </w:tcPr>
          <w:p w14:paraId="5AA271F9">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Ebert et al. (2015)</w:t>
            </w:r>
          </w:p>
        </w:tc>
        <w:tc>
          <w:tcPr>
            <w:tcW w:w="0" w:type="auto"/>
            <w:tcBorders>
              <w:top w:val="nil"/>
              <w:left w:val="nil"/>
              <w:bottom w:val="nil"/>
              <w:right w:val="nil"/>
            </w:tcBorders>
            <w:vAlign w:val="center"/>
          </w:tcPr>
          <w:p w14:paraId="61DB775C">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A01</w:t>
            </w:r>
          </w:p>
        </w:tc>
        <w:tc>
          <w:tcPr>
            <w:tcW w:w="0" w:type="auto"/>
            <w:tcBorders>
              <w:top w:val="nil"/>
              <w:left w:val="nil"/>
              <w:bottom w:val="nil"/>
              <w:right w:val="nil"/>
            </w:tcBorders>
            <w:vAlign w:val="center"/>
          </w:tcPr>
          <w:p w14:paraId="59683DDA">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Fleming (2012); Keller (2009); Khanna (2010); Makarushka (2012); March (2009); Sethi (2010); Stallard (2011); Stasiak (2012); Storch (2011); Tillfors (2011); Van der Zanden (2012)</w:t>
            </w:r>
          </w:p>
        </w:tc>
        <w:tc>
          <w:tcPr>
            <w:tcW w:w="0" w:type="auto"/>
            <w:tcBorders>
              <w:top w:val="nil"/>
              <w:left w:val="nil"/>
              <w:bottom w:val="nil"/>
              <w:right w:val="nil"/>
            </w:tcBorders>
            <w:vAlign w:val="center"/>
          </w:tcPr>
          <w:p w14:paraId="53E1D76D">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11</w:t>
            </w:r>
          </w:p>
        </w:tc>
        <w:tc>
          <w:tcPr>
            <w:tcW w:w="0" w:type="auto"/>
            <w:tcBorders>
              <w:top w:val="nil"/>
              <w:left w:val="nil"/>
              <w:bottom w:val="nil"/>
              <w:right w:val="nil"/>
            </w:tcBorders>
            <w:vAlign w:val="center"/>
          </w:tcPr>
          <w:p w14:paraId="100EF140">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Table 1 and overall depression meta-analysis</w:t>
            </w:r>
          </w:p>
        </w:tc>
      </w:tr>
      <w:tr w14:paraId="5C495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vAlign w:val="center"/>
          </w:tcPr>
          <w:p w14:paraId="78EE2857">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Harrer et al. (2019)</w:t>
            </w:r>
          </w:p>
        </w:tc>
        <w:tc>
          <w:tcPr>
            <w:tcW w:w="0" w:type="auto"/>
            <w:tcBorders>
              <w:top w:val="nil"/>
              <w:left w:val="nil"/>
              <w:bottom w:val="nil"/>
              <w:right w:val="nil"/>
            </w:tcBorders>
            <w:vAlign w:val="center"/>
          </w:tcPr>
          <w:p w14:paraId="1F9EEB54">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A02</w:t>
            </w:r>
          </w:p>
        </w:tc>
        <w:tc>
          <w:tcPr>
            <w:tcW w:w="0" w:type="auto"/>
            <w:tcBorders>
              <w:top w:val="nil"/>
              <w:left w:val="nil"/>
              <w:bottom w:val="nil"/>
              <w:right w:val="nil"/>
            </w:tcBorders>
            <w:vAlign w:val="center"/>
          </w:tcPr>
          <w:p w14:paraId="35697350">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Cavanagh (2013); Day (2013); Ellis (2011; MoodGYM); Geisner (2006); Geisner (2015; combined feedback); Gibbel (2010; spiritual intervention); Hintz (2015; PCI); Lee (2018); Levin (2014); Levin (2017); Lintvedt (2011); Melnyk (2015); Mogoase (2013); Mullin (2015); Musiat (2014); Nguyen-Feng (2015; IPV sample); Räsänen (2016); Sarniak (2009); Sethi (2010)</w:t>
            </w:r>
          </w:p>
        </w:tc>
        <w:tc>
          <w:tcPr>
            <w:tcW w:w="0" w:type="auto"/>
            <w:tcBorders>
              <w:top w:val="nil"/>
              <w:left w:val="nil"/>
              <w:bottom w:val="nil"/>
              <w:right w:val="nil"/>
            </w:tcBorders>
            <w:vAlign w:val="center"/>
          </w:tcPr>
          <w:p w14:paraId="20C2413F">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19</w:t>
            </w:r>
          </w:p>
        </w:tc>
        <w:tc>
          <w:tcPr>
            <w:tcW w:w="0" w:type="auto"/>
            <w:tcBorders>
              <w:top w:val="nil"/>
              <w:left w:val="nil"/>
              <w:bottom w:val="nil"/>
              <w:right w:val="nil"/>
            </w:tcBorders>
            <w:vAlign w:val="center"/>
          </w:tcPr>
          <w:p w14:paraId="1E52BD32">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Tables 1 and 3, passive-control subgroup</w:t>
            </w:r>
          </w:p>
        </w:tc>
      </w:tr>
      <w:tr w14:paraId="46810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vAlign w:val="center"/>
          </w:tcPr>
          <w:p w14:paraId="28266D22">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Townsend et al. (2022)</w:t>
            </w:r>
          </w:p>
        </w:tc>
        <w:tc>
          <w:tcPr>
            <w:tcW w:w="0" w:type="auto"/>
            <w:tcBorders>
              <w:top w:val="nil"/>
              <w:left w:val="nil"/>
              <w:bottom w:val="nil"/>
              <w:right w:val="nil"/>
            </w:tcBorders>
            <w:vAlign w:val="center"/>
          </w:tcPr>
          <w:p w14:paraId="3D371679">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A01</w:t>
            </w:r>
          </w:p>
        </w:tc>
        <w:tc>
          <w:tcPr>
            <w:tcW w:w="0" w:type="auto"/>
            <w:tcBorders>
              <w:top w:val="nil"/>
              <w:left w:val="nil"/>
              <w:bottom w:val="nil"/>
              <w:right w:val="nil"/>
            </w:tcBorders>
            <w:vAlign w:val="center"/>
          </w:tcPr>
          <w:p w14:paraId="4878E625">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David (2019); Fleming (2012); Kuosmanen (2017); Merry (2012); Poppelaars (2016)</w:t>
            </w:r>
          </w:p>
        </w:tc>
        <w:tc>
          <w:tcPr>
            <w:tcW w:w="0" w:type="auto"/>
            <w:tcBorders>
              <w:top w:val="nil"/>
              <w:left w:val="nil"/>
              <w:bottom w:val="nil"/>
              <w:right w:val="nil"/>
            </w:tcBorders>
            <w:vAlign w:val="center"/>
          </w:tcPr>
          <w:p w14:paraId="5BE7C70F">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5</w:t>
            </w:r>
          </w:p>
        </w:tc>
        <w:tc>
          <w:tcPr>
            <w:tcW w:w="0" w:type="auto"/>
            <w:tcBorders>
              <w:top w:val="nil"/>
              <w:left w:val="nil"/>
              <w:bottom w:val="nil"/>
              <w:right w:val="nil"/>
            </w:tcBorders>
            <w:vAlign w:val="center"/>
          </w:tcPr>
          <w:p w14:paraId="7290D066">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Figure 3a and accompanying depression-analysis study information</w:t>
            </w:r>
          </w:p>
        </w:tc>
      </w:tr>
      <w:tr w14:paraId="2A48A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vAlign w:val="center"/>
          </w:tcPr>
          <w:p w14:paraId="423B1000">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Garrido et al. (2019)</w:t>
            </w:r>
          </w:p>
        </w:tc>
        <w:tc>
          <w:tcPr>
            <w:tcW w:w="0" w:type="auto"/>
            <w:tcBorders>
              <w:top w:val="nil"/>
              <w:left w:val="nil"/>
              <w:bottom w:val="nil"/>
              <w:right w:val="nil"/>
            </w:tcBorders>
            <w:vAlign w:val="center"/>
          </w:tcPr>
          <w:p w14:paraId="3F762558">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A01</w:t>
            </w:r>
          </w:p>
        </w:tc>
        <w:tc>
          <w:tcPr>
            <w:tcW w:w="0" w:type="auto"/>
            <w:tcBorders>
              <w:top w:val="nil"/>
              <w:left w:val="nil"/>
              <w:bottom w:val="nil"/>
              <w:right w:val="nil"/>
            </w:tcBorders>
            <w:vAlign w:val="center"/>
          </w:tcPr>
          <w:p w14:paraId="46A2202B">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Clarke (2009); Hetrick (2017); Kramer (2014); Levin (2014); Lillevoll (2014); Reid (2013); Sekizaki (2017); Smith (2015); Van der Zanden (2012)</w:t>
            </w:r>
          </w:p>
        </w:tc>
        <w:tc>
          <w:tcPr>
            <w:tcW w:w="0" w:type="auto"/>
            <w:tcBorders>
              <w:top w:val="nil"/>
              <w:left w:val="nil"/>
              <w:bottom w:val="nil"/>
              <w:right w:val="nil"/>
            </w:tcBorders>
            <w:vAlign w:val="center"/>
          </w:tcPr>
          <w:p w14:paraId="5799EED9">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9</w:t>
            </w:r>
          </w:p>
        </w:tc>
        <w:tc>
          <w:tcPr>
            <w:tcW w:w="0" w:type="auto"/>
            <w:tcBorders>
              <w:top w:val="nil"/>
              <w:left w:val="nil"/>
              <w:bottom w:val="nil"/>
              <w:right w:val="nil"/>
            </w:tcBorders>
            <w:vAlign w:val="center"/>
          </w:tcPr>
          <w:p w14:paraId="4892D5E9">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Figure 2 (PDF p. 10)</w:t>
            </w:r>
          </w:p>
        </w:tc>
      </w:tr>
      <w:tr w14:paraId="56A98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vAlign w:val="center"/>
          </w:tcPr>
          <w:p w14:paraId="7176C7F9">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Lin et al. (2026)</w:t>
            </w:r>
          </w:p>
        </w:tc>
        <w:tc>
          <w:tcPr>
            <w:tcW w:w="0" w:type="auto"/>
            <w:tcBorders>
              <w:top w:val="nil"/>
              <w:left w:val="nil"/>
              <w:bottom w:val="nil"/>
              <w:right w:val="nil"/>
            </w:tcBorders>
            <w:vAlign w:val="center"/>
          </w:tcPr>
          <w:p w14:paraId="7D79F4DB">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A04</w:t>
            </w:r>
          </w:p>
        </w:tc>
        <w:tc>
          <w:tcPr>
            <w:tcW w:w="0" w:type="auto"/>
            <w:tcBorders>
              <w:top w:val="nil"/>
              <w:left w:val="nil"/>
              <w:bottom w:val="nil"/>
              <w:right w:val="nil"/>
            </w:tcBorders>
            <w:vAlign w:val="center"/>
          </w:tcPr>
          <w:p w14:paraId="7D642820">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Conley (2024); Levin (2022); Lew (2025); Min (2024); Nolan (2019)</w:t>
            </w:r>
          </w:p>
        </w:tc>
        <w:tc>
          <w:tcPr>
            <w:tcW w:w="0" w:type="auto"/>
            <w:tcBorders>
              <w:top w:val="nil"/>
              <w:left w:val="nil"/>
              <w:bottom w:val="nil"/>
              <w:right w:val="nil"/>
            </w:tcBorders>
            <w:vAlign w:val="center"/>
          </w:tcPr>
          <w:p w14:paraId="6EAD177C">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5</w:t>
            </w:r>
          </w:p>
        </w:tc>
        <w:tc>
          <w:tcPr>
            <w:tcW w:w="0" w:type="auto"/>
            <w:tcBorders>
              <w:top w:val="nil"/>
              <w:left w:val="nil"/>
              <w:bottom w:val="nil"/>
              <w:right w:val="nil"/>
            </w:tcBorders>
            <w:vAlign w:val="center"/>
          </w:tcPr>
          <w:p w14:paraId="738F507A">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Table 1 and Supplementary Table S4</w:t>
            </w:r>
          </w:p>
        </w:tc>
      </w:tr>
      <w:tr w14:paraId="558DC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nil"/>
              <w:right w:val="nil"/>
            </w:tcBorders>
            <w:vAlign w:val="center"/>
          </w:tcPr>
          <w:p w14:paraId="42A6AACA">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Tian et al. (2025)</w:t>
            </w:r>
          </w:p>
        </w:tc>
        <w:tc>
          <w:tcPr>
            <w:tcW w:w="0" w:type="auto"/>
            <w:tcBorders>
              <w:top w:val="nil"/>
              <w:left w:val="nil"/>
              <w:bottom w:val="nil"/>
              <w:right w:val="nil"/>
            </w:tcBorders>
            <w:vAlign w:val="center"/>
          </w:tcPr>
          <w:p w14:paraId="14E992E0">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A01</w:t>
            </w:r>
          </w:p>
        </w:tc>
        <w:tc>
          <w:tcPr>
            <w:tcW w:w="0" w:type="auto"/>
            <w:tcBorders>
              <w:top w:val="nil"/>
              <w:left w:val="nil"/>
              <w:bottom w:val="nil"/>
              <w:right w:val="nil"/>
            </w:tcBorders>
            <w:vAlign w:val="center"/>
          </w:tcPr>
          <w:p w14:paraId="50E4519E">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Kageyama (2021); Moeini (2019); Rickhi (2015); Ruehlman and Karoly (2023); Topooco (2019)</w:t>
            </w:r>
          </w:p>
        </w:tc>
        <w:tc>
          <w:tcPr>
            <w:tcW w:w="0" w:type="auto"/>
            <w:tcBorders>
              <w:top w:val="nil"/>
              <w:left w:val="nil"/>
              <w:bottom w:val="nil"/>
              <w:right w:val="nil"/>
            </w:tcBorders>
            <w:vAlign w:val="center"/>
          </w:tcPr>
          <w:p w14:paraId="1C1E74AC">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5</w:t>
            </w:r>
          </w:p>
        </w:tc>
        <w:tc>
          <w:tcPr>
            <w:tcW w:w="0" w:type="auto"/>
            <w:tcBorders>
              <w:top w:val="nil"/>
              <w:left w:val="nil"/>
              <w:bottom w:val="nil"/>
              <w:right w:val="nil"/>
            </w:tcBorders>
            <w:vAlign w:val="center"/>
          </w:tcPr>
          <w:p w14:paraId="51373D8C">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Figure 4 (PDF p. 8)</w:t>
            </w:r>
          </w:p>
        </w:tc>
      </w:tr>
      <w:tr w14:paraId="1BDC0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nil"/>
              <w:left w:val="nil"/>
              <w:bottom w:val="single" w:color="auto" w:sz="12" w:space="0"/>
              <w:right w:val="nil"/>
            </w:tcBorders>
            <w:vAlign w:val="center"/>
          </w:tcPr>
          <w:p w14:paraId="3DD98368">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Christ et al. (2020)</w:t>
            </w:r>
          </w:p>
        </w:tc>
        <w:tc>
          <w:tcPr>
            <w:tcW w:w="0" w:type="auto"/>
            <w:tcBorders>
              <w:top w:val="nil"/>
              <w:left w:val="nil"/>
              <w:bottom w:val="single" w:color="auto" w:sz="12" w:space="0"/>
              <w:right w:val="nil"/>
            </w:tcBorders>
            <w:vAlign w:val="center"/>
          </w:tcPr>
          <w:p w14:paraId="161A12B3">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A01</w:t>
            </w:r>
          </w:p>
        </w:tc>
        <w:tc>
          <w:tcPr>
            <w:tcW w:w="0" w:type="auto"/>
            <w:tcBorders>
              <w:top w:val="nil"/>
              <w:left w:val="nil"/>
              <w:bottom w:val="single" w:color="auto" w:sz="12" w:space="0"/>
              <w:right w:val="nil"/>
            </w:tcBorders>
            <w:vAlign w:val="center"/>
          </w:tcPr>
          <w:p w14:paraId="0E09186A">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Botella (2010); Bowler (2012); Clarke (2009); Day (2013); Ellis (2011); Fitzpatrick (2017); Fleming (2012); Ip (2016); Lenhard (2017); Poppelaars (2016); Richards (2016); Sethi (2010); Sethi (2013); Smith (2015); Stallard (2011); Stjerneklar (2019); Tillfors (2011); Topooco (2018); Van der Zanden (2012); Waite (2019)</w:t>
            </w:r>
          </w:p>
        </w:tc>
        <w:tc>
          <w:tcPr>
            <w:tcW w:w="0" w:type="auto"/>
            <w:tcBorders>
              <w:top w:val="nil"/>
              <w:left w:val="nil"/>
              <w:bottom w:val="single" w:color="auto" w:sz="12" w:space="0"/>
              <w:right w:val="nil"/>
            </w:tcBorders>
            <w:vAlign w:val="center"/>
          </w:tcPr>
          <w:p w14:paraId="4CD15EAE">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20</w:t>
            </w:r>
          </w:p>
        </w:tc>
        <w:tc>
          <w:tcPr>
            <w:tcW w:w="0" w:type="auto"/>
            <w:tcBorders>
              <w:top w:val="nil"/>
              <w:left w:val="nil"/>
              <w:bottom w:val="single" w:color="auto" w:sz="12" w:space="0"/>
              <w:right w:val="nil"/>
            </w:tcBorders>
            <w:vAlign w:val="center"/>
          </w:tcPr>
          <w:p w14:paraId="75D49705">
            <w:pPr>
              <w:keepNext w:val="0"/>
              <w:keepLines w:val="0"/>
              <w:widowControl/>
              <w:suppressLineNumbers w:val="0"/>
              <w:jc w:val="left"/>
              <w:rPr>
                <w:rFonts w:hint="default"/>
                <w:vertAlign w:val="baseline"/>
                <w:lang w:val="en-US" w:eastAsia="en-US"/>
              </w:rPr>
            </w:pPr>
            <w:r>
              <w:rPr>
                <w:rFonts w:hint="default" w:ascii="Times New Roman" w:hAnsi="Times New Roman" w:eastAsia="宋体" w:cs="Times New Roman"/>
                <w:kern w:val="0"/>
                <w:sz w:val="16"/>
                <w:szCs w:val="16"/>
                <w:lang w:val="en-US" w:eastAsia="zh-CN" w:bidi="ar"/>
              </w:rPr>
              <w:t>Appendix 2, Table 1, and main-text Table 1</w:t>
            </w:r>
          </w:p>
        </w:tc>
      </w:tr>
    </w:tbl>
    <w:p w14:paraId="74266FCD">
      <w:pPr>
        <w:rPr>
          <w:rFonts w:hint="default"/>
          <w:lang w:val="en-US" w:eastAsia="en-US"/>
        </w:rPr>
      </w:pPr>
    </w:p>
    <w:p w14:paraId="3B6A6247">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rPr>
          <w:rFonts w:hint="default" w:ascii="Times New Roman" w:hAnsi="Times New Roman" w:eastAsia="宋体"/>
          <w:i/>
          <w:kern w:val="2"/>
          <w:sz w:val="16"/>
          <w:szCs w:val="24"/>
          <w:lang w:val="en-US" w:eastAsia="zh-CN"/>
        </w:rPr>
      </w:pPr>
      <w:r>
        <w:rPr>
          <w:rFonts w:hint="default" w:ascii="Times New Roman" w:hAnsi="Times New Roman" w:eastAsia="宋体"/>
          <w:b/>
          <w:bCs/>
          <w:i/>
          <w:kern w:val="2"/>
          <w:sz w:val="16"/>
          <w:szCs w:val="24"/>
          <w:lang w:eastAsia="zh-CN"/>
        </w:rPr>
        <w:t>Note.</w:t>
      </w:r>
      <w:r>
        <w:rPr>
          <w:rFonts w:hint="default" w:ascii="Times New Roman" w:hAnsi="Times New Roman" w:eastAsia="宋体"/>
          <w:i/>
          <w:kern w:val="2"/>
          <w:sz w:val="16"/>
          <w:szCs w:val="24"/>
          <w:lang w:eastAsia="zh-CN"/>
        </w:rPr>
        <w:t xml:space="preserve"> RCT membership was mapped at the level of independent randomized-trial clusters. Multiple reports, intervention arms or effect estimates originating from the same randomized trial were counted once within each review. Across the nine reviews, 83 review–RCT incidences represented 62 independent RCT clusters, corresponding to a corrected covered area of 4.23%. cCBT = computerized cognitive behavioural therapy; IPV = intimate partner violence; PCI = personalized feedback intervention; RCT = randomized controlled trial.</w:t>
      </w:r>
      <w:r>
        <w:rPr>
          <w:rFonts w:hint="eastAsia"/>
          <w:i/>
          <w:kern w:val="2"/>
          <w:sz w:val="16"/>
          <w:szCs w:val="24"/>
          <w:lang w:val="en-US" w:eastAsia="zh-CN"/>
        </w:rPr>
        <w:t xml:space="preserve"> </w:t>
      </w:r>
      <w:r>
        <w:rPr>
          <w:rFonts w:hint="default" w:ascii="Times New Roman" w:hAnsi="Times New Roman" w:eastAsia="宋体"/>
          <w:i/>
          <w:kern w:val="2"/>
          <w:sz w:val="16"/>
          <w:szCs w:val="24"/>
          <w:lang w:eastAsia="zh-CN"/>
        </w:rPr>
        <w:t>Effect IDs beginning with “A” identify effects eligible for at least one prespecified quantitative synthesis</w:t>
      </w:r>
      <w:r>
        <w:rPr>
          <w:rFonts w:hint="eastAsia"/>
          <w:i/>
          <w:kern w:val="2"/>
          <w:sz w:val="16"/>
          <w:szCs w:val="24"/>
          <w:lang w:val="en-US" w:eastAsia="zh-CN"/>
        </w:rPr>
        <w:t>. Primary RCT author–year labels are used as study identifiers for overlap mapping. Because the quantitative syntheses used review-level rather than RCT-level effect estimates, these primary reports are traceable through the source locations shown and are not separately cited in the main reference list.</w:t>
      </w:r>
      <w:bookmarkStart w:id="19" w:name="_GoBack"/>
      <w:bookmarkEnd w:id="19"/>
    </w:p>
    <w:p w14:paraId="2C26684F">
      <w:pPr>
        <w:pStyle w:val="4"/>
        <w:bidi w:val="0"/>
        <w:rPr>
          <w:rFonts w:ascii="Times New Roman" w:hAnsi="Times New Roman"/>
          <w:lang w:val="en-US" w:eastAsia="en-US"/>
        </w:rPr>
      </w:pPr>
      <w:bookmarkStart w:id="6" w:name="_Toc3458"/>
      <w:r>
        <w:rPr>
          <w:rFonts w:ascii="Times New Roman" w:hAnsi="Times New Roman"/>
          <w:lang w:val="en-US" w:eastAsia="en-US"/>
        </w:rPr>
        <w:t>Supplementary Table S</w:t>
      </w:r>
      <w:r>
        <w:rPr>
          <w:rFonts w:hint="eastAsia" w:eastAsia="宋体"/>
          <w:lang w:val="en-US" w:eastAsia="zh-CN"/>
        </w:rPr>
        <w:t>6</w:t>
      </w:r>
      <w:r>
        <w:rPr>
          <w:rFonts w:ascii="Times New Roman" w:hAnsi="Times New Roman"/>
          <w:lang w:val="en-US" w:eastAsia="en-US"/>
        </w:rPr>
        <w:t>. AMSTAR 2 methodological quality and overall confidence ratings</w:t>
      </w:r>
      <w:bookmarkEnd w:id="6"/>
    </w:p>
    <w:tbl>
      <w:tblPr>
        <w:tblStyle w:val="35"/>
        <w:tblW w:w="0" w:type="auto"/>
        <w:jc w:val="center"/>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Layout w:type="autofit"/>
        <w:tblCellMar>
          <w:top w:w="0" w:type="dxa"/>
          <w:left w:w="108" w:type="dxa"/>
          <w:bottom w:w="0" w:type="dxa"/>
          <w:right w:w="108" w:type="dxa"/>
        </w:tblCellMar>
      </w:tblPr>
      <w:tblGrid>
        <w:gridCol w:w="2174"/>
        <w:gridCol w:w="589"/>
        <w:gridCol w:w="590"/>
        <w:gridCol w:w="590"/>
        <w:gridCol w:w="590"/>
        <w:gridCol w:w="590"/>
        <w:gridCol w:w="590"/>
        <w:gridCol w:w="590"/>
        <w:gridCol w:w="590"/>
        <w:gridCol w:w="590"/>
        <w:gridCol w:w="590"/>
        <w:gridCol w:w="590"/>
        <w:gridCol w:w="590"/>
        <w:gridCol w:w="590"/>
        <w:gridCol w:w="590"/>
        <w:gridCol w:w="590"/>
        <w:gridCol w:w="590"/>
        <w:gridCol w:w="1417"/>
      </w:tblGrid>
      <w:tr w14:paraId="685A528D">
        <w:tblPrEx>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CellMar>
            <w:top w:w="0" w:type="dxa"/>
            <w:left w:w="108" w:type="dxa"/>
            <w:bottom w:w="0" w:type="dxa"/>
            <w:right w:w="108" w:type="dxa"/>
          </w:tblCellMar>
        </w:tblPrEx>
        <w:trPr>
          <w:cantSplit/>
          <w:trHeight w:val="670" w:hRule="atLeast"/>
          <w:tblHeader/>
          <w:jc w:val="center"/>
        </w:trPr>
        <w:tc>
          <w:tcPr>
            <w:tcW w:w="2174" w:type="dxa"/>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2FE4C3AB">
            <w:pPr>
              <w:keepNext w:val="0"/>
              <w:keepLines w:val="0"/>
              <w:widowControl/>
              <w:suppressLineNumbers w:val="0"/>
              <w:jc w:val="center"/>
              <w:rPr>
                <w:rFonts w:hint="default" w:ascii="Times New Roman" w:hAnsi="Times New Roman" w:eastAsia="宋体" w:cs="Times New Roman"/>
                <w:b w:val="0"/>
                <w:color w:val="000000"/>
                <w:sz w:val="16"/>
                <w:szCs w:val="16"/>
              </w:rPr>
            </w:pPr>
            <w:r>
              <w:rPr>
                <w:rFonts w:hint="default" w:ascii="Times New Roman" w:hAnsi="Times New Roman" w:eastAsia="宋体" w:cs="Times New Roman"/>
                <w:b/>
                <w:bCs/>
                <w:kern w:val="0"/>
                <w:sz w:val="16"/>
                <w:szCs w:val="16"/>
                <w:lang w:val="en-US" w:eastAsia="zh-CN" w:bidi="ar"/>
              </w:rPr>
              <w:t>Review</w:t>
            </w:r>
          </w:p>
        </w:tc>
        <w:tc>
          <w:tcPr>
            <w:tcW w:w="589" w:type="dxa"/>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533CBC6D">
            <w:pPr>
              <w:keepNext w:val="0"/>
              <w:keepLines w:val="0"/>
              <w:widowControl/>
              <w:suppressLineNumbers w:val="0"/>
              <w:jc w:val="center"/>
              <w:rPr>
                <w:rFonts w:hint="default" w:ascii="Times New Roman" w:hAnsi="Times New Roman" w:eastAsia="宋体" w:cs="Times New Roman"/>
                <w:b w:val="0"/>
                <w:color w:val="000000"/>
                <w:sz w:val="16"/>
                <w:szCs w:val="16"/>
              </w:rPr>
            </w:pPr>
            <w:r>
              <w:rPr>
                <w:rFonts w:hint="default" w:ascii="Times New Roman" w:hAnsi="Times New Roman" w:eastAsia="宋体" w:cs="Times New Roman"/>
                <w:b/>
                <w:bCs/>
                <w:kern w:val="0"/>
                <w:sz w:val="16"/>
                <w:szCs w:val="16"/>
                <w:lang w:val="en-US" w:eastAsia="zh-CN" w:bidi="ar"/>
              </w:rPr>
              <w:t>Item 1</w:t>
            </w:r>
          </w:p>
        </w:tc>
        <w:tc>
          <w:tcPr>
            <w:tcW w:w="590" w:type="dxa"/>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69A8EF36">
            <w:pPr>
              <w:keepNext w:val="0"/>
              <w:keepLines w:val="0"/>
              <w:widowControl/>
              <w:suppressLineNumbers w:val="0"/>
              <w:jc w:val="center"/>
              <w:rPr>
                <w:rFonts w:hint="default" w:ascii="Times New Roman" w:hAnsi="Times New Roman" w:eastAsia="宋体" w:cs="Times New Roman"/>
                <w:b w:val="0"/>
                <w:color w:val="000000"/>
                <w:sz w:val="16"/>
                <w:szCs w:val="16"/>
              </w:rPr>
            </w:pPr>
            <w:r>
              <w:rPr>
                <w:rFonts w:hint="default" w:ascii="Times New Roman" w:hAnsi="Times New Roman" w:eastAsia="宋体" w:cs="Times New Roman"/>
                <w:b/>
                <w:bCs/>
                <w:kern w:val="0"/>
                <w:sz w:val="16"/>
                <w:szCs w:val="16"/>
                <w:lang w:val="en-US" w:eastAsia="zh-CN" w:bidi="ar"/>
              </w:rPr>
              <w:t>Item 2*</w:t>
            </w:r>
          </w:p>
        </w:tc>
        <w:tc>
          <w:tcPr>
            <w:tcW w:w="590" w:type="dxa"/>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15BB203F">
            <w:pPr>
              <w:keepNext w:val="0"/>
              <w:keepLines w:val="0"/>
              <w:widowControl/>
              <w:suppressLineNumbers w:val="0"/>
              <w:jc w:val="center"/>
              <w:rPr>
                <w:rFonts w:hint="default" w:ascii="Times New Roman" w:hAnsi="Times New Roman" w:eastAsia="宋体" w:cs="Times New Roman"/>
                <w:b w:val="0"/>
                <w:color w:val="000000"/>
                <w:sz w:val="16"/>
                <w:szCs w:val="16"/>
              </w:rPr>
            </w:pPr>
            <w:r>
              <w:rPr>
                <w:rFonts w:hint="default" w:ascii="Times New Roman" w:hAnsi="Times New Roman" w:eastAsia="宋体" w:cs="Times New Roman"/>
                <w:b/>
                <w:bCs/>
                <w:kern w:val="0"/>
                <w:sz w:val="16"/>
                <w:szCs w:val="16"/>
                <w:lang w:val="en-US" w:eastAsia="zh-CN" w:bidi="ar"/>
              </w:rPr>
              <w:t>Item 3</w:t>
            </w:r>
          </w:p>
        </w:tc>
        <w:tc>
          <w:tcPr>
            <w:tcW w:w="590" w:type="dxa"/>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2BBC9491">
            <w:pPr>
              <w:keepNext w:val="0"/>
              <w:keepLines w:val="0"/>
              <w:widowControl/>
              <w:suppressLineNumbers w:val="0"/>
              <w:jc w:val="center"/>
              <w:rPr>
                <w:rFonts w:hint="default" w:ascii="Times New Roman" w:hAnsi="Times New Roman" w:eastAsia="宋体" w:cs="Times New Roman"/>
                <w:b w:val="0"/>
                <w:color w:val="000000"/>
                <w:sz w:val="16"/>
                <w:szCs w:val="16"/>
              </w:rPr>
            </w:pPr>
            <w:r>
              <w:rPr>
                <w:rFonts w:hint="default" w:ascii="Times New Roman" w:hAnsi="Times New Roman" w:eastAsia="宋体" w:cs="Times New Roman"/>
                <w:b/>
                <w:bCs/>
                <w:kern w:val="0"/>
                <w:sz w:val="16"/>
                <w:szCs w:val="16"/>
                <w:lang w:val="en-US" w:eastAsia="zh-CN" w:bidi="ar"/>
              </w:rPr>
              <w:t>Item 4*</w:t>
            </w:r>
          </w:p>
        </w:tc>
        <w:tc>
          <w:tcPr>
            <w:tcW w:w="590" w:type="dxa"/>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177F1FB7">
            <w:pPr>
              <w:keepNext w:val="0"/>
              <w:keepLines w:val="0"/>
              <w:widowControl/>
              <w:suppressLineNumbers w:val="0"/>
              <w:jc w:val="center"/>
              <w:rPr>
                <w:rFonts w:hint="default" w:ascii="Times New Roman" w:hAnsi="Times New Roman" w:eastAsia="宋体" w:cs="Times New Roman"/>
                <w:b w:val="0"/>
                <w:color w:val="000000"/>
                <w:sz w:val="16"/>
                <w:szCs w:val="16"/>
              </w:rPr>
            </w:pPr>
            <w:r>
              <w:rPr>
                <w:rFonts w:hint="default" w:ascii="Times New Roman" w:hAnsi="Times New Roman" w:eastAsia="宋体" w:cs="Times New Roman"/>
                <w:b/>
                <w:bCs/>
                <w:kern w:val="0"/>
                <w:sz w:val="16"/>
                <w:szCs w:val="16"/>
                <w:lang w:val="en-US" w:eastAsia="zh-CN" w:bidi="ar"/>
              </w:rPr>
              <w:t>Item 5</w:t>
            </w:r>
          </w:p>
        </w:tc>
        <w:tc>
          <w:tcPr>
            <w:tcW w:w="590" w:type="dxa"/>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7FC0EBA2">
            <w:pPr>
              <w:keepNext w:val="0"/>
              <w:keepLines w:val="0"/>
              <w:widowControl/>
              <w:suppressLineNumbers w:val="0"/>
              <w:jc w:val="center"/>
              <w:rPr>
                <w:rFonts w:hint="default" w:ascii="Times New Roman" w:hAnsi="Times New Roman" w:eastAsia="宋体" w:cs="Times New Roman"/>
                <w:b w:val="0"/>
                <w:color w:val="000000"/>
                <w:sz w:val="16"/>
                <w:szCs w:val="16"/>
              </w:rPr>
            </w:pPr>
            <w:r>
              <w:rPr>
                <w:rFonts w:hint="default" w:ascii="Times New Roman" w:hAnsi="Times New Roman" w:eastAsia="宋体" w:cs="Times New Roman"/>
                <w:b/>
                <w:bCs/>
                <w:kern w:val="0"/>
                <w:sz w:val="16"/>
                <w:szCs w:val="16"/>
                <w:lang w:val="en-US" w:eastAsia="zh-CN" w:bidi="ar"/>
              </w:rPr>
              <w:t>Item 6</w:t>
            </w:r>
          </w:p>
        </w:tc>
        <w:tc>
          <w:tcPr>
            <w:tcW w:w="590" w:type="dxa"/>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4AB8E94B">
            <w:pPr>
              <w:keepNext w:val="0"/>
              <w:keepLines w:val="0"/>
              <w:widowControl/>
              <w:suppressLineNumbers w:val="0"/>
              <w:jc w:val="center"/>
              <w:rPr>
                <w:rFonts w:hint="default" w:ascii="Times New Roman" w:hAnsi="Times New Roman" w:eastAsia="宋体" w:cs="Times New Roman"/>
                <w:b w:val="0"/>
                <w:color w:val="000000"/>
                <w:sz w:val="16"/>
                <w:szCs w:val="16"/>
              </w:rPr>
            </w:pPr>
            <w:r>
              <w:rPr>
                <w:rFonts w:hint="default" w:ascii="Times New Roman" w:hAnsi="Times New Roman" w:eastAsia="宋体" w:cs="Times New Roman"/>
                <w:b/>
                <w:bCs/>
                <w:kern w:val="0"/>
                <w:sz w:val="16"/>
                <w:szCs w:val="16"/>
                <w:lang w:val="en-US" w:eastAsia="zh-CN" w:bidi="ar"/>
              </w:rPr>
              <w:t>Item 7*</w:t>
            </w:r>
          </w:p>
        </w:tc>
        <w:tc>
          <w:tcPr>
            <w:tcW w:w="590" w:type="dxa"/>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7A3C6914">
            <w:pPr>
              <w:keepNext w:val="0"/>
              <w:keepLines w:val="0"/>
              <w:widowControl/>
              <w:suppressLineNumbers w:val="0"/>
              <w:jc w:val="center"/>
              <w:rPr>
                <w:rFonts w:hint="default" w:ascii="Times New Roman" w:hAnsi="Times New Roman" w:eastAsia="宋体" w:cs="Times New Roman"/>
                <w:b w:val="0"/>
                <w:color w:val="000000"/>
                <w:sz w:val="16"/>
                <w:szCs w:val="16"/>
              </w:rPr>
            </w:pPr>
            <w:r>
              <w:rPr>
                <w:rFonts w:hint="default" w:ascii="Times New Roman" w:hAnsi="Times New Roman" w:eastAsia="宋体" w:cs="Times New Roman"/>
                <w:b/>
                <w:bCs/>
                <w:kern w:val="0"/>
                <w:sz w:val="16"/>
                <w:szCs w:val="16"/>
                <w:lang w:val="en-US" w:eastAsia="zh-CN" w:bidi="ar"/>
              </w:rPr>
              <w:t>Item 8</w:t>
            </w:r>
          </w:p>
        </w:tc>
        <w:tc>
          <w:tcPr>
            <w:tcW w:w="590" w:type="dxa"/>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04B75D9C">
            <w:pPr>
              <w:keepNext w:val="0"/>
              <w:keepLines w:val="0"/>
              <w:widowControl/>
              <w:suppressLineNumbers w:val="0"/>
              <w:jc w:val="center"/>
              <w:rPr>
                <w:rFonts w:hint="default" w:ascii="Times New Roman" w:hAnsi="Times New Roman" w:eastAsia="宋体" w:cs="Times New Roman"/>
                <w:b w:val="0"/>
                <w:color w:val="000000"/>
                <w:sz w:val="16"/>
                <w:szCs w:val="16"/>
              </w:rPr>
            </w:pPr>
            <w:r>
              <w:rPr>
                <w:rFonts w:hint="default" w:ascii="Times New Roman" w:hAnsi="Times New Roman" w:eastAsia="宋体" w:cs="Times New Roman"/>
                <w:b/>
                <w:bCs/>
                <w:kern w:val="0"/>
                <w:sz w:val="16"/>
                <w:szCs w:val="16"/>
                <w:lang w:val="en-US" w:eastAsia="zh-CN" w:bidi="ar"/>
              </w:rPr>
              <w:t>Item 9*</w:t>
            </w:r>
          </w:p>
        </w:tc>
        <w:tc>
          <w:tcPr>
            <w:tcW w:w="590" w:type="dxa"/>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51126AD2">
            <w:pPr>
              <w:keepNext w:val="0"/>
              <w:keepLines w:val="0"/>
              <w:widowControl/>
              <w:suppressLineNumbers w:val="0"/>
              <w:jc w:val="center"/>
              <w:rPr>
                <w:rFonts w:hint="default" w:ascii="Times New Roman" w:hAnsi="Times New Roman" w:eastAsia="宋体" w:cs="Times New Roman"/>
                <w:b w:val="0"/>
                <w:color w:val="000000"/>
                <w:sz w:val="16"/>
                <w:szCs w:val="16"/>
              </w:rPr>
            </w:pPr>
            <w:r>
              <w:rPr>
                <w:rFonts w:hint="default" w:ascii="Times New Roman" w:hAnsi="Times New Roman" w:eastAsia="宋体" w:cs="Times New Roman"/>
                <w:b/>
                <w:bCs/>
                <w:kern w:val="0"/>
                <w:sz w:val="16"/>
                <w:szCs w:val="16"/>
                <w:lang w:val="en-US" w:eastAsia="zh-CN" w:bidi="ar"/>
              </w:rPr>
              <w:t>Item 10</w:t>
            </w:r>
          </w:p>
        </w:tc>
        <w:tc>
          <w:tcPr>
            <w:tcW w:w="590" w:type="dxa"/>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2522FFA8">
            <w:pPr>
              <w:keepNext w:val="0"/>
              <w:keepLines w:val="0"/>
              <w:widowControl/>
              <w:suppressLineNumbers w:val="0"/>
              <w:jc w:val="center"/>
              <w:rPr>
                <w:rFonts w:hint="default" w:ascii="Times New Roman" w:hAnsi="Times New Roman" w:eastAsia="宋体" w:cs="Times New Roman"/>
                <w:b w:val="0"/>
                <w:color w:val="000000"/>
                <w:sz w:val="16"/>
                <w:szCs w:val="16"/>
              </w:rPr>
            </w:pPr>
            <w:r>
              <w:rPr>
                <w:rFonts w:hint="default" w:ascii="Times New Roman" w:hAnsi="Times New Roman" w:eastAsia="宋体" w:cs="Times New Roman"/>
                <w:b/>
                <w:bCs/>
                <w:kern w:val="0"/>
                <w:sz w:val="16"/>
                <w:szCs w:val="16"/>
                <w:lang w:val="en-US" w:eastAsia="zh-CN" w:bidi="ar"/>
              </w:rPr>
              <w:t>Item 11*</w:t>
            </w:r>
          </w:p>
        </w:tc>
        <w:tc>
          <w:tcPr>
            <w:tcW w:w="590" w:type="dxa"/>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5B17891F">
            <w:pPr>
              <w:keepNext w:val="0"/>
              <w:keepLines w:val="0"/>
              <w:widowControl/>
              <w:suppressLineNumbers w:val="0"/>
              <w:jc w:val="center"/>
              <w:rPr>
                <w:rFonts w:hint="default" w:ascii="Times New Roman" w:hAnsi="Times New Roman" w:eastAsia="宋体" w:cs="Times New Roman"/>
                <w:b w:val="0"/>
                <w:color w:val="000000"/>
                <w:sz w:val="16"/>
                <w:szCs w:val="16"/>
              </w:rPr>
            </w:pPr>
            <w:r>
              <w:rPr>
                <w:rFonts w:hint="default" w:ascii="Times New Roman" w:hAnsi="Times New Roman" w:eastAsia="宋体" w:cs="Times New Roman"/>
                <w:b/>
                <w:bCs/>
                <w:kern w:val="0"/>
                <w:sz w:val="16"/>
                <w:szCs w:val="16"/>
                <w:lang w:val="en-US" w:eastAsia="zh-CN" w:bidi="ar"/>
              </w:rPr>
              <w:t>Item 12</w:t>
            </w:r>
          </w:p>
        </w:tc>
        <w:tc>
          <w:tcPr>
            <w:tcW w:w="590" w:type="dxa"/>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5882D405">
            <w:pPr>
              <w:keepNext w:val="0"/>
              <w:keepLines w:val="0"/>
              <w:widowControl/>
              <w:suppressLineNumbers w:val="0"/>
              <w:jc w:val="center"/>
              <w:rPr>
                <w:rFonts w:hint="default" w:ascii="Times New Roman" w:hAnsi="Times New Roman" w:eastAsia="宋体" w:cs="Times New Roman"/>
                <w:b w:val="0"/>
                <w:color w:val="000000"/>
                <w:sz w:val="16"/>
                <w:szCs w:val="16"/>
              </w:rPr>
            </w:pPr>
            <w:r>
              <w:rPr>
                <w:rFonts w:hint="default" w:ascii="Times New Roman" w:hAnsi="Times New Roman" w:eastAsia="宋体" w:cs="Times New Roman"/>
                <w:b/>
                <w:bCs/>
                <w:kern w:val="0"/>
                <w:sz w:val="16"/>
                <w:szCs w:val="16"/>
                <w:lang w:val="en-US" w:eastAsia="zh-CN" w:bidi="ar"/>
              </w:rPr>
              <w:t>Item 13*</w:t>
            </w:r>
          </w:p>
        </w:tc>
        <w:tc>
          <w:tcPr>
            <w:tcW w:w="590" w:type="dxa"/>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27286348">
            <w:pPr>
              <w:keepNext w:val="0"/>
              <w:keepLines w:val="0"/>
              <w:widowControl/>
              <w:suppressLineNumbers w:val="0"/>
              <w:jc w:val="center"/>
              <w:rPr>
                <w:rFonts w:hint="default" w:ascii="Times New Roman" w:hAnsi="Times New Roman" w:eastAsia="宋体" w:cs="Times New Roman"/>
                <w:b w:val="0"/>
                <w:color w:val="000000"/>
                <w:sz w:val="16"/>
                <w:szCs w:val="16"/>
              </w:rPr>
            </w:pPr>
            <w:r>
              <w:rPr>
                <w:rFonts w:hint="default" w:ascii="Times New Roman" w:hAnsi="Times New Roman" w:eastAsia="宋体" w:cs="Times New Roman"/>
                <w:b/>
                <w:bCs/>
                <w:kern w:val="0"/>
                <w:sz w:val="16"/>
                <w:szCs w:val="16"/>
                <w:lang w:val="en-US" w:eastAsia="zh-CN" w:bidi="ar"/>
              </w:rPr>
              <w:t>Item 14</w:t>
            </w:r>
          </w:p>
        </w:tc>
        <w:tc>
          <w:tcPr>
            <w:tcW w:w="590" w:type="dxa"/>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21A50EC6">
            <w:pPr>
              <w:keepNext w:val="0"/>
              <w:keepLines w:val="0"/>
              <w:widowControl/>
              <w:suppressLineNumbers w:val="0"/>
              <w:jc w:val="center"/>
              <w:rPr>
                <w:rFonts w:hint="default" w:ascii="Times New Roman" w:hAnsi="Times New Roman" w:eastAsia="宋体" w:cs="Times New Roman"/>
                <w:b w:val="0"/>
                <w:color w:val="000000"/>
                <w:sz w:val="16"/>
                <w:szCs w:val="16"/>
              </w:rPr>
            </w:pPr>
            <w:r>
              <w:rPr>
                <w:rFonts w:hint="default" w:ascii="Times New Roman" w:hAnsi="Times New Roman" w:eastAsia="宋体" w:cs="Times New Roman"/>
                <w:b/>
                <w:bCs/>
                <w:kern w:val="0"/>
                <w:sz w:val="16"/>
                <w:szCs w:val="16"/>
                <w:lang w:val="en-US" w:eastAsia="zh-CN" w:bidi="ar"/>
              </w:rPr>
              <w:t>Item 15*</w:t>
            </w:r>
          </w:p>
        </w:tc>
        <w:tc>
          <w:tcPr>
            <w:tcW w:w="590" w:type="dxa"/>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0A82609A">
            <w:pPr>
              <w:keepNext w:val="0"/>
              <w:keepLines w:val="0"/>
              <w:widowControl/>
              <w:suppressLineNumbers w:val="0"/>
              <w:jc w:val="center"/>
              <w:rPr>
                <w:rFonts w:hint="default" w:ascii="Times New Roman" w:hAnsi="Times New Roman" w:eastAsia="宋体" w:cs="Times New Roman"/>
                <w:b w:val="0"/>
                <w:color w:val="000000"/>
                <w:sz w:val="16"/>
                <w:szCs w:val="16"/>
              </w:rPr>
            </w:pPr>
            <w:r>
              <w:rPr>
                <w:rFonts w:hint="default" w:ascii="Times New Roman" w:hAnsi="Times New Roman" w:eastAsia="宋体" w:cs="Times New Roman"/>
                <w:b/>
                <w:bCs/>
                <w:kern w:val="0"/>
                <w:sz w:val="16"/>
                <w:szCs w:val="16"/>
                <w:lang w:val="en-US" w:eastAsia="zh-CN" w:bidi="ar"/>
              </w:rPr>
              <w:t>Item 16</w:t>
            </w:r>
          </w:p>
        </w:tc>
        <w:tc>
          <w:tcPr>
            <w:tcW w:w="1417" w:type="dxa"/>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507BCE62">
            <w:pPr>
              <w:keepNext w:val="0"/>
              <w:keepLines w:val="0"/>
              <w:widowControl/>
              <w:suppressLineNumbers w:val="0"/>
              <w:jc w:val="center"/>
              <w:rPr>
                <w:rFonts w:hint="default" w:ascii="Times New Roman" w:hAnsi="Times New Roman" w:eastAsia="宋体" w:cs="Times New Roman"/>
                <w:b w:val="0"/>
                <w:color w:val="000000"/>
                <w:sz w:val="16"/>
                <w:szCs w:val="16"/>
              </w:rPr>
            </w:pPr>
            <w:r>
              <w:rPr>
                <w:rFonts w:hint="default" w:ascii="Times New Roman" w:hAnsi="Times New Roman" w:eastAsia="宋体" w:cs="Times New Roman"/>
                <w:b/>
                <w:bCs/>
                <w:kern w:val="0"/>
                <w:sz w:val="16"/>
                <w:szCs w:val="16"/>
                <w:lang w:val="en-US" w:eastAsia="zh-CN" w:bidi="ar"/>
              </w:rPr>
              <w:t>Overall confidence</w:t>
            </w:r>
          </w:p>
        </w:tc>
      </w:tr>
      <w:tr w14:paraId="17B3F0BD">
        <w:tblPrEx>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CellMar>
            <w:top w:w="0" w:type="dxa"/>
            <w:left w:w="108" w:type="dxa"/>
            <w:bottom w:w="0" w:type="dxa"/>
            <w:right w:w="108" w:type="dxa"/>
          </w:tblCellMar>
        </w:tblPrEx>
        <w:trPr>
          <w:cantSplit/>
          <w:trHeight w:val="365" w:hRule="atLeast"/>
          <w:jc w:val="center"/>
        </w:trPr>
        <w:tc>
          <w:tcPr>
            <w:tcW w:w="2174" w:type="dxa"/>
            <w:tcBorders>
              <w:top w:val="nil"/>
              <w:left w:val="nil"/>
              <w:bottom w:val="nil"/>
              <w:right w:val="nil"/>
              <w:insideH w:val="nil"/>
              <w:insideV w:val="nil"/>
            </w:tcBorders>
            <w:tcMar>
              <w:top w:w="45" w:type="dxa"/>
              <w:left w:w="45" w:type="dxa"/>
              <w:bottom w:w="45" w:type="dxa"/>
              <w:right w:w="45" w:type="dxa"/>
            </w:tcMar>
            <w:vAlign w:val="center"/>
          </w:tcPr>
          <w:p w14:paraId="381AD023">
            <w:pPr>
              <w:keepNext w:val="0"/>
              <w:keepLines w:val="0"/>
              <w:widowControl/>
              <w:suppressLineNumbers w:val="0"/>
              <w:jc w:val="left"/>
              <w:rPr>
                <w:rFonts w:hint="default" w:ascii="Times New Roman" w:hAnsi="Times New Roman" w:eastAsia="宋体" w:cs="Times New Roman"/>
                <w:b w:val="0"/>
                <w:color w:val="000000"/>
                <w:sz w:val="16"/>
                <w:szCs w:val="16"/>
              </w:rPr>
            </w:pPr>
            <w:r>
              <w:rPr>
                <w:rFonts w:hint="default" w:ascii="Times New Roman" w:hAnsi="Times New Roman" w:eastAsia="宋体" w:cs="Times New Roman"/>
                <w:kern w:val="0"/>
                <w:sz w:val="16"/>
                <w:szCs w:val="16"/>
                <w:lang w:val="en-US" w:eastAsia="zh-CN" w:bidi="ar"/>
              </w:rPr>
              <w:t>Magwood et al. (2024)</w:t>
            </w:r>
          </w:p>
        </w:tc>
        <w:tc>
          <w:tcPr>
            <w:tcW w:w="589" w:type="dxa"/>
            <w:tcBorders>
              <w:top w:val="nil"/>
              <w:left w:val="nil"/>
              <w:bottom w:val="nil"/>
              <w:right w:val="nil"/>
              <w:insideH w:val="nil"/>
              <w:insideV w:val="nil"/>
            </w:tcBorders>
            <w:tcMar>
              <w:top w:w="45" w:type="dxa"/>
              <w:left w:w="45" w:type="dxa"/>
              <w:bottom w:w="45" w:type="dxa"/>
              <w:right w:w="45" w:type="dxa"/>
            </w:tcMar>
            <w:vAlign w:val="center"/>
          </w:tcPr>
          <w:p w14:paraId="7B309A2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597711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CE8430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9D21B5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5BF2A1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B01D67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B794D9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6CCB04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078A39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F11EBD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F2574B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E5AFC4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76B084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E230C2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655B04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C6EC38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1417" w:type="dxa"/>
            <w:tcBorders>
              <w:top w:val="nil"/>
              <w:left w:val="nil"/>
              <w:bottom w:val="nil"/>
              <w:right w:val="nil"/>
              <w:insideH w:val="nil"/>
              <w:insideV w:val="nil"/>
            </w:tcBorders>
            <w:tcMar>
              <w:top w:w="45" w:type="dxa"/>
              <w:left w:w="45" w:type="dxa"/>
              <w:bottom w:w="45" w:type="dxa"/>
              <w:right w:w="45" w:type="dxa"/>
            </w:tcMar>
            <w:vAlign w:val="center"/>
          </w:tcPr>
          <w:p w14:paraId="79F72D9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Low</w:t>
            </w:r>
          </w:p>
        </w:tc>
      </w:tr>
      <w:tr w14:paraId="1AE36E81">
        <w:tblPrEx>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CellMar>
            <w:top w:w="0" w:type="dxa"/>
            <w:left w:w="108" w:type="dxa"/>
            <w:bottom w:w="0" w:type="dxa"/>
            <w:right w:w="108" w:type="dxa"/>
          </w:tblCellMar>
        </w:tblPrEx>
        <w:trPr>
          <w:cantSplit/>
          <w:trHeight w:val="365" w:hRule="atLeast"/>
          <w:jc w:val="center"/>
        </w:trPr>
        <w:tc>
          <w:tcPr>
            <w:tcW w:w="2174" w:type="dxa"/>
            <w:tcBorders>
              <w:top w:val="nil"/>
              <w:left w:val="nil"/>
              <w:bottom w:val="nil"/>
              <w:right w:val="nil"/>
              <w:insideH w:val="nil"/>
              <w:insideV w:val="nil"/>
            </w:tcBorders>
            <w:tcMar>
              <w:top w:w="45" w:type="dxa"/>
              <w:left w:w="45" w:type="dxa"/>
              <w:bottom w:w="45" w:type="dxa"/>
              <w:right w:w="45" w:type="dxa"/>
            </w:tcMar>
            <w:vAlign w:val="center"/>
          </w:tcPr>
          <w:p w14:paraId="049BF90D">
            <w:pPr>
              <w:keepNext w:val="0"/>
              <w:keepLines w:val="0"/>
              <w:widowControl/>
              <w:suppressLineNumbers w:val="0"/>
              <w:jc w:val="left"/>
              <w:rPr>
                <w:rFonts w:hint="default" w:ascii="Times New Roman" w:hAnsi="Times New Roman" w:eastAsia="宋体" w:cs="Times New Roman"/>
                <w:b w:val="0"/>
                <w:color w:val="000000"/>
                <w:sz w:val="16"/>
                <w:szCs w:val="16"/>
              </w:rPr>
            </w:pPr>
            <w:r>
              <w:rPr>
                <w:rFonts w:hint="default" w:ascii="Times New Roman" w:hAnsi="Times New Roman" w:eastAsia="宋体" w:cs="Times New Roman"/>
                <w:kern w:val="0"/>
                <w:sz w:val="16"/>
                <w:szCs w:val="16"/>
                <w:lang w:val="en-US" w:eastAsia="zh-CN" w:bidi="ar"/>
              </w:rPr>
              <w:t>Noh et al. (2023)</w:t>
            </w:r>
          </w:p>
        </w:tc>
        <w:tc>
          <w:tcPr>
            <w:tcW w:w="589" w:type="dxa"/>
            <w:tcBorders>
              <w:top w:val="nil"/>
              <w:left w:val="nil"/>
              <w:bottom w:val="nil"/>
              <w:right w:val="nil"/>
              <w:insideH w:val="nil"/>
              <w:insideV w:val="nil"/>
            </w:tcBorders>
            <w:tcMar>
              <w:top w:w="45" w:type="dxa"/>
              <w:left w:w="45" w:type="dxa"/>
              <w:bottom w:w="45" w:type="dxa"/>
              <w:right w:w="45" w:type="dxa"/>
            </w:tcMar>
            <w:vAlign w:val="center"/>
          </w:tcPr>
          <w:p w14:paraId="57917A9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1D678C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6FB7EE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4C1C26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883B94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7516EE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3E8880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BA37B3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1FC839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C35B5C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EC815A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8017BF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9D4875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6CEBA8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E4D220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DD26B9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1417" w:type="dxa"/>
            <w:tcBorders>
              <w:top w:val="nil"/>
              <w:left w:val="nil"/>
              <w:bottom w:val="nil"/>
              <w:right w:val="nil"/>
              <w:insideH w:val="nil"/>
              <w:insideV w:val="nil"/>
            </w:tcBorders>
            <w:tcMar>
              <w:top w:w="45" w:type="dxa"/>
              <w:left w:w="45" w:type="dxa"/>
              <w:bottom w:w="45" w:type="dxa"/>
              <w:right w:w="45" w:type="dxa"/>
            </w:tcMar>
            <w:vAlign w:val="center"/>
          </w:tcPr>
          <w:p w14:paraId="734EC61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Critically low</w:t>
            </w:r>
          </w:p>
        </w:tc>
      </w:tr>
      <w:tr w14:paraId="7B1081F5">
        <w:tblPrEx>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CellMar>
            <w:top w:w="0" w:type="dxa"/>
            <w:left w:w="108" w:type="dxa"/>
            <w:bottom w:w="0" w:type="dxa"/>
            <w:right w:w="108" w:type="dxa"/>
          </w:tblCellMar>
        </w:tblPrEx>
        <w:trPr>
          <w:cantSplit/>
          <w:trHeight w:val="365" w:hRule="atLeast"/>
          <w:jc w:val="center"/>
        </w:trPr>
        <w:tc>
          <w:tcPr>
            <w:tcW w:w="2174" w:type="dxa"/>
            <w:tcBorders>
              <w:top w:val="nil"/>
              <w:left w:val="nil"/>
              <w:bottom w:val="nil"/>
              <w:right w:val="nil"/>
              <w:insideH w:val="nil"/>
              <w:insideV w:val="nil"/>
            </w:tcBorders>
            <w:tcMar>
              <w:top w:w="45" w:type="dxa"/>
              <w:left w:w="45" w:type="dxa"/>
              <w:bottom w:w="45" w:type="dxa"/>
              <w:right w:w="45" w:type="dxa"/>
            </w:tcMar>
            <w:vAlign w:val="center"/>
          </w:tcPr>
          <w:p w14:paraId="2180B58A">
            <w:pPr>
              <w:keepNext w:val="0"/>
              <w:keepLines w:val="0"/>
              <w:widowControl/>
              <w:suppressLineNumbers w:val="0"/>
              <w:jc w:val="left"/>
              <w:rPr>
                <w:rFonts w:hint="default" w:ascii="Times New Roman" w:hAnsi="Times New Roman" w:eastAsia="宋体" w:cs="Times New Roman"/>
                <w:b w:val="0"/>
                <w:color w:val="000000"/>
                <w:sz w:val="16"/>
                <w:szCs w:val="16"/>
              </w:rPr>
            </w:pPr>
            <w:r>
              <w:rPr>
                <w:rFonts w:hint="default" w:ascii="Times New Roman" w:hAnsi="Times New Roman" w:eastAsia="宋体" w:cs="Times New Roman"/>
                <w:kern w:val="0"/>
                <w:sz w:val="16"/>
                <w:szCs w:val="16"/>
                <w:lang w:val="en-US" w:eastAsia="zh-CN" w:bidi="ar"/>
              </w:rPr>
              <w:t>Wu et al. (2023)</w:t>
            </w:r>
          </w:p>
        </w:tc>
        <w:tc>
          <w:tcPr>
            <w:tcW w:w="589" w:type="dxa"/>
            <w:tcBorders>
              <w:top w:val="nil"/>
              <w:left w:val="nil"/>
              <w:bottom w:val="nil"/>
              <w:right w:val="nil"/>
              <w:insideH w:val="nil"/>
              <w:insideV w:val="nil"/>
            </w:tcBorders>
            <w:tcMar>
              <w:top w:w="45" w:type="dxa"/>
              <w:left w:w="45" w:type="dxa"/>
              <w:bottom w:w="45" w:type="dxa"/>
              <w:right w:w="45" w:type="dxa"/>
            </w:tcMar>
            <w:vAlign w:val="center"/>
          </w:tcPr>
          <w:p w14:paraId="1193DAD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53E26C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96B369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DDDE31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FADCEA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D17A7C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D59E3D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1572F1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2496BA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4A65AC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7F795A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097886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43FCDE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A8EFF6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CC2EDA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960AC9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1417" w:type="dxa"/>
            <w:tcBorders>
              <w:top w:val="nil"/>
              <w:left w:val="nil"/>
              <w:bottom w:val="nil"/>
              <w:right w:val="nil"/>
              <w:insideH w:val="nil"/>
              <w:insideV w:val="nil"/>
            </w:tcBorders>
            <w:tcMar>
              <w:top w:w="45" w:type="dxa"/>
              <w:left w:w="45" w:type="dxa"/>
              <w:bottom w:w="45" w:type="dxa"/>
              <w:right w:w="45" w:type="dxa"/>
            </w:tcMar>
            <w:vAlign w:val="center"/>
          </w:tcPr>
          <w:p w14:paraId="7B45B4B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Low</w:t>
            </w:r>
          </w:p>
        </w:tc>
      </w:tr>
      <w:tr w14:paraId="67BA3ECC">
        <w:tblPrEx>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CellMar>
            <w:top w:w="0" w:type="dxa"/>
            <w:left w:w="108" w:type="dxa"/>
            <w:bottom w:w="0" w:type="dxa"/>
            <w:right w:w="108" w:type="dxa"/>
          </w:tblCellMar>
        </w:tblPrEx>
        <w:trPr>
          <w:cantSplit/>
          <w:trHeight w:val="365" w:hRule="atLeast"/>
          <w:jc w:val="center"/>
        </w:trPr>
        <w:tc>
          <w:tcPr>
            <w:tcW w:w="2174" w:type="dxa"/>
            <w:tcBorders>
              <w:top w:val="nil"/>
              <w:left w:val="nil"/>
              <w:bottom w:val="nil"/>
              <w:right w:val="nil"/>
              <w:insideH w:val="nil"/>
              <w:insideV w:val="nil"/>
            </w:tcBorders>
            <w:tcMar>
              <w:top w:w="45" w:type="dxa"/>
              <w:left w:w="45" w:type="dxa"/>
              <w:bottom w:w="45" w:type="dxa"/>
              <w:right w:w="45" w:type="dxa"/>
            </w:tcMar>
            <w:vAlign w:val="center"/>
          </w:tcPr>
          <w:p w14:paraId="120CB924">
            <w:pPr>
              <w:keepNext w:val="0"/>
              <w:keepLines w:val="0"/>
              <w:widowControl/>
              <w:suppressLineNumbers w:val="0"/>
              <w:jc w:val="left"/>
              <w:rPr>
                <w:rFonts w:hint="default" w:ascii="Times New Roman" w:hAnsi="Times New Roman" w:eastAsia="宋体" w:cs="Times New Roman"/>
                <w:b w:val="0"/>
                <w:color w:val="000000"/>
                <w:sz w:val="16"/>
                <w:szCs w:val="16"/>
              </w:rPr>
            </w:pPr>
            <w:r>
              <w:rPr>
                <w:rFonts w:hint="default" w:ascii="Times New Roman" w:hAnsi="Times New Roman" w:eastAsia="宋体" w:cs="Times New Roman"/>
                <w:kern w:val="0"/>
                <w:sz w:val="16"/>
                <w:szCs w:val="16"/>
                <w:lang w:val="en-US" w:eastAsia="zh-CN" w:bidi="ar"/>
              </w:rPr>
              <w:t>Thabrew et al. (2018)</w:t>
            </w:r>
          </w:p>
        </w:tc>
        <w:tc>
          <w:tcPr>
            <w:tcW w:w="589" w:type="dxa"/>
            <w:tcBorders>
              <w:top w:val="nil"/>
              <w:left w:val="nil"/>
              <w:bottom w:val="nil"/>
              <w:right w:val="nil"/>
              <w:insideH w:val="nil"/>
              <w:insideV w:val="nil"/>
            </w:tcBorders>
            <w:tcMar>
              <w:top w:w="45" w:type="dxa"/>
              <w:left w:w="45" w:type="dxa"/>
              <w:bottom w:w="45" w:type="dxa"/>
              <w:right w:w="45" w:type="dxa"/>
            </w:tcMar>
            <w:vAlign w:val="center"/>
          </w:tcPr>
          <w:p w14:paraId="5362AE2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B70519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4851C6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B1FBFE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6AA4A4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66A65F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97B7BD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AB88FC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734C66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176930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EA4F40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E2F19F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9E0153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62B381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6E0EF3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C359F8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1417" w:type="dxa"/>
            <w:tcBorders>
              <w:top w:val="nil"/>
              <w:left w:val="nil"/>
              <w:bottom w:val="nil"/>
              <w:right w:val="nil"/>
              <w:insideH w:val="nil"/>
              <w:insideV w:val="nil"/>
            </w:tcBorders>
            <w:tcMar>
              <w:top w:w="45" w:type="dxa"/>
              <w:left w:w="45" w:type="dxa"/>
              <w:bottom w:w="45" w:type="dxa"/>
              <w:right w:w="45" w:type="dxa"/>
            </w:tcMar>
            <w:vAlign w:val="center"/>
          </w:tcPr>
          <w:p w14:paraId="36DDEA8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Moderate</w:t>
            </w:r>
          </w:p>
        </w:tc>
      </w:tr>
      <w:tr w14:paraId="42D786CB">
        <w:tblPrEx>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CellMar>
            <w:top w:w="0" w:type="dxa"/>
            <w:left w:w="108" w:type="dxa"/>
            <w:bottom w:w="0" w:type="dxa"/>
            <w:right w:w="108" w:type="dxa"/>
          </w:tblCellMar>
        </w:tblPrEx>
        <w:trPr>
          <w:cantSplit/>
          <w:trHeight w:val="365" w:hRule="atLeast"/>
          <w:jc w:val="center"/>
        </w:trPr>
        <w:tc>
          <w:tcPr>
            <w:tcW w:w="2174" w:type="dxa"/>
            <w:tcBorders>
              <w:top w:val="nil"/>
              <w:left w:val="nil"/>
              <w:bottom w:val="nil"/>
              <w:right w:val="nil"/>
              <w:insideH w:val="nil"/>
              <w:insideV w:val="nil"/>
            </w:tcBorders>
            <w:tcMar>
              <w:top w:w="45" w:type="dxa"/>
              <w:left w:w="45" w:type="dxa"/>
              <w:bottom w:w="45" w:type="dxa"/>
              <w:right w:w="45" w:type="dxa"/>
            </w:tcMar>
            <w:vAlign w:val="center"/>
          </w:tcPr>
          <w:p w14:paraId="369ACBE7">
            <w:pPr>
              <w:keepNext w:val="0"/>
              <w:keepLines w:val="0"/>
              <w:widowControl/>
              <w:suppressLineNumbers w:val="0"/>
              <w:jc w:val="left"/>
              <w:rPr>
                <w:rFonts w:hint="default" w:ascii="Times New Roman" w:hAnsi="Times New Roman" w:eastAsia="宋体" w:cs="Times New Roman"/>
                <w:b w:val="0"/>
                <w:color w:val="000000"/>
                <w:sz w:val="16"/>
                <w:szCs w:val="16"/>
              </w:rPr>
            </w:pPr>
            <w:r>
              <w:rPr>
                <w:rFonts w:hint="default" w:ascii="Times New Roman" w:hAnsi="Times New Roman" w:eastAsia="宋体" w:cs="Times New Roman"/>
                <w:kern w:val="0"/>
                <w:sz w:val="16"/>
                <w:szCs w:val="16"/>
                <w:lang w:val="en-US" w:eastAsia="zh-CN" w:bidi="ar"/>
              </w:rPr>
              <w:t>Wang et al. (2023)</w:t>
            </w:r>
          </w:p>
        </w:tc>
        <w:tc>
          <w:tcPr>
            <w:tcW w:w="589" w:type="dxa"/>
            <w:tcBorders>
              <w:top w:val="nil"/>
              <w:left w:val="nil"/>
              <w:bottom w:val="nil"/>
              <w:right w:val="nil"/>
              <w:insideH w:val="nil"/>
              <w:insideV w:val="nil"/>
            </w:tcBorders>
            <w:tcMar>
              <w:top w:w="45" w:type="dxa"/>
              <w:left w:w="45" w:type="dxa"/>
              <w:bottom w:w="45" w:type="dxa"/>
              <w:right w:w="45" w:type="dxa"/>
            </w:tcMar>
            <w:vAlign w:val="center"/>
          </w:tcPr>
          <w:p w14:paraId="7D88FC5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03A309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588117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730ED4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803D5C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48092D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EA9F58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708B5F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E9B20C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9AC374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33B79D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BCFFCB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8C74B4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A13062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0A1145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5E2356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1417" w:type="dxa"/>
            <w:tcBorders>
              <w:top w:val="nil"/>
              <w:left w:val="nil"/>
              <w:bottom w:val="nil"/>
              <w:right w:val="nil"/>
              <w:insideH w:val="nil"/>
              <w:insideV w:val="nil"/>
            </w:tcBorders>
            <w:tcMar>
              <w:top w:w="45" w:type="dxa"/>
              <w:left w:w="45" w:type="dxa"/>
              <w:bottom w:w="45" w:type="dxa"/>
              <w:right w:w="45" w:type="dxa"/>
            </w:tcMar>
            <w:vAlign w:val="center"/>
          </w:tcPr>
          <w:p w14:paraId="70AFC71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Critically low</w:t>
            </w:r>
          </w:p>
        </w:tc>
      </w:tr>
      <w:tr w14:paraId="6F222638">
        <w:tblPrEx>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CellMar>
            <w:top w:w="0" w:type="dxa"/>
            <w:left w:w="108" w:type="dxa"/>
            <w:bottom w:w="0" w:type="dxa"/>
            <w:right w:w="108" w:type="dxa"/>
          </w:tblCellMar>
        </w:tblPrEx>
        <w:trPr>
          <w:cantSplit/>
          <w:trHeight w:val="365" w:hRule="atLeast"/>
          <w:jc w:val="center"/>
        </w:trPr>
        <w:tc>
          <w:tcPr>
            <w:tcW w:w="2174" w:type="dxa"/>
            <w:tcBorders>
              <w:top w:val="nil"/>
              <w:left w:val="nil"/>
              <w:bottom w:val="nil"/>
              <w:right w:val="nil"/>
              <w:insideH w:val="nil"/>
              <w:insideV w:val="nil"/>
            </w:tcBorders>
            <w:tcMar>
              <w:top w:w="45" w:type="dxa"/>
              <w:left w:w="45" w:type="dxa"/>
              <w:bottom w:w="45" w:type="dxa"/>
              <w:right w:w="45" w:type="dxa"/>
            </w:tcMar>
            <w:vAlign w:val="center"/>
          </w:tcPr>
          <w:p w14:paraId="16D1C3C1">
            <w:pPr>
              <w:keepNext w:val="0"/>
              <w:keepLines w:val="0"/>
              <w:widowControl/>
              <w:suppressLineNumbers w:val="0"/>
              <w:jc w:val="left"/>
              <w:rPr>
                <w:rFonts w:hint="default" w:ascii="Times New Roman" w:hAnsi="Times New Roman" w:eastAsia="宋体" w:cs="Times New Roman"/>
                <w:b w:val="0"/>
                <w:color w:val="000000"/>
                <w:sz w:val="16"/>
                <w:szCs w:val="16"/>
              </w:rPr>
            </w:pPr>
            <w:r>
              <w:rPr>
                <w:rFonts w:hint="default" w:ascii="Times New Roman" w:hAnsi="Times New Roman" w:eastAsia="宋体" w:cs="Times New Roman"/>
                <w:kern w:val="0"/>
                <w:sz w:val="16"/>
                <w:szCs w:val="16"/>
                <w:lang w:val="en-US" w:eastAsia="zh-CN" w:bidi="ar"/>
              </w:rPr>
              <w:t>Wang et al. (2026)</w:t>
            </w:r>
          </w:p>
        </w:tc>
        <w:tc>
          <w:tcPr>
            <w:tcW w:w="589" w:type="dxa"/>
            <w:tcBorders>
              <w:top w:val="nil"/>
              <w:left w:val="nil"/>
              <w:bottom w:val="nil"/>
              <w:right w:val="nil"/>
              <w:insideH w:val="nil"/>
              <w:insideV w:val="nil"/>
            </w:tcBorders>
            <w:tcMar>
              <w:top w:w="45" w:type="dxa"/>
              <w:left w:w="45" w:type="dxa"/>
              <w:bottom w:w="45" w:type="dxa"/>
              <w:right w:w="45" w:type="dxa"/>
            </w:tcMar>
            <w:vAlign w:val="center"/>
          </w:tcPr>
          <w:p w14:paraId="4FB4EA1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1D5A2B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319A13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0DCED0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029C83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D05711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F2AB07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2F447D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343C6E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AB2F3C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AE7228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6C82C3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CA49DC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12E660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E610CD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376D6E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1417" w:type="dxa"/>
            <w:tcBorders>
              <w:top w:val="nil"/>
              <w:left w:val="nil"/>
              <w:bottom w:val="nil"/>
              <w:right w:val="nil"/>
              <w:insideH w:val="nil"/>
              <w:insideV w:val="nil"/>
            </w:tcBorders>
            <w:tcMar>
              <w:top w:w="45" w:type="dxa"/>
              <w:left w:w="45" w:type="dxa"/>
              <w:bottom w:w="45" w:type="dxa"/>
              <w:right w:w="45" w:type="dxa"/>
            </w:tcMar>
            <w:vAlign w:val="center"/>
          </w:tcPr>
          <w:p w14:paraId="10CCAAC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Critically low</w:t>
            </w:r>
          </w:p>
        </w:tc>
      </w:tr>
      <w:tr w14:paraId="2764E261">
        <w:tblPrEx>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CellMar>
            <w:top w:w="0" w:type="dxa"/>
            <w:left w:w="108" w:type="dxa"/>
            <w:bottom w:w="0" w:type="dxa"/>
            <w:right w:w="108" w:type="dxa"/>
          </w:tblCellMar>
        </w:tblPrEx>
        <w:trPr>
          <w:cantSplit/>
          <w:trHeight w:val="365" w:hRule="atLeast"/>
          <w:jc w:val="center"/>
        </w:trPr>
        <w:tc>
          <w:tcPr>
            <w:tcW w:w="2174" w:type="dxa"/>
            <w:tcBorders>
              <w:top w:val="nil"/>
              <w:left w:val="nil"/>
              <w:bottom w:val="nil"/>
              <w:right w:val="nil"/>
              <w:insideH w:val="nil"/>
              <w:insideV w:val="nil"/>
            </w:tcBorders>
            <w:tcMar>
              <w:top w:w="45" w:type="dxa"/>
              <w:left w:w="45" w:type="dxa"/>
              <w:bottom w:w="45" w:type="dxa"/>
              <w:right w:w="45" w:type="dxa"/>
            </w:tcMar>
            <w:vAlign w:val="center"/>
          </w:tcPr>
          <w:p w14:paraId="72CAB1EE">
            <w:pPr>
              <w:keepNext w:val="0"/>
              <w:keepLines w:val="0"/>
              <w:widowControl/>
              <w:suppressLineNumbers w:val="0"/>
              <w:jc w:val="left"/>
              <w:rPr>
                <w:rFonts w:hint="default" w:ascii="Times New Roman" w:hAnsi="Times New Roman" w:eastAsia="宋体" w:cs="Times New Roman"/>
                <w:b w:val="0"/>
                <w:color w:val="000000"/>
                <w:sz w:val="16"/>
                <w:szCs w:val="16"/>
              </w:rPr>
            </w:pPr>
            <w:r>
              <w:rPr>
                <w:rFonts w:hint="default" w:ascii="Times New Roman" w:hAnsi="Times New Roman" w:eastAsia="宋体" w:cs="Times New Roman"/>
                <w:kern w:val="0"/>
                <w:sz w:val="16"/>
                <w:szCs w:val="16"/>
                <w:lang w:val="en-US" w:eastAsia="zh-CN" w:bidi="ar"/>
              </w:rPr>
              <w:t>Pennant et al. (2015)</w:t>
            </w:r>
          </w:p>
        </w:tc>
        <w:tc>
          <w:tcPr>
            <w:tcW w:w="589" w:type="dxa"/>
            <w:tcBorders>
              <w:top w:val="nil"/>
              <w:left w:val="nil"/>
              <w:bottom w:val="nil"/>
              <w:right w:val="nil"/>
              <w:insideH w:val="nil"/>
              <w:insideV w:val="nil"/>
            </w:tcBorders>
            <w:tcMar>
              <w:top w:w="45" w:type="dxa"/>
              <w:left w:w="45" w:type="dxa"/>
              <w:bottom w:w="45" w:type="dxa"/>
              <w:right w:w="45" w:type="dxa"/>
            </w:tcMar>
            <w:vAlign w:val="center"/>
          </w:tcPr>
          <w:p w14:paraId="12F444E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BCD10F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9C1791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8F0258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8F7DB6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C099C1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2A993E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14F2FE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5C06BC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62BC36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FDFEDB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EE01AE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259C29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8FDEDB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604D65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00B0EF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1417" w:type="dxa"/>
            <w:tcBorders>
              <w:top w:val="nil"/>
              <w:left w:val="nil"/>
              <w:bottom w:val="nil"/>
              <w:right w:val="nil"/>
              <w:insideH w:val="nil"/>
              <w:insideV w:val="nil"/>
            </w:tcBorders>
            <w:tcMar>
              <w:top w:w="45" w:type="dxa"/>
              <w:left w:w="45" w:type="dxa"/>
              <w:bottom w:w="45" w:type="dxa"/>
              <w:right w:w="45" w:type="dxa"/>
            </w:tcMar>
            <w:vAlign w:val="center"/>
          </w:tcPr>
          <w:p w14:paraId="2DBABD6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Critically low</w:t>
            </w:r>
          </w:p>
        </w:tc>
      </w:tr>
      <w:tr w14:paraId="5C8C7CAE">
        <w:tblPrEx>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CellMar>
            <w:top w:w="0" w:type="dxa"/>
            <w:left w:w="108" w:type="dxa"/>
            <w:bottom w:w="0" w:type="dxa"/>
            <w:right w:w="108" w:type="dxa"/>
          </w:tblCellMar>
        </w:tblPrEx>
        <w:trPr>
          <w:cantSplit/>
          <w:trHeight w:val="365" w:hRule="atLeast"/>
          <w:jc w:val="center"/>
        </w:trPr>
        <w:tc>
          <w:tcPr>
            <w:tcW w:w="2174" w:type="dxa"/>
            <w:tcBorders>
              <w:top w:val="nil"/>
              <w:left w:val="nil"/>
              <w:bottom w:val="nil"/>
              <w:right w:val="nil"/>
              <w:insideH w:val="nil"/>
              <w:insideV w:val="nil"/>
            </w:tcBorders>
            <w:tcMar>
              <w:top w:w="45" w:type="dxa"/>
              <w:left w:w="45" w:type="dxa"/>
              <w:bottom w:w="45" w:type="dxa"/>
              <w:right w:w="45" w:type="dxa"/>
            </w:tcMar>
            <w:vAlign w:val="center"/>
          </w:tcPr>
          <w:p w14:paraId="36FA5B7E">
            <w:pPr>
              <w:keepNext w:val="0"/>
              <w:keepLines w:val="0"/>
              <w:widowControl/>
              <w:suppressLineNumbers w:val="0"/>
              <w:jc w:val="left"/>
              <w:rPr>
                <w:rFonts w:hint="default" w:ascii="Times New Roman" w:hAnsi="Times New Roman" w:eastAsia="宋体" w:cs="Times New Roman"/>
                <w:b w:val="0"/>
                <w:color w:val="000000"/>
                <w:sz w:val="16"/>
                <w:szCs w:val="16"/>
              </w:rPr>
            </w:pPr>
            <w:r>
              <w:rPr>
                <w:rFonts w:hint="eastAsia" w:cs="Times New Roman"/>
                <w:kern w:val="0"/>
                <w:sz w:val="16"/>
                <w:szCs w:val="16"/>
                <w:lang w:val="en-US" w:eastAsia="zh-CN" w:bidi="ar"/>
              </w:rPr>
              <w:t>Madrid-Cagigal</w:t>
            </w:r>
            <w:r>
              <w:rPr>
                <w:rFonts w:hint="default" w:ascii="Times New Roman" w:hAnsi="Times New Roman" w:eastAsia="宋体" w:cs="Times New Roman"/>
                <w:kern w:val="0"/>
                <w:sz w:val="16"/>
                <w:szCs w:val="16"/>
                <w:lang w:val="en-US" w:eastAsia="zh-CN" w:bidi="ar"/>
              </w:rPr>
              <w:t xml:space="preserve"> et al. (2025)</w:t>
            </w:r>
          </w:p>
        </w:tc>
        <w:tc>
          <w:tcPr>
            <w:tcW w:w="589" w:type="dxa"/>
            <w:tcBorders>
              <w:top w:val="nil"/>
              <w:left w:val="nil"/>
              <w:bottom w:val="nil"/>
              <w:right w:val="nil"/>
              <w:insideH w:val="nil"/>
              <w:insideV w:val="nil"/>
            </w:tcBorders>
            <w:tcMar>
              <w:top w:w="45" w:type="dxa"/>
              <w:left w:w="45" w:type="dxa"/>
              <w:bottom w:w="45" w:type="dxa"/>
              <w:right w:w="45" w:type="dxa"/>
            </w:tcMar>
            <w:vAlign w:val="center"/>
          </w:tcPr>
          <w:p w14:paraId="532DCDF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1CE4BE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5040E7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277AB8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DB04F8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F766EE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CCC12D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48C9BC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AC4AE3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CA170F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65DAE7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944321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FB4B03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4E45CA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821934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124488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1417" w:type="dxa"/>
            <w:tcBorders>
              <w:top w:val="nil"/>
              <w:left w:val="nil"/>
              <w:bottom w:val="nil"/>
              <w:right w:val="nil"/>
              <w:insideH w:val="nil"/>
              <w:insideV w:val="nil"/>
            </w:tcBorders>
            <w:tcMar>
              <w:top w:w="45" w:type="dxa"/>
              <w:left w:w="45" w:type="dxa"/>
              <w:bottom w:w="45" w:type="dxa"/>
              <w:right w:w="45" w:type="dxa"/>
            </w:tcMar>
            <w:vAlign w:val="center"/>
          </w:tcPr>
          <w:p w14:paraId="3393032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Critically low</w:t>
            </w:r>
          </w:p>
        </w:tc>
      </w:tr>
      <w:tr w14:paraId="652F5896">
        <w:tblPrEx>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CellMar>
            <w:top w:w="0" w:type="dxa"/>
            <w:left w:w="108" w:type="dxa"/>
            <w:bottom w:w="0" w:type="dxa"/>
            <w:right w:w="108" w:type="dxa"/>
          </w:tblCellMar>
        </w:tblPrEx>
        <w:trPr>
          <w:cantSplit/>
          <w:trHeight w:val="365" w:hRule="atLeast"/>
          <w:jc w:val="center"/>
        </w:trPr>
        <w:tc>
          <w:tcPr>
            <w:tcW w:w="2174" w:type="dxa"/>
            <w:tcBorders>
              <w:top w:val="nil"/>
              <w:left w:val="nil"/>
              <w:bottom w:val="nil"/>
              <w:right w:val="nil"/>
              <w:insideH w:val="nil"/>
              <w:insideV w:val="nil"/>
            </w:tcBorders>
            <w:tcMar>
              <w:top w:w="45" w:type="dxa"/>
              <w:left w:w="45" w:type="dxa"/>
              <w:bottom w:w="45" w:type="dxa"/>
              <w:right w:w="45" w:type="dxa"/>
            </w:tcMar>
            <w:vAlign w:val="center"/>
          </w:tcPr>
          <w:p w14:paraId="4F40434E">
            <w:pPr>
              <w:keepNext w:val="0"/>
              <w:keepLines w:val="0"/>
              <w:widowControl/>
              <w:suppressLineNumbers w:val="0"/>
              <w:jc w:val="left"/>
              <w:rPr>
                <w:rFonts w:hint="default" w:ascii="Times New Roman" w:hAnsi="Times New Roman" w:eastAsia="宋体" w:cs="Times New Roman"/>
                <w:b w:val="0"/>
                <w:color w:val="000000"/>
                <w:sz w:val="16"/>
                <w:szCs w:val="16"/>
              </w:rPr>
            </w:pPr>
            <w:r>
              <w:rPr>
                <w:rFonts w:hint="default" w:ascii="Times New Roman" w:hAnsi="Times New Roman" w:eastAsia="宋体" w:cs="Times New Roman"/>
                <w:kern w:val="0"/>
                <w:sz w:val="16"/>
                <w:szCs w:val="16"/>
                <w:lang w:val="en-US" w:eastAsia="zh-CN" w:bidi="ar"/>
              </w:rPr>
              <w:t>Ebert et al. (2015)</w:t>
            </w:r>
          </w:p>
        </w:tc>
        <w:tc>
          <w:tcPr>
            <w:tcW w:w="589" w:type="dxa"/>
            <w:tcBorders>
              <w:top w:val="nil"/>
              <w:left w:val="nil"/>
              <w:bottom w:val="nil"/>
              <w:right w:val="nil"/>
              <w:insideH w:val="nil"/>
              <w:insideV w:val="nil"/>
            </w:tcBorders>
            <w:tcMar>
              <w:top w:w="45" w:type="dxa"/>
              <w:left w:w="45" w:type="dxa"/>
              <w:bottom w:w="45" w:type="dxa"/>
              <w:right w:w="45" w:type="dxa"/>
            </w:tcMar>
            <w:vAlign w:val="center"/>
          </w:tcPr>
          <w:p w14:paraId="7AE0922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D77D73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FE2FAB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191CD6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760DB5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2C8337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FC4125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A04927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9E40F7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08C70B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BC7FDA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2DE8D9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BF2FA4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768D87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E876B2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0FF9E4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1417" w:type="dxa"/>
            <w:tcBorders>
              <w:top w:val="nil"/>
              <w:left w:val="nil"/>
              <w:bottom w:val="nil"/>
              <w:right w:val="nil"/>
              <w:insideH w:val="nil"/>
              <w:insideV w:val="nil"/>
            </w:tcBorders>
            <w:tcMar>
              <w:top w:w="45" w:type="dxa"/>
              <w:left w:w="45" w:type="dxa"/>
              <w:bottom w:w="45" w:type="dxa"/>
              <w:right w:w="45" w:type="dxa"/>
            </w:tcMar>
            <w:vAlign w:val="center"/>
          </w:tcPr>
          <w:p w14:paraId="5419435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Low</w:t>
            </w:r>
          </w:p>
        </w:tc>
      </w:tr>
      <w:tr w14:paraId="6484F922">
        <w:tblPrEx>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CellMar>
            <w:top w:w="0" w:type="dxa"/>
            <w:left w:w="108" w:type="dxa"/>
            <w:bottom w:w="0" w:type="dxa"/>
            <w:right w:w="108" w:type="dxa"/>
          </w:tblCellMar>
        </w:tblPrEx>
        <w:trPr>
          <w:cantSplit/>
          <w:trHeight w:val="365" w:hRule="atLeast"/>
          <w:jc w:val="center"/>
        </w:trPr>
        <w:tc>
          <w:tcPr>
            <w:tcW w:w="2174" w:type="dxa"/>
            <w:tcBorders>
              <w:top w:val="nil"/>
              <w:left w:val="nil"/>
              <w:bottom w:val="nil"/>
              <w:right w:val="nil"/>
              <w:insideH w:val="nil"/>
              <w:insideV w:val="nil"/>
            </w:tcBorders>
            <w:tcMar>
              <w:top w:w="45" w:type="dxa"/>
              <w:left w:w="45" w:type="dxa"/>
              <w:bottom w:w="45" w:type="dxa"/>
              <w:right w:w="45" w:type="dxa"/>
            </w:tcMar>
            <w:vAlign w:val="center"/>
          </w:tcPr>
          <w:p w14:paraId="70ECF428">
            <w:pPr>
              <w:keepNext w:val="0"/>
              <w:keepLines w:val="0"/>
              <w:widowControl/>
              <w:suppressLineNumbers w:val="0"/>
              <w:jc w:val="left"/>
              <w:rPr>
                <w:rFonts w:hint="default" w:ascii="Times New Roman" w:hAnsi="Times New Roman" w:eastAsia="宋体" w:cs="Times New Roman"/>
                <w:b w:val="0"/>
                <w:color w:val="000000"/>
                <w:sz w:val="16"/>
                <w:szCs w:val="16"/>
              </w:rPr>
            </w:pPr>
            <w:r>
              <w:rPr>
                <w:rFonts w:hint="default" w:ascii="Times New Roman" w:hAnsi="Times New Roman" w:eastAsia="宋体" w:cs="Times New Roman"/>
                <w:kern w:val="0"/>
                <w:sz w:val="16"/>
                <w:szCs w:val="16"/>
                <w:lang w:val="en-US" w:eastAsia="zh-CN" w:bidi="ar"/>
              </w:rPr>
              <w:t>Harrer et al. (2019)</w:t>
            </w:r>
          </w:p>
        </w:tc>
        <w:tc>
          <w:tcPr>
            <w:tcW w:w="589" w:type="dxa"/>
            <w:tcBorders>
              <w:top w:val="nil"/>
              <w:left w:val="nil"/>
              <w:bottom w:val="nil"/>
              <w:right w:val="nil"/>
              <w:insideH w:val="nil"/>
              <w:insideV w:val="nil"/>
            </w:tcBorders>
            <w:tcMar>
              <w:top w:w="45" w:type="dxa"/>
              <w:left w:w="45" w:type="dxa"/>
              <w:bottom w:w="45" w:type="dxa"/>
              <w:right w:w="45" w:type="dxa"/>
            </w:tcMar>
            <w:vAlign w:val="center"/>
          </w:tcPr>
          <w:p w14:paraId="12205D0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CA6FE6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1C77D1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8A4431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C4C30F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7025A2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8A6689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D66AF6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83CC2F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1EDC27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119C4E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EA3F33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477F42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FE0B38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D18FDA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3A9711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1417" w:type="dxa"/>
            <w:tcBorders>
              <w:top w:val="nil"/>
              <w:left w:val="nil"/>
              <w:bottom w:val="nil"/>
              <w:right w:val="nil"/>
              <w:insideH w:val="nil"/>
              <w:insideV w:val="nil"/>
            </w:tcBorders>
            <w:tcMar>
              <w:top w:w="45" w:type="dxa"/>
              <w:left w:w="45" w:type="dxa"/>
              <w:bottom w:w="45" w:type="dxa"/>
              <w:right w:w="45" w:type="dxa"/>
            </w:tcMar>
            <w:vAlign w:val="center"/>
          </w:tcPr>
          <w:p w14:paraId="2DAE896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Critically low</w:t>
            </w:r>
          </w:p>
        </w:tc>
      </w:tr>
      <w:tr w14:paraId="4AA6ED1B">
        <w:tblPrEx>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CellMar>
            <w:top w:w="0" w:type="dxa"/>
            <w:left w:w="108" w:type="dxa"/>
            <w:bottom w:w="0" w:type="dxa"/>
            <w:right w:w="108" w:type="dxa"/>
          </w:tblCellMar>
        </w:tblPrEx>
        <w:trPr>
          <w:cantSplit/>
          <w:trHeight w:val="365" w:hRule="atLeast"/>
          <w:jc w:val="center"/>
        </w:trPr>
        <w:tc>
          <w:tcPr>
            <w:tcW w:w="2174" w:type="dxa"/>
            <w:tcBorders>
              <w:top w:val="nil"/>
              <w:left w:val="nil"/>
              <w:bottom w:val="nil"/>
              <w:right w:val="nil"/>
              <w:insideH w:val="nil"/>
              <w:insideV w:val="nil"/>
            </w:tcBorders>
            <w:tcMar>
              <w:top w:w="45" w:type="dxa"/>
              <w:left w:w="45" w:type="dxa"/>
              <w:bottom w:w="45" w:type="dxa"/>
              <w:right w:w="45" w:type="dxa"/>
            </w:tcMar>
            <w:vAlign w:val="center"/>
          </w:tcPr>
          <w:p w14:paraId="2A4B1D74">
            <w:pPr>
              <w:keepNext w:val="0"/>
              <w:keepLines w:val="0"/>
              <w:widowControl/>
              <w:suppressLineNumbers w:val="0"/>
              <w:jc w:val="left"/>
              <w:rPr>
                <w:rFonts w:hint="default" w:ascii="Times New Roman" w:hAnsi="Times New Roman" w:eastAsia="宋体" w:cs="Times New Roman"/>
                <w:b w:val="0"/>
                <w:color w:val="000000"/>
                <w:sz w:val="16"/>
                <w:szCs w:val="16"/>
              </w:rPr>
            </w:pPr>
            <w:r>
              <w:rPr>
                <w:rFonts w:hint="default" w:ascii="Times New Roman" w:hAnsi="Times New Roman" w:eastAsia="宋体" w:cs="Times New Roman"/>
                <w:kern w:val="0"/>
                <w:sz w:val="16"/>
                <w:szCs w:val="16"/>
                <w:lang w:val="en-US" w:eastAsia="zh-CN" w:bidi="ar"/>
              </w:rPr>
              <w:t>Eilert et al. (2022)</w:t>
            </w:r>
          </w:p>
        </w:tc>
        <w:tc>
          <w:tcPr>
            <w:tcW w:w="589" w:type="dxa"/>
            <w:tcBorders>
              <w:top w:val="nil"/>
              <w:left w:val="nil"/>
              <w:bottom w:val="nil"/>
              <w:right w:val="nil"/>
              <w:insideH w:val="nil"/>
              <w:insideV w:val="nil"/>
            </w:tcBorders>
            <w:tcMar>
              <w:top w:w="45" w:type="dxa"/>
              <w:left w:w="45" w:type="dxa"/>
              <w:bottom w:w="45" w:type="dxa"/>
              <w:right w:w="45" w:type="dxa"/>
            </w:tcMar>
            <w:vAlign w:val="center"/>
          </w:tcPr>
          <w:p w14:paraId="290F933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B7050C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F5C8F8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7A71BB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A30842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2820C2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DEF040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25B340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2D77B3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7BFFA7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532B43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9023D2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28792E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FECF9B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0B5CD4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CB8250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1417" w:type="dxa"/>
            <w:tcBorders>
              <w:top w:val="nil"/>
              <w:left w:val="nil"/>
              <w:bottom w:val="nil"/>
              <w:right w:val="nil"/>
              <w:insideH w:val="nil"/>
              <w:insideV w:val="nil"/>
            </w:tcBorders>
            <w:tcMar>
              <w:top w:w="45" w:type="dxa"/>
              <w:left w:w="45" w:type="dxa"/>
              <w:bottom w:w="45" w:type="dxa"/>
              <w:right w:w="45" w:type="dxa"/>
            </w:tcMar>
            <w:vAlign w:val="center"/>
          </w:tcPr>
          <w:p w14:paraId="19CB53B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Critically low</w:t>
            </w:r>
          </w:p>
        </w:tc>
      </w:tr>
      <w:tr w14:paraId="04D72355">
        <w:tblPrEx>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CellMar>
            <w:top w:w="0" w:type="dxa"/>
            <w:left w:w="108" w:type="dxa"/>
            <w:bottom w:w="0" w:type="dxa"/>
            <w:right w:w="108" w:type="dxa"/>
          </w:tblCellMar>
        </w:tblPrEx>
        <w:trPr>
          <w:cantSplit/>
          <w:trHeight w:val="365" w:hRule="atLeast"/>
          <w:jc w:val="center"/>
        </w:trPr>
        <w:tc>
          <w:tcPr>
            <w:tcW w:w="2174" w:type="dxa"/>
            <w:tcBorders>
              <w:top w:val="nil"/>
              <w:left w:val="nil"/>
              <w:bottom w:val="nil"/>
              <w:right w:val="nil"/>
              <w:insideH w:val="nil"/>
              <w:insideV w:val="nil"/>
            </w:tcBorders>
            <w:tcMar>
              <w:top w:w="45" w:type="dxa"/>
              <w:left w:w="45" w:type="dxa"/>
              <w:bottom w:w="45" w:type="dxa"/>
              <w:right w:w="45" w:type="dxa"/>
            </w:tcMar>
            <w:vAlign w:val="center"/>
          </w:tcPr>
          <w:p w14:paraId="01CE49AE">
            <w:pPr>
              <w:keepNext w:val="0"/>
              <w:keepLines w:val="0"/>
              <w:widowControl/>
              <w:suppressLineNumbers w:val="0"/>
              <w:jc w:val="left"/>
              <w:rPr>
                <w:rFonts w:hint="default" w:ascii="Times New Roman" w:hAnsi="Times New Roman" w:eastAsia="宋体" w:cs="Times New Roman"/>
                <w:b w:val="0"/>
                <w:color w:val="000000"/>
                <w:sz w:val="16"/>
                <w:szCs w:val="16"/>
              </w:rPr>
            </w:pPr>
            <w:r>
              <w:rPr>
                <w:rFonts w:hint="default" w:ascii="Times New Roman" w:hAnsi="Times New Roman" w:eastAsia="宋体" w:cs="Times New Roman"/>
                <w:kern w:val="0"/>
                <w:sz w:val="16"/>
                <w:szCs w:val="16"/>
                <w:lang w:val="en-US" w:eastAsia="zh-CN" w:bidi="ar"/>
              </w:rPr>
              <w:t>Feng et al. (2025)</w:t>
            </w:r>
          </w:p>
        </w:tc>
        <w:tc>
          <w:tcPr>
            <w:tcW w:w="589" w:type="dxa"/>
            <w:tcBorders>
              <w:top w:val="nil"/>
              <w:left w:val="nil"/>
              <w:bottom w:val="nil"/>
              <w:right w:val="nil"/>
              <w:insideH w:val="nil"/>
              <w:insideV w:val="nil"/>
            </w:tcBorders>
            <w:tcMar>
              <w:top w:w="45" w:type="dxa"/>
              <w:left w:w="45" w:type="dxa"/>
              <w:bottom w:w="45" w:type="dxa"/>
              <w:right w:w="45" w:type="dxa"/>
            </w:tcMar>
            <w:vAlign w:val="center"/>
          </w:tcPr>
          <w:p w14:paraId="400824F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9DD12E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044813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D20EC3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2333C2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C5C89D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8C7C7B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C3FE64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454A67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AFE0E4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921909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377FB9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E24C4C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DA513F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21E87B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58465D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1417" w:type="dxa"/>
            <w:tcBorders>
              <w:top w:val="nil"/>
              <w:left w:val="nil"/>
              <w:bottom w:val="nil"/>
              <w:right w:val="nil"/>
              <w:insideH w:val="nil"/>
              <w:insideV w:val="nil"/>
            </w:tcBorders>
            <w:tcMar>
              <w:top w:w="45" w:type="dxa"/>
              <w:left w:w="45" w:type="dxa"/>
              <w:bottom w:w="45" w:type="dxa"/>
              <w:right w:w="45" w:type="dxa"/>
            </w:tcMar>
            <w:vAlign w:val="center"/>
          </w:tcPr>
          <w:p w14:paraId="707FFAE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Critically low</w:t>
            </w:r>
          </w:p>
        </w:tc>
      </w:tr>
      <w:tr w14:paraId="28A9A9DD">
        <w:tblPrEx>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CellMar>
            <w:top w:w="0" w:type="dxa"/>
            <w:left w:w="108" w:type="dxa"/>
            <w:bottom w:w="0" w:type="dxa"/>
            <w:right w:w="108" w:type="dxa"/>
          </w:tblCellMar>
        </w:tblPrEx>
        <w:trPr>
          <w:cantSplit/>
          <w:trHeight w:val="365" w:hRule="atLeast"/>
          <w:jc w:val="center"/>
        </w:trPr>
        <w:tc>
          <w:tcPr>
            <w:tcW w:w="2174" w:type="dxa"/>
            <w:tcBorders>
              <w:top w:val="nil"/>
              <w:left w:val="nil"/>
              <w:bottom w:val="nil"/>
              <w:right w:val="nil"/>
              <w:insideH w:val="nil"/>
              <w:insideV w:val="nil"/>
            </w:tcBorders>
            <w:tcMar>
              <w:top w:w="45" w:type="dxa"/>
              <w:left w:w="45" w:type="dxa"/>
              <w:bottom w:w="45" w:type="dxa"/>
              <w:right w:w="45" w:type="dxa"/>
            </w:tcMar>
            <w:vAlign w:val="center"/>
          </w:tcPr>
          <w:p w14:paraId="2FB7FDA3">
            <w:pPr>
              <w:keepNext w:val="0"/>
              <w:keepLines w:val="0"/>
              <w:widowControl/>
              <w:suppressLineNumbers w:val="0"/>
              <w:jc w:val="left"/>
              <w:rPr>
                <w:rFonts w:hint="default" w:ascii="Times New Roman" w:hAnsi="Times New Roman" w:eastAsia="宋体" w:cs="Times New Roman"/>
                <w:b w:val="0"/>
                <w:color w:val="000000"/>
                <w:sz w:val="16"/>
                <w:szCs w:val="16"/>
              </w:rPr>
            </w:pPr>
            <w:r>
              <w:rPr>
                <w:rFonts w:hint="eastAsia" w:cs="Times New Roman"/>
                <w:kern w:val="0"/>
                <w:sz w:val="16"/>
                <w:szCs w:val="16"/>
                <w:lang w:val="en-US" w:eastAsia="zh-CN" w:bidi="ar"/>
              </w:rPr>
              <w:t>T. H. Chen et al. (2025)</w:t>
            </w:r>
          </w:p>
        </w:tc>
        <w:tc>
          <w:tcPr>
            <w:tcW w:w="589" w:type="dxa"/>
            <w:tcBorders>
              <w:top w:val="nil"/>
              <w:left w:val="nil"/>
              <w:bottom w:val="nil"/>
              <w:right w:val="nil"/>
              <w:insideH w:val="nil"/>
              <w:insideV w:val="nil"/>
            </w:tcBorders>
            <w:tcMar>
              <w:top w:w="45" w:type="dxa"/>
              <w:left w:w="45" w:type="dxa"/>
              <w:bottom w:w="45" w:type="dxa"/>
              <w:right w:w="45" w:type="dxa"/>
            </w:tcMar>
            <w:vAlign w:val="center"/>
          </w:tcPr>
          <w:p w14:paraId="0BEB382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E3F93F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EED228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E13056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4B2607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42D88A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090E65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43C727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D09FF9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47C7BB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36AC92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9AE2B4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F90017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38F685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6E3C39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C5433E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1417" w:type="dxa"/>
            <w:tcBorders>
              <w:top w:val="nil"/>
              <w:left w:val="nil"/>
              <w:bottom w:val="nil"/>
              <w:right w:val="nil"/>
              <w:insideH w:val="nil"/>
              <w:insideV w:val="nil"/>
            </w:tcBorders>
            <w:tcMar>
              <w:top w:w="45" w:type="dxa"/>
              <w:left w:w="45" w:type="dxa"/>
              <w:bottom w:w="45" w:type="dxa"/>
              <w:right w:w="45" w:type="dxa"/>
            </w:tcMar>
            <w:vAlign w:val="center"/>
          </w:tcPr>
          <w:p w14:paraId="14BB11C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Critically low</w:t>
            </w:r>
          </w:p>
        </w:tc>
      </w:tr>
      <w:tr w14:paraId="0C9CA474">
        <w:tblPrEx>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CellMar>
            <w:top w:w="0" w:type="dxa"/>
            <w:left w:w="108" w:type="dxa"/>
            <w:bottom w:w="0" w:type="dxa"/>
            <w:right w:w="108" w:type="dxa"/>
          </w:tblCellMar>
        </w:tblPrEx>
        <w:trPr>
          <w:cantSplit/>
          <w:trHeight w:val="365" w:hRule="atLeast"/>
          <w:jc w:val="center"/>
        </w:trPr>
        <w:tc>
          <w:tcPr>
            <w:tcW w:w="2174" w:type="dxa"/>
            <w:tcBorders>
              <w:top w:val="nil"/>
              <w:left w:val="nil"/>
              <w:bottom w:val="nil"/>
              <w:right w:val="nil"/>
              <w:insideH w:val="nil"/>
              <w:insideV w:val="nil"/>
            </w:tcBorders>
            <w:tcMar>
              <w:top w:w="45" w:type="dxa"/>
              <w:left w:w="45" w:type="dxa"/>
              <w:bottom w:w="45" w:type="dxa"/>
              <w:right w:w="45" w:type="dxa"/>
            </w:tcMar>
            <w:vAlign w:val="center"/>
          </w:tcPr>
          <w:p w14:paraId="7BFBB065">
            <w:pPr>
              <w:keepNext w:val="0"/>
              <w:keepLines w:val="0"/>
              <w:widowControl/>
              <w:suppressLineNumbers w:val="0"/>
              <w:jc w:val="left"/>
              <w:rPr>
                <w:rFonts w:hint="default" w:ascii="Times New Roman" w:hAnsi="Times New Roman" w:eastAsia="宋体" w:cs="Times New Roman"/>
                <w:b w:val="0"/>
                <w:color w:val="000000"/>
                <w:sz w:val="16"/>
                <w:szCs w:val="16"/>
              </w:rPr>
            </w:pPr>
            <w:r>
              <w:rPr>
                <w:rFonts w:hint="default" w:ascii="Times New Roman" w:hAnsi="Times New Roman" w:eastAsia="宋体" w:cs="Times New Roman"/>
                <w:kern w:val="0"/>
                <w:sz w:val="16"/>
                <w:szCs w:val="16"/>
                <w:lang w:val="en-US" w:eastAsia="zh-CN" w:bidi="ar"/>
              </w:rPr>
              <w:t>Noh and Kim (2023)</w:t>
            </w:r>
          </w:p>
        </w:tc>
        <w:tc>
          <w:tcPr>
            <w:tcW w:w="589" w:type="dxa"/>
            <w:tcBorders>
              <w:top w:val="nil"/>
              <w:left w:val="nil"/>
              <w:bottom w:val="nil"/>
              <w:right w:val="nil"/>
              <w:insideH w:val="nil"/>
              <w:insideV w:val="nil"/>
            </w:tcBorders>
            <w:tcMar>
              <w:top w:w="45" w:type="dxa"/>
              <w:left w:w="45" w:type="dxa"/>
              <w:bottom w:w="45" w:type="dxa"/>
              <w:right w:w="45" w:type="dxa"/>
            </w:tcMar>
            <w:vAlign w:val="center"/>
          </w:tcPr>
          <w:p w14:paraId="76B0130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D2F172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B67663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059672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ACF57B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8C96A6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F961E5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4F6D28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B77834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3102EB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AE75C0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A4330D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45D3C3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7030B1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331B26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99803D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1417" w:type="dxa"/>
            <w:tcBorders>
              <w:top w:val="nil"/>
              <w:left w:val="nil"/>
              <w:bottom w:val="nil"/>
              <w:right w:val="nil"/>
              <w:insideH w:val="nil"/>
              <w:insideV w:val="nil"/>
            </w:tcBorders>
            <w:tcMar>
              <w:top w:w="45" w:type="dxa"/>
              <w:left w:w="45" w:type="dxa"/>
              <w:bottom w:w="45" w:type="dxa"/>
              <w:right w:w="45" w:type="dxa"/>
            </w:tcMar>
            <w:vAlign w:val="center"/>
          </w:tcPr>
          <w:p w14:paraId="7FF994E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Critically low</w:t>
            </w:r>
          </w:p>
        </w:tc>
      </w:tr>
      <w:tr w14:paraId="1B7D3F4E">
        <w:tblPrEx>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CellMar>
            <w:top w:w="0" w:type="dxa"/>
            <w:left w:w="108" w:type="dxa"/>
            <w:bottom w:w="0" w:type="dxa"/>
            <w:right w:w="108" w:type="dxa"/>
          </w:tblCellMar>
        </w:tblPrEx>
        <w:trPr>
          <w:cantSplit/>
          <w:trHeight w:val="365" w:hRule="atLeast"/>
          <w:jc w:val="center"/>
        </w:trPr>
        <w:tc>
          <w:tcPr>
            <w:tcW w:w="2174" w:type="dxa"/>
            <w:tcBorders>
              <w:top w:val="nil"/>
              <w:left w:val="nil"/>
              <w:bottom w:val="nil"/>
              <w:right w:val="nil"/>
              <w:insideH w:val="nil"/>
              <w:insideV w:val="nil"/>
            </w:tcBorders>
            <w:tcMar>
              <w:top w:w="45" w:type="dxa"/>
              <w:left w:w="45" w:type="dxa"/>
              <w:bottom w:w="45" w:type="dxa"/>
              <w:right w:w="45" w:type="dxa"/>
            </w:tcMar>
            <w:vAlign w:val="center"/>
          </w:tcPr>
          <w:p w14:paraId="55A7247D">
            <w:pPr>
              <w:keepNext w:val="0"/>
              <w:keepLines w:val="0"/>
              <w:widowControl/>
              <w:suppressLineNumbers w:val="0"/>
              <w:jc w:val="left"/>
              <w:rPr>
                <w:rFonts w:hint="default" w:ascii="Times New Roman" w:hAnsi="Times New Roman" w:eastAsia="宋体" w:cs="Times New Roman"/>
                <w:b w:val="0"/>
                <w:color w:val="000000"/>
                <w:sz w:val="16"/>
                <w:szCs w:val="16"/>
              </w:rPr>
            </w:pPr>
            <w:r>
              <w:rPr>
                <w:rFonts w:hint="eastAsia" w:cs="Times New Roman"/>
                <w:kern w:val="0"/>
                <w:sz w:val="16"/>
                <w:szCs w:val="16"/>
                <w:lang w:val="en-US" w:eastAsia="zh-CN" w:bidi="ar"/>
              </w:rPr>
              <w:t>Takizawa et al. (2026)</w:t>
            </w:r>
          </w:p>
        </w:tc>
        <w:tc>
          <w:tcPr>
            <w:tcW w:w="589" w:type="dxa"/>
            <w:tcBorders>
              <w:top w:val="nil"/>
              <w:left w:val="nil"/>
              <w:bottom w:val="nil"/>
              <w:right w:val="nil"/>
              <w:insideH w:val="nil"/>
              <w:insideV w:val="nil"/>
            </w:tcBorders>
            <w:tcMar>
              <w:top w:w="45" w:type="dxa"/>
              <w:left w:w="45" w:type="dxa"/>
              <w:bottom w:w="45" w:type="dxa"/>
              <w:right w:w="45" w:type="dxa"/>
            </w:tcMar>
            <w:vAlign w:val="center"/>
          </w:tcPr>
          <w:p w14:paraId="1992FCE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AE338D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7F3D6C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8E2806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DA44D7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4EE97D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7ADD2F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31F154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446A38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828F91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91AFA7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7E900C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04F322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E7BD1B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19A5DC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E7EA1E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1417" w:type="dxa"/>
            <w:tcBorders>
              <w:top w:val="nil"/>
              <w:left w:val="nil"/>
              <w:bottom w:val="nil"/>
              <w:right w:val="nil"/>
              <w:insideH w:val="nil"/>
              <w:insideV w:val="nil"/>
            </w:tcBorders>
            <w:tcMar>
              <w:top w:w="45" w:type="dxa"/>
              <w:left w:w="45" w:type="dxa"/>
              <w:bottom w:w="45" w:type="dxa"/>
              <w:right w:w="45" w:type="dxa"/>
            </w:tcMar>
            <w:vAlign w:val="center"/>
          </w:tcPr>
          <w:p w14:paraId="7893B21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Critically low</w:t>
            </w:r>
          </w:p>
        </w:tc>
      </w:tr>
      <w:tr w14:paraId="3CB796E4">
        <w:tblPrEx>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CellMar>
            <w:top w:w="0" w:type="dxa"/>
            <w:left w:w="108" w:type="dxa"/>
            <w:bottom w:w="0" w:type="dxa"/>
            <w:right w:w="108" w:type="dxa"/>
          </w:tblCellMar>
        </w:tblPrEx>
        <w:trPr>
          <w:cantSplit/>
          <w:trHeight w:val="365" w:hRule="atLeast"/>
          <w:jc w:val="center"/>
        </w:trPr>
        <w:tc>
          <w:tcPr>
            <w:tcW w:w="2174" w:type="dxa"/>
            <w:tcBorders>
              <w:top w:val="nil"/>
              <w:left w:val="nil"/>
              <w:bottom w:val="nil"/>
              <w:right w:val="nil"/>
              <w:insideH w:val="nil"/>
              <w:insideV w:val="nil"/>
            </w:tcBorders>
            <w:tcMar>
              <w:top w:w="45" w:type="dxa"/>
              <w:left w:w="45" w:type="dxa"/>
              <w:bottom w:w="45" w:type="dxa"/>
              <w:right w:w="45" w:type="dxa"/>
            </w:tcMar>
            <w:vAlign w:val="center"/>
          </w:tcPr>
          <w:p w14:paraId="53940B28">
            <w:pPr>
              <w:keepNext w:val="0"/>
              <w:keepLines w:val="0"/>
              <w:widowControl/>
              <w:suppressLineNumbers w:val="0"/>
              <w:jc w:val="left"/>
              <w:rPr>
                <w:rFonts w:hint="default" w:ascii="Times New Roman" w:hAnsi="Times New Roman" w:eastAsia="宋体" w:cs="Times New Roman"/>
                <w:b w:val="0"/>
                <w:color w:val="000000"/>
                <w:sz w:val="16"/>
                <w:szCs w:val="16"/>
              </w:rPr>
            </w:pPr>
            <w:r>
              <w:rPr>
                <w:rFonts w:hint="eastAsia" w:cs="Times New Roman"/>
                <w:kern w:val="0"/>
                <w:sz w:val="16"/>
                <w:szCs w:val="16"/>
                <w:lang w:val="en-US" w:eastAsia="zh-CN" w:bidi="ar"/>
              </w:rPr>
              <w:t>B. Chen et al. (2025)</w:t>
            </w:r>
          </w:p>
        </w:tc>
        <w:tc>
          <w:tcPr>
            <w:tcW w:w="589" w:type="dxa"/>
            <w:tcBorders>
              <w:top w:val="nil"/>
              <w:left w:val="nil"/>
              <w:bottom w:val="nil"/>
              <w:right w:val="nil"/>
              <w:insideH w:val="nil"/>
              <w:insideV w:val="nil"/>
            </w:tcBorders>
            <w:tcMar>
              <w:top w:w="45" w:type="dxa"/>
              <w:left w:w="45" w:type="dxa"/>
              <w:bottom w:w="45" w:type="dxa"/>
              <w:right w:w="45" w:type="dxa"/>
            </w:tcMar>
            <w:vAlign w:val="center"/>
          </w:tcPr>
          <w:p w14:paraId="7B25947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D2DA91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753129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F67371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CB4AFD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3EF9FE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E6531C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DF790C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AB95E1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A06BA7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3A740C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0C3A70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4CA3BE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B8AD92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40D49E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2F23CB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1417" w:type="dxa"/>
            <w:tcBorders>
              <w:top w:val="nil"/>
              <w:left w:val="nil"/>
              <w:bottom w:val="nil"/>
              <w:right w:val="nil"/>
              <w:insideH w:val="nil"/>
              <w:insideV w:val="nil"/>
            </w:tcBorders>
            <w:tcMar>
              <w:top w:w="45" w:type="dxa"/>
              <w:left w:w="45" w:type="dxa"/>
              <w:bottom w:w="45" w:type="dxa"/>
              <w:right w:w="45" w:type="dxa"/>
            </w:tcMar>
            <w:vAlign w:val="center"/>
          </w:tcPr>
          <w:p w14:paraId="0BA2E56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Critically low</w:t>
            </w:r>
          </w:p>
        </w:tc>
      </w:tr>
      <w:tr w14:paraId="7EB7B501">
        <w:tblPrEx>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CellMar>
            <w:top w:w="0" w:type="dxa"/>
            <w:left w:w="108" w:type="dxa"/>
            <w:bottom w:w="0" w:type="dxa"/>
            <w:right w:w="108" w:type="dxa"/>
          </w:tblCellMar>
        </w:tblPrEx>
        <w:trPr>
          <w:cantSplit/>
          <w:trHeight w:val="365" w:hRule="atLeast"/>
          <w:jc w:val="center"/>
        </w:trPr>
        <w:tc>
          <w:tcPr>
            <w:tcW w:w="2174" w:type="dxa"/>
            <w:tcBorders>
              <w:top w:val="nil"/>
              <w:left w:val="nil"/>
              <w:bottom w:val="nil"/>
              <w:right w:val="nil"/>
              <w:insideH w:val="nil"/>
              <w:insideV w:val="nil"/>
            </w:tcBorders>
            <w:tcMar>
              <w:top w:w="45" w:type="dxa"/>
              <w:left w:w="45" w:type="dxa"/>
              <w:bottom w:w="45" w:type="dxa"/>
              <w:right w:w="45" w:type="dxa"/>
            </w:tcMar>
            <w:vAlign w:val="center"/>
          </w:tcPr>
          <w:p w14:paraId="20CC66E8">
            <w:pPr>
              <w:keepNext w:val="0"/>
              <w:keepLines w:val="0"/>
              <w:widowControl/>
              <w:suppressLineNumbers w:val="0"/>
              <w:jc w:val="left"/>
              <w:rPr>
                <w:rFonts w:hint="default" w:ascii="Times New Roman" w:hAnsi="Times New Roman" w:eastAsia="宋体" w:cs="Times New Roman"/>
                <w:b w:val="0"/>
                <w:color w:val="000000"/>
                <w:sz w:val="16"/>
                <w:szCs w:val="16"/>
              </w:rPr>
            </w:pPr>
            <w:r>
              <w:rPr>
                <w:rFonts w:hint="default" w:ascii="Times New Roman" w:hAnsi="Times New Roman" w:eastAsia="宋体" w:cs="Times New Roman"/>
                <w:kern w:val="0"/>
                <w:sz w:val="16"/>
                <w:szCs w:val="16"/>
                <w:lang w:val="en-US" w:eastAsia="zh-CN" w:bidi="ar"/>
              </w:rPr>
              <w:t>Wickersham et al. (2022)</w:t>
            </w:r>
          </w:p>
        </w:tc>
        <w:tc>
          <w:tcPr>
            <w:tcW w:w="589" w:type="dxa"/>
            <w:tcBorders>
              <w:top w:val="nil"/>
              <w:left w:val="nil"/>
              <w:bottom w:val="nil"/>
              <w:right w:val="nil"/>
              <w:insideH w:val="nil"/>
              <w:insideV w:val="nil"/>
            </w:tcBorders>
            <w:tcMar>
              <w:top w:w="45" w:type="dxa"/>
              <w:left w:w="45" w:type="dxa"/>
              <w:bottom w:w="45" w:type="dxa"/>
              <w:right w:w="45" w:type="dxa"/>
            </w:tcMar>
            <w:vAlign w:val="center"/>
          </w:tcPr>
          <w:p w14:paraId="1C855F6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5F58DC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F58BFD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0BE0D7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FF2060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3037DB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E6D5F6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966979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5EEC18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B4CECB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6008CF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30A5AC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F9B5E9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7F2289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2164D4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242967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1417" w:type="dxa"/>
            <w:tcBorders>
              <w:top w:val="nil"/>
              <w:left w:val="nil"/>
              <w:bottom w:val="nil"/>
              <w:right w:val="nil"/>
              <w:insideH w:val="nil"/>
              <w:insideV w:val="nil"/>
            </w:tcBorders>
            <w:tcMar>
              <w:top w:w="45" w:type="dxa"/>
              <w:left w:w="45" w:type="dxa"/>
              <w:bottom w:w="45" w:type="dxa"/>
              <w:right w:w="45" w:type="dxa"/>
            </w:tcMar>
            <w:vAlign w:val="center"/>
          </w:tcPr>
          <w:p w14:paraId="1B43851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Critically low</w:t>
            </w:r>
          </w:p>
        </w:tc>
      </w:tr>
      <w:tr w14:paraId="65972AAA">
        <w:tblPrEx>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CellMar>
            <w:top w:w="0" w:type="dxa"/>
            <w:left w:w="108" w:type="dxa"/>
            <w:bottom w:w="0" w:type="dxa"/>
            <w:right w:w="108" w:type="dxa"/>
          </w:tblCellMar>
        </w:tblPrEx>
        <w:trPr>
          <w:cantSplit/>
          <w:trHeight w:val="365" w:hRule="atLeast"/>
          <w:jc w:val="center"/>
        </w:trPr>
        <w:tc>
          <w:tcPr>
            <w:tcW w:w="2174" w:type="dxa"/>
            <w:tcBorders>
              <w:top w:val="nil"/>
              <w:left w:val="nil"/>
              <w:bottom w:val="nil"/>
              <w:right w:val="nil"/>
              <w:insideH w:val="nil"/>
              <w:insideV w:val="nil"/>
            </w:tcBorders>
            <w:tcMar>
              <w:top w:w="45" w:type="dxa"/>
              <w:left w:w="45" w:type="dxa"/>
              <w:bottom w:w="45" w:type="dxa"/>
              <w:right w:w="45" w:type="dxa"/>
            </w:tcMar>
            <w:vAlign w:val="center"/>
          </w:tcPr>
          <w:p w14:paraId="17DDA22A">
            <w:pPr>
              <w:keepNext w:val="0"/>
              <w:keepLines w:val="0"/>
              <w:widowControl/>
              <w:suppressLineNumbers w:val="0"/>
              <w:jc w:val="left"/>
              <w:rPr>
                <w:rFonts w:hint="default" w:ascii="Times New Roman" w:hAnsi="Times New Roman" w:eastAsia="宋体" w:cs="Times New Roman"/>
                <w:b w:val="0"/>
                <w:color w:val="000000"/>
                <w:sz w:val="16"/>
                <w:szCs w:val="16"/>
              </w:rPr>
            </w:pPr>
            <w:r>
              <w:rPr>
                <w:rFonts w:hint="default" w:ascii="Times New Roman" w:hAnsi="Times New Roman" w:eastAsia="宋体" w:cs="Times New Roman"/>
                <w:kern w:val="0"/>
                <w:sz w:val="16"/>
                <w:szCs w:val="16"/>
                <w:lang w:val="en-US" w:eastAsia="zh-CN" w:bidi="ar"/>
              </w:rPr>
              <w:t>Hatoum et al. (2025)</w:t>
            </w:r>
          </w:p>
        </w:tc>
        <w:tc>
          <w:tcPr>
            <w:tcW w:w="589" w:type="dxa"/>
            <w:tcBorders>
              <w:top w:val="nil"/>
              <w:left w:val="nil"/>
              <w:bottom w:val="nil"/>
              <w:right w:val="nil"/>
              <w:insideH w:val="nil"/>
              <w:insideV w:val="nil"/>
            </w:tcBorders>
            <w:tcMar>
              <w:top w:w="45" w:type="dxa"/>
              <w:left w:w="45" w:type="dxa"/>
              <w:bottom w:w="45" w:type="dxa"/>
              <w:right w:w="45" w:type="dxa"/>
            </w:tcMar>
            <w:vAlign w:val="center"/>
          </w:tcPr>
          <w:p w14:paraId="27FE9B9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07403F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0FC29B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E90233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9C4664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40D4E3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BA4804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8E9E97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4088BA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2F73E6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1B6E31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C7F23C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62808C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9C5BDB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D9C9DA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831EC6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1417" w:type="dxa"/>
            <w:tcBorders>
              <w:top w:val="nil"/>
              <w:left w:val="nil"/>
              <w:bottom w:val="nil"/>
              <w:right w:val="nil"/>
              <w:insideH w:val="nil"/>
              <w:insideV w:val="nil"/>
            </w:tcBorders>
            <w:tcMar>
              <w:top w:w="45" w:type="dxa"/>
              <w:left w:w="45" w:type="dxa"/>
              <w:bottom w:w="45" w:type="dxa"/>
              <w:right w:w="45" w:type="dxa"/>
            </w:tcMar>
            <w:vAlign w:val="center"/>
          </w:tcPr>
          <w:p w14:paraId="769E60C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Critically low</w:t>
            </w:r>
          </w:p>
        </w:tc>
      </w:tr>
      <w:tr w14:paraId="6D6C220D">
        <w:tblPrEx>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CellMar>
            <w:top w:w="0" w:type="dxa"/>
            <w:left w:w="108" w:type="dxa"/>
            <w:bottom w:w="0" w:type="dxa"/>
            <w:right w:w="108" w:type="dxa"/>
          </w:tblCellMar>
        </w:tblPrEx>
        <w:trPr>
          <w:cantSplit/>
          <w:trHeight w:val="365" w:hRule="atLeast"/>
          <w:jc w:val="center"/>
        </w:trPr>
        <w:tc>
          <w:tcPr>
            <w:tcW w:w="2174" w:type="dxa"/>
            <w:tcBorders>
              <w:top w:val="nil"/>
              <w:left w:val="nil"/>
              <w:bottom w:val="nil"/>
              <w:right w:val="nil"/>
              <w:insideH w:val="nil"/>
              <w:insideV w:val="nil"/>
            </w:tcBorders>
            <w:tcMar>
              <w:top w:w="45" w:type="dxa"/>
              <w:left w:w="45" w:type="dxa"/>
              <w:bottom w:w="45" w:type="dxa"/>
              <w:right w:w="45" w:type="dxa"/>
            </w:tcMar>
            <w:vAlign w:val="center"/>
          </w:tcPr>
          <w:p w14:paraId="34A8FC35">
            <w:pPr>
              <w:keepNext w:val="0"/>
              <w:keepLines w:val="0"/>
              <w:widowControl/>
              <w:suppressLineNumbers w:val="0"/>
              <w:jc w:val="left"/>
              <w:rPr>
                <w:rFonts w:hint="default" w:ascii="Times New Roman" w:hAnsi="Times New Roman" w:eastAsia="宋体" w:cs="Times New Roman"/>
                <w:b w:val="0"/>
                <w:color w:val="000000"/>
                <w:sz w:val="16"/>
                <w:szCs w:val="16"/>
              </w:rPr>
            </w:pPr>
            <w:r>
              <w:rPr>
                <w:rFonts w:hint="default" w:ascii="Times New Roman" w:hAnsi="Times New Roman" w:eastAsia="宋体" w:cs="Times New Roman"/>
                <w:kern w:val="0"/>
                <w:sz w:val="16"/>
                <w:szCs w:val="16"/>
                <w:lang w:val="en-US" w:eastAsia="zh-CN" w:bidi="ar"/>
              </w:rPr>
              <w:t>Li et al. (2021)</w:t>
            </w:r>
          </w:p>
        </w:tc>
        <w:tc>
          <w:tcPr>
            <w:tcW w:w="589" w:type="dxa"/>
            <w:tcBorders>
              <w:top w:val="nil"/>
              <w:left w:val="nil"/>
              <w:bottom w:val="nil"/>
              <w:right w:val="nil"/>
              <w:insideH w:val="nil"/>
              <w:insideV w:val="nil"/>
            </w:tcBorders>
            <w:tcMar>
              <w:top w:w="45" w:type="dxa"/>
              <w:left w:w="45" w:type="dxa"/>
              <w:bottom w:w="45" w:type="dxa"/>
              <w:right w:w="45" w:type="dxa"/>
            </w:tcMar>
            <w:vAlign w:val="center"/>
          </w:tcPr>
          <w:p w14:paraId="1D46A42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BC365C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CD7778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C50724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3B2C84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4A289A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254BE9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D68374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500E7B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22815E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7D793D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05E830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CFAC38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408DC5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B1243A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7DCF43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1417" w:type="dxa"/>
            <w:tcBorders>
              <w:top w:val="nil"/>
              <w:left w:val="nil"/>
              <w:bottom w:val="nil"/>
              <w:right w:val="nil"/>
              <w:insideH w:val="nil"/>
              <w:insideV w:val="nil"/>
            </w:tcBorders>
            <w:tcMar>
              <w:top w:w="45" w:type="dxa"/>
              <w:left w:w="45" w:type="dxa"/>
              <w:bottom w:w="45" w:type="dxa"/>
              <w:right w:w="45" w:type="dxa"/>
            </w:tcMar>
            <w:vAlign w:val="center"/>
          </w:tcPr>
          <w:p w14:paraId="6755AFD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Critically low</w:t>
            </w:r>
          </w:p>
        </w:tc>
      </w:tr>
      <w:tr w14:paraId="002B0712">
        <w:tblPrEx>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CellMar>
            <w:top w:w="0" w:type="dxa"/>
            <w:left w:w="108" w:type="dxa"/>
            <w:bottom w:w="0" w:type="dxa"/>
            <w:right w:w="108" w:type="dxa"/>
          </w:tblCellMar>
        </w:tblPrEx>
        <w:trPr>
          <w:cantSplit/>
          <w:trHeight w:val="365" w:hRule="atLeast"/>
          <w:jc w:val="center"/>
        </w:trPr>
        <w:tc>
          <w:tcPr>
            <w:tcW w:w="2174" w:type="dxa"/>
            <w:tcBorders>
              <w:top w:val="nil"/>
              <w:left w:val="nil"/>
              <w:bottom w:val="nil"/>
              <w:right w:val="nil"/>
              <w:insideH w:val="nil"/>
              <w:insideV w:val="nil"/>
            </w:tcBorders>
            <w:tcMar>
              <w:top w:w="45" w:type="dxa"/>
              <w:left w:w="45" w:type="dxa"/>
              <w:bottom w:w="45" w:type="dxa"/>
              <w:right w:w="45" w:type="dxa"/>
            </w:tcMar>
            <w:vAlign w:val="center"/>
          </w:tcPr>
          <w:p w14:paraId="18B283A0">
            <w:pPr>
              <w:keepNext w:val="0"/>
              <w:keepLines w:val="0"/>
              <w:widowControl/>
              <w:suppressLineNumbers w:val="0"/>
              <w:jc w:val="left"/>
              <w:rPr>
                <w:rFonts w:hint="default" w:ascii="Times New Roman" w:hAnsi="Times New Roman" w:eastAsia="宋体" w:cs="Times New Roman"/>
                <w:b w:val="0"/>
                <w:color w:val="000000"/>
                <w:sz w:val="16"/>
                <w:szCs w:val="16"/>
              </w:rPr>
            </w:pPr>
            <w:r>
              <w:rPr>
                <w:rFonts w:hint="default" w:ascii="Times New Roman" w:hAnsi="Times New Roman" w:eastAsia="宋体" w:cs="Times New Roman"/>
                <w:kern w:val="0"/>
                <w:sz w:val="16"/>
                <w:szCs w:val="16"/>
                <w:lang w:val="en-US" w:eastAsia="zh-CN" w:bidi="ar"/>
              </w:rPr>
              <w:t>Grist et al. (2019)</w:t>
            </w:r>
          </w:p>
        </w:tc>
        <w:tc>
          <w:tcPr>
            <w:tcW w:w="589" w:type="dxa"/>
            <w:tcBorders>
              <w:top w:val="nil"/>
              <w:left w:val="nil"/>
              <w:bottom w:val="nil"/>
              <w:right w:val="nil"/>
              <w:insideH w:val="nil"/>
              <w:insideV w:val="nil"/>
            </w:tcBorders>
            <w:tcMar>
              <w:top w:w="45" w:type="dxa"/>
              <w:left w:w="45" w:type="dxa"/>
              <w:bottom w:w="45" w:type="dxa"/>
              <w:right w:w="45" w:type="dxa"/>
            </w:tcMar>
            <w:vAlign w:val="center"/>
          </w:tcPr>
          <w:p w14:paraId="24EA2C8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94C6A9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7BFB64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3FE5A3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68FE4E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997135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2BDA79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F3C5BA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F1BC3D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E29F96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914EE7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6C1BEC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6A38C3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6C9B1E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12D517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5CA53E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1417" w:type="dxa"/>
            <w:tcBorders>
              <w:top w:val="nil"/>
              <w:left w:val="nil"/>
              <w:bottom w:val="nil"/>
              <w:right w:val="nil"/>
              <w:insideH w:val="nil"/>
              <w:insideV w:val="nil"/>
            </w:tcBorders>
            <w:tcMar>
              <w:top w:w="45" w:type="dxa"/>
              <w:left w:w="45" w:type="dxa"/>
              <w:bottom w:w="45" w:type="dxa"/>
              <w:right w:w="45" w:type="dxa"/>
            </w:tcMar>
            <w:vAlign w:val="center"/>
          </w:tcPr>
          <w:p w14:paraId="0F72187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Critically low</w:t>
            </w:r>
          </w:p>
        </w:tc>
      </w:tr>
      <w:tr w14:paraId="6FC5EE65">
        <w:tblPrEx>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CellMar>
            <w:top w:w="0" w:type="dxa"/>
            <w:left w:w="108" w:type="dxa"/>
            <w:bottom w:w="0" w:type="dxa"/>
            <w:right w:w="108" w:type="dxa"/>
          </w:tblCellMar>
        </w:tblPrEx>
        <w:trPr>
          <w:cantSplit/>
          <w:trHeight w:val="365" w:hRule="atLeast"/>
          <w:jc w:val="center"/>
        </w:trPr>
        <w:tc>
          <w:tcPr>
            <w:tcW w:w="2174" w:type="dxa"/>
            <w:tcBorders>
              <w:top w:val="nil"/>
              <w:left w:val="nil"/>
              <w:bottom w:val="nil"/>
              <w:right w:val="nil"/>
              <w:insideH w:val="nil"/>
              <w:insideV w:val="nil"/>
            </w:tcBorders>
            <w:tcMar>
              <w:top w:w="45" w:type="dxa"/>
              <w:left w:w="45" w:type="dxa"/>
              <w:bottom w:w="45" w:type="dxa"/>
              <w:right w:w="45" w:type="dxa"/>
            </w:tcMar>
            <w:vAlign w:val="center"/>
          </w:tcPr>
          <w:p w14:paraId="6C68ACA5">
            <w:pPr>
              <w:keepNext w:val="0"/>
              <w:keepLines w:val="0"/>
              <w:widowControl/>
              <w:suppressLineNumbers w:val="0"/>
              <w:jc w:val="left"/>
              <w:rPr>
                <w:rFonts w:hint="default" w:ascii="Times New Roman" w:hAnsi="Times New Roman" w:eastAsia="宋体" w:cs="Times New Roman"/>
                <w:b w:val="0"/>
                <w:color w:val="000000"/>
                <w:sz w:val="16"/>
                <w:szCs w:val="16"/>
              </w:rPr>
            </w:pPr>
            <w:r>
              <w:rPr>
                <w:rFonts w:hint="default" w:ascii="Times New Roman" w:hAnsi="Times New Roman" w:eastAsia="宋体" w:cs="Times New Roman"/>
                <w:kern w:val="0"/>
                <w:sz w:val="16"/>
                <w:szCs w:val="16"/>
                <w:lang w:val="en-US" w:eastAsia="zh-CN" w:bidi="ar"/>
              </w:rPr>
              <w:t>Välimäki et al. (2017)</w:t>
            </w:r>
          </w:p>
        </w:tc>
        <w:tc>
          <w:tcPr>
            <w:tcW w:w="589" w:type="dxa"/>
            <w:tcBorders>
              <w:top w:val="nil"/>
              <w:left w:val="nil"/>
              <w:bottom w:val="nil"/>
              <w:right w:val="nil"/>
              <w:insideH w:val="nil"/>
              <w:insideV w:val="nil"/>
            </w:tcBorders>
            <w:tcMar>
              <w:top w:w="45" w:type="dxa"/>
              <w:left w:w="45" w:type="dxa"/>
              <w:bottom w:w="45" w:type="dxa"/>
              <w:right w:w="45" w:type="dxa"/>
            </w:tcMar>
            <w:vAlign w:val="center"/>
          </w:tcPr>
          <w:p w14:paraId="6685317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75FBED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D4545A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A77004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F5E03E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EEBC2C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449276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793089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E7B883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86F12C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C1B143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633567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9D93C2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AF93F7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648064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DFE752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1417" w:type="dxa"/>
            <w:tcBorders>
              <w:top w:val="nil"/>
              <w:left w:val="nil"/>
              <w:bottom w:val="nil"/>
              <w:right w:val="nil"/>
              <w:insideH w:val="nil"/>
              <w:insideV w:val="nil"/>
            </w:tcBorders>
            <w:tcMar>
              <w:top w:w="45" w:type="dxa"/>
              <w:left w:w="45" w:type="dxa"/>
              <w:bottom w:w="45" w:type="dxa"/>
              <w:right w:w="45" w:type="dxa"/>
            </w:tcMar>
            <w:vAlign w:val="center"/>
          </w:tcPr>
          <w:p w14:paraId="765442F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Critically low</w:t>
            </w:r>
          </w:p>
        </w:tc>
      </w:tr>
      <w:tr w14:paraId="6C2A1E36">
        <w:tblPrEx>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CellMar>
            <w:top w:w="0" w:type="dxa"/>
            <w:left w:w="108" w:type="dxa"/>
            <w:bottom w:w="0" w:type="dxa"/>
            <w:right w:w="108" w:type="dxa"/>
          </w:tblCellMar>
        </w:tblPrEx>
        <w:trPr>
          <w:cantSplit/>
          <w:trHeight w:val="365" w:hRule="atLeast"/>
          <w:jc w:val="center"/>
        </w:trPr>
        <w:tc>
          <w:tcPr>
            <w:tcW w:w="2174" w:type="dxa"/>
            <w:tcBorders>
              <w:top w:val="nil"/>
              <w:left w:val="nil"/>
              <w:bottom w:val="nil"/>
              <w:right w:val="nil"/>
              <w:insideH w:val="nil"/>
              <w:insideV w:val="nil"/>
            </w:tcBorders>
            <w:tcMar>
              <w:top w:w="45" w:type="dxa"/>
              <w:left w:w="45" w:type="dxa"/>
              <w:bottom w:w="45" w:type="dxa"/>
              <w:right w:w="45" w:type="dxa"/>
            </w:tcMar>
            <w:vAlign w:val="center"/>
          </w:tcPr>
          <w:p w14:paraId="73FBCB9A">
            <w:pPr>
              <w:keepNext w:val="0"/>
              <w:keepLines w:val="0"/>
              <w:widowControl/>
              <w:suppressLineNumbers w:val="0"/>
              <w:jc w:val="left"/>
              <w:rPr>
                <w:rFonts w:hint="default" w:ascii="Times New Roman" w:hAnsi="Times New Roman" w:eastAsia="宋体" w:cs="Times New Roman"/>
                <w:b w:val="0"/>
                <w:color w:val="000000"/>
                <w:sz w:val="16"/>
                <w:szCs w:val="16"/>
              </w:rPr>
            </w:pPr>
            <w:r>
              <w:rPr>
                <w:rFonts w:hint="default" w:ascii="Times New Roman" w:hAnsi="Times New Roman" w:eastAsia="宋体" w:cs="Times New Roman"/>
                <w:kern w:val="0"/>
                <w:sz w:val="16"/>
                <w:szCs w:val="16"/>
                <w:lang w:val="en-US" w:eastAsia="zh-CN" w:bidi="ar"/>
              </w:rPr>
              <w:t>Liu et al. (2024)</w:t>
            </w:r>
          </w:p>
        </w:tc>
        <w:tc>
          <w:tcPr>
            <w:tcW w:w="589" w:type="dxa"/>
            <w:tcBorders>
              <w:top w:val="nil"/>
              <w:left w:val="nil"/>
              <w:bottom w:val="nil"/>
              <w:right w:val="nil"/>
              <w:insideH w:val="nil"/>
              <w:insideV w:val="nil"/>
            </w:tcBorders>
            <w:tcMar>
              <w:top w:w="45" w:type="dxa"/>
              <w:left w:w="45" w:type="dxa"/>
              <w:bottom w:w="45" w:type="dxa"/>
              <w:right w:w="45" w:type="dxa"/>
            </w:tcMar>
            <w:vAlign w:val="center"/>
          </w:tcPr>
          <w:p w14:paraId="72753E4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C90DDD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DCA422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6B212D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AD31A6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83C3E0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4F094F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B91DBD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FBE5E0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2E4647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DE09F1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B1A702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351B83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5162AE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10A390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CD6B04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1417" w:type="dxa"/>
            <w:tcBorders>
              <w:top w:val="nil"/>
              <w:left w:val="nil"/>
              <w:bottom w:val="nil"/>
              <w:right w:val="nil"/>
              <w:insideH w:val="nil"/>
              <w:insideV w:val="nil"/>
            </w:tcBorders>
            <w:tcMar>
              <w:top w:w="45" w:type="dxa"/>
              <w:left w:w="45" w:type="dxa"/>
              <w:bottom w:w="45" w:type="dxa"/>
              <w:right w:w="45" w:type="dxa"/>
            </w:tcMar>
            <w:vAlign w:val="center"/>
          </w:tcPr>
          <w:p w14:paraId="5C56E80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Low</w:t>
            </w:r>
          </w:p>
        </w:tc>
      </w:tr>
      <w:tr w14:paraId="761CEBA0">
        <w:tblPrEx>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CellMar>
            <w:top w:w="0" w:type="dxa"/>
            <w:left w:w="108" w:type="dxa"/>
            <w:bottom w:w="0" w:type="dxa"/>
            <w:right w:w="108" w:type="dxa"/>
          </w:tblCellMar>
        </w:tblPrEx>
        <w:trPr>
          <w:cantSplit/>
          <w:trHeight w:val="365" w:hRule="atLeast"/>
          <w:jc w:val="center"/>
        </w:trPr>
        <w:tc>
          <w:tcPr>
            <w:tcW w:w="2174" w:type="dxa"/>
            <w:tcBorders>
              <w:top w:val="nil"/>
              <w:left w:val="nil"/>
              <w:bottom w:val="nil"/>
              <w:right w:val="nil"/>
              <w:insideH w:val="nil"/>
              <w:insideV w:val="nil"/>
            </w:tcBorders>
            <w:tcMar>
              <w:top w:w="45" w:type="dxa"/>
              <w:left w:w="45" w:type="dxa"/>
              <w:bottom w:w="45" w:type="dxa"/>
              <w:right w:w="45" w:type="dxa"/>
            </w:tcMar>
            <w:vAlign w:val="center"/>
          </w:tcPr>
          <w:p w14:paraId="4DFE10D6">
            <w:pPr>
              <w:keepNext w:val="0"/>
              <w:keepLines w:val="0"/>
              <w:widowControl/>
              <w:suppressLineNumbers w:val="0"/>
              <w:jc w:val="left"/>
              <w:rPr>
                <w:rFonts w:hint="default" w:ascii="Times New Roman" w:hAnsi="Times New Roman" w:eastAsia="宋体" w:cs="Times New Roman"/>
                <w:b w:val="0"/>
                <w:color w:val="000000"/>
                <w:sz w:val="16"/>
                <w:szCs w:val="16"/>
              </w:rPr>
            </w:pPr>
            <w:r>
              <w:rPr>
                <w:rFonts w:hint="default" w:ascii="Times New Roman" w:hAnsi="Times New Roman" w:eastAsia="宋体" w:cs="Times New Roman"/>
                <w:kern w:val="0"/>
                <w:sz w:val="16"/>
                <w:szCs w:val="16"/>
                <w:lang w:val="en-US" w:eastAsia="zh-CN" w:bidi="ar"/>
              </w:rPr>
              <w:t>Townsend et al. (2022)</w:t>
            </w:r>
          </w:p>
        </w:tc>
        <w:tc>
          <w:tcPr>
            <w:tcW w:w="589" w:type="dxa"/>
            <w:tcBorders>
              <w:top w:val="nil"/>
              <w:left w:val="nil"/>
              <w:bottom w:val="nil"/>
              <w:right w:val="nil"/>
              <w:insideH w:val="nil"/>
              <w:insideV w:val="nil"/>
            </w:tcBorders>
            <w:tcMar>
              <w:top w:w="45" w:type="dxa"/>
              <w:left w:w="45" w:type="dxa"/>
              <w:bottom w:w="45" w:type="dxa"/>
              <w:right w:w="45" w:type="dxa"/>
            </w:tcMar>
            <w:vAlign w:val="center"/>
          </w:tcPr>
          <w:p w14:paraId="2B9BBDE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26F1E7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6E3B94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C75122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470BBA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59AAB8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2AEB3B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283C71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C94D68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C4EC6B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5EF7F1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0DCC26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0B8839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CD9BC0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08E7F5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7894A5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1417" w:type="dxa"/>
            <w:tcBorders>
              <w:top w:val="nil"/>
              <w:left w:val="nil"/>
              <w:bottom w:val="nil"/>
              <w:right w:val="nil"/>
              <w:insideH w:val="nil"/>
              <w:insideV w:val="nil"/>
            </w:tcBorders>
            <w:tcMar>
              <w:top w:w="45" w:type="dxa"/>
              <w:left w:w="45" w:type="dxa"/>
              <w:bottom w:w="45" w:type="dxa"/>
              <w:right w:w="45" w:type="dxa"/>
            </w:tcMar>
            <w:vAlign w:val="center"/>
          </w:tcPr>
          <w:p w14:paraId="6D5EF87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Critically low</w:t>
            </w:r>
          </w:p>
        </w:tc>
      </w:tr>
      <w:tr w14:paraId="3E70265F">
        <w:tblPrEx>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CellMar>
            <w:top w:w="0" w:type="dxa"/>
            <w:left w:w="108" w:type="dxa"/>
            <w:bottom w:w="0" w:type="dxa"/>
            <w:right w:w="108" w:type="dxa"/>
          </w:tblCellMar>
        </w:tblPrEx>
        <w:trPr>
          <w:cantSplit/>
          <w:trHeight w:val="365" w:hRule="atLeast"/>
          <w:jc w:val="center"/>
        </w:trPr>
        <w:tc>
          <w:tcPr>
            <w:tcW w:w="2174" w:type="dxa"/>
            <w:tcBorders>
              <w:top w:val="nil"/>
              <w:left w:val="nil"/>
              <w:bottom w:val="nil"/>
              <w:right w:val="nil"/>
              <w:insideH w:val="nil"/>
              <w:insideV w:val="nil"/>
            </w:tcBorders>
            <w:tcMar>
              <w:top w:w="45" w:type="dxa"/>
              <w:left w:w="45" w:type="dxa"/>
              <w:bottom w:w="45" w:type="dxa"/>
              <w:right w:w="45" w:type="dxa"/>
            </w:tcMar>
            <w:vAlign w:val="center"/>
          </w:tcPr>
          <w:p w14:paraId="0ED98B7F">
            <w:pPr>
              <w:keepNext w:val="0"/>
              <w:keepLines w:val="0"/>
              <w:widowControl/>
              <w:suppressLineNumbers w:val="0"/>
              <w:jc w:val="left"/>
              <w:rPr>
                <w:rFonts w:hint="default" w:ascii="Times New Roman" w:hAnsi="Times New Roman" w:eastAsia="宋体" w:cs="Times New Roman"/>
                <w:b w:val="0"/>
                <w:color w:val="000000"/>
                <w:sz w:val="16"/>
                <w:szCs w:val="16"/>
              </w:rPr>
            </w:pPr>
            <w:r>
              <w:rPr>
                <w:rFonts w:hint="default" w:ascii="Times New Roman" w:hAnsi="Times New Roman" w:eastAsia="宋体" w:cs="Times New Roman"/>
                <w:kern w:val="0"/>
                <w:sz w:val="16"/>
                <w:szCs w:val="16"/>
                <w:lang w:val="en-US" w:eastAsia="zh-CN" w:bidi="ar"/>
              </w:rPr>
              <w:t>Garrido et al. (2019)</w:t>
            </w:r>
          </w:p>
        </w:tc>
        <w:tc>
          <w:tcPr>
            <w:tcW w:w="589" w:type="dxa"/>
            <w:tcBorders>
              <w:top w:val="nil"/>
              <w:left w:val="nil"/>
              <w:bottom w:val="nil"/>
              <w:right w:val="nil"/>
              <w:insideH w:val="nil"/>
              <w:insideV w:val="nil"/>
            </w:tcBorders>
            <w:tcMar>
              <w:top w:w="45" w:type="dxa"/>
              <w:left w:w="45" w:type="dxa"/>
              <w:bottom w:w="45" w:type="dxa"/>
              <w:right w:w="45" w:type="dxa"/>
            </w:tcMar>
            <w:vAlign w:val="center"/>
          </w:tcPr>
          <w:p w14:paraId="5CF4386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E597A9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CAB2D7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BBAE41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E1B63B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C504D8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1B0235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2B9CAD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2A9246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CC20C6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9C4FC8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2AC0DF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64B3D9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AF48A7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3E2A0F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A34504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1417" w:type="dxa"/>
            <w:tcBorders>
              <w:top w:val="nil"/>
              <w:left w:val="nil"/>
              <w:bottom w:val="nil"/>
              <w:right w:val="nil"/>
              <w:insideH w:val="nil"/>
              <w:insideV w:val="nil"/>
            </w:tcBorders>
            <w:tcMar>
              <w:top w:w="45" w:type="dxa"/>
              <w:left w:w="45" w:type="dxa"/>
              <w:bottom w:w="45" w:type="dxa"/>
              <w:right w:w="45" w:type="dxa"/>
            </w:tcMar>
            <w:vAlign w:val="center"/>
          </w:tcPr>
          <w:p w14:paraId="1EE55DB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Critically low</w:t>
            </w:r>
          </w:p>
        </w:tc>
      </w:tr>
      <w:tr w14:paraId="6F805BE9">
        <w:tblPrEx>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CellMar>
            <w:top w:w="0" w:type="dxa"/>
            <w:left w:w="108" w:type="dxa"/>
            <w:bottom w:w="0" w:type="dxa"/>
            <w:right w:w="108" w:type="dxa"/>
          </w:tblCellMar>
        </w:tblPrEx>
        <w:trPr>
          <w:cantSplit/>
          <w:trHeight w:val="365" w:hRule="atLeast"/>
          <w:jc w:val="center"/>
        </w:trPr>
        <w:tc>
          <w:tcPr>
            <w:tcW w:w="2174" w:type="dxa"/>
            <w:tcBorders>
              <w:top w:val="nil"/>
              <w:left w:val="nil"/>
              <w:bottom w:val="nil"/>
              <w:right w:val="nil"/>
              <w:insideH w:val="nil"/>
              <w:insideV w:val="nil"/>
            </w:tcBorders>
            <w:tcMar>
              <w:top w:w="45" w:type="dxa"/>
              <w:left w:w="45" w:type="dxa"/>
              <w:bottom w:w="45" w:type="dxa"/>
              <w:right w:w="45" w:type="dxa"/>
            </w:tcMar>
            <w:vAlign w:val="center"/>
          </w:tcPr>
          <w:p w14:paraId="212B1A63">
            <w:pPr>
              <w:keepNext w:val="0"/>
              <w:keepLines w:val="0"/>
              <w:widowControl/>
              <w:suppressLineNumbers w:val="0"/>
              <w:jc w:val="left"/>
              <w:rPr>
                <w:rFonts w:hint="default" w:ascii="Times New Roman" w:hAnsi="Times New Roman" w:eastAsia="宋体" w:cs="Times New Roman"/>
                <w:b w:val="0"/>
                <w:color w:val="000000"/>
                <w:sz w:val="16"/>
                <w:szCs w:val="16"/>
              </w:rPr>
            </w:pPr>
            <w:r>
              <w:rPr>
                <w:rFonts w:hint="default" w:ascii="Times New Roman" w:hAnsi="Times New Roman" w:eastAsia="宋体" w:cs="Times New Roman"/>
                <w:kern w:val="0"/>
                <w:sz w:val="16"/>
                <w:szCs w:val="16"/>
                <w:lang w:val="en-US" w:eastAsia="zh-CN" w:bidi="ar"/>
              </w:rPr>
              <w:t>Ye et al. (2014)</w:t>
            </w:r>
          </w:p>
        </w:tc>
        <w:tc>
          <w:tcPr>
            <w:tcW w:w="589" w:type="dxa"/>
            <w:tcBorders>
              <w:top w:val="nil"/>
              <w:left w:val="nil"/>
              <w:bottom w:val="nil"/>
              <w:right w:val="nil"/>
              <w:insideH w:val="nil"/>
              <w:insideV w:val="nil"/>
            </w:tcBorders>
            <w:tcMar>
              <w:top w:w="45" w:type="dxa"/>
              <w:left w:w="45" w:type="dxa"/>
              <w:bottom w:w="45" w:type="dxa"/>
              <w:right w:w="45" w:type="dxa"/>
            </w:tcMar>
            <w:vAlign w:val="center"/>
          </w:tcPr>
          <w:p w14:paraId="4F5A9D7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F412A4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26DE84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BE9B1D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9F3E3F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C7A2D5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583326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CC7589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DCFE0A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988ED9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B2E75C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8CA283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EDA0E5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C52F9F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6F74E1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E87149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1417" w:type="dxa"/>
            <w:tcBorders>
              <w:top w:val="nil"/>
              <w:left w:val="nil"/>
              <w:bottom w:val="nil"/>
              <w:right w:val="nil"/>
              <w:insideH w:val="nil"/>
              <w:insideV w:val="nil"/>
            </w:tcBorders>
            <w:tcMar>
              <w:top w:w="45" w:type="dxa"/>
              <w:left w:w="45" w:type="dxa"/>
              <w:bottom w:w="45" w:type="dxa"/>
              <w:right w:w="45" w:type="dxa"/>
            </w:tcMar>
            <w:vAlign w:val="center"/>
          </w:tcPr>
          <w:p w14:paraId="4893E69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Critically low</w:t>
            </w:r>
          </w:p>
        </w:tc>
      </w:tr>
      <w:tr w14:paraId="729DCD27">
        <w:tblPrEx>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CellMar>
            <w:top w:w="0" w:type="dxa"/>
            <w:left w:w="108" w:type="dxa"/>
            <w:bottom w:w="0" w:type="dxa"/>
            <w:right w:w="108" w:type="dxa"/>
          </w:tblCellMar>
        </w:tblPrEx>
        <w:trPr>
          <w:cantSplit/>
          <w:trHeight w:val="365" w:hRule="atLeast"/>
          <w:jc w:val="center"/>
        </w:trPr>
        <w:tc>
          <w:tcPr>
            <w:tcW w:w="2174" w:type="dxa"/>
            <w:tcBorders>
              <w:top w:val="nil"/>
              <w:left w:val="nil"/>
              <w:bottom w:val="nil"/>
              <w:right w:val="nil"/>
              <w:insideH w:val="nil"/>
              <w:insideV w:val="nil"/>
            </w:tcBorders>
            <w:tcMar>
              <w:top w:w="45" w:type="dxa"/>
              <w:left w:w="45" w:type="dxa"/>
              <w:bottom w:w="45" w:type="dxa"/>
              <w:right w:w="45" w:type="dxa"/>
            </w:tcMar>
            <w:vAlign w:val="center"/>
          </w:tcPr>
          <w:p w14:paraId="0EFD4A43">
            <w:pPr>
              <w:keepNext w:val="0"/>
              <w:keepLines w:val="0"/>
              <w:widowControl/>
              <w:suppressLineNumbers w:val="0"/>
              <w:jc w:val="left"/>
              <w:rPr>
                <w:rFonts w:hint="default" w:ascii="Times New Roman" w:hAnsi="Times New Roman" w:eastAsia="宋体" w:cs="Times New Roman"/>
                <w:b w:val="0"/>
                <w:color w:val="000000"/>
                <w:sz w:val="16"/>
                <w:szCs w:val="16"/>
              </w:rPr>
            </w:pPr>
            <w:r>
              <w:rPr>
                <w:rFonts w:hint="default" w:ascii="Times New Roman" w:hAnsi="Times New Roman" w:eastAsia="宋体" w:cs="Times New Roman"/>
                <w:kern w:val="0"/>
                <w:sz w:val="16"/>
                <w:szCs w:val="16"/>
                <w:lang w:val="en-US" w:eastAsia="zh-CN" w:bidi="ar"/>
              </w:rPr>
              <w:t>Lin et al. (2026)</w:t>
            </w:r>
          </w:p>
        </w:tc>
        <w:tc>
          <w:tcPr>
            <w:tcW w:w="589" w:type="dxa"/>
            <w:tcBorders>
              <w:top w:val="nil"/>
              <w:left w:val="nil"/>
              <w:bottom w:val="nil"/>
              <w:right w:val="nil"/>
              <w:insideH w:val="nil"/>
              <w:insideV w:val="nil"/>
            </w:tcBorders>
            <w:tcMar>
              <w:top w:w="45" w:type="dxa"/>
              <w:left w:w="45" w:type="dxa"/>
              <w:bottom w:w="45" w:type="dxa"/>
              <w:right w:w="45" w:type="dxa"/>
            </w:tcMar>
            <w:vAlign w:val="center"/>
          </w:tcPr>
          <w:p w14:paraId="2FC9833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2F8392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408DEC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D665E9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028CC6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CB14E8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0196C1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1394F4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24F1C8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CD62E1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CA572D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C50B4E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162A35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7C833D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642A3E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B7F0E5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1417" w:type="dxa"/>
            <w:tcBorders>
              <w:top w:val="nil"/>
              <w:left w:val="nil"/>
              <w:bottom w:val="nil"/>
              <w:right w:val="nil"/>
              <w:insideH w:val="nil"/>
              <w:insideV w:val="nil"/>
            </w:tcBorders>
            <w:tcMar>
              <w:top w:w="45" w:type="dxa"/>
              <w:left w:w="45" w:type="dxa"/>
              <w:bottom w:w="45" w:type="dxa"/>
              <w:right w:w="45" w:type="dxa"/>
            </w:tcMar>
            <w:vAlign w:val="center"/>
          </w:tcPr>
          <w:p w14:paraId="500A874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Critically low</w:t>
            </w:r>
          </w:p>
        </w:tc>
      </w:tr>
      <w:tr w14:paraId="25A5716E">
        <w:tblPrEx>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CellMar>
            <w:top w:w="0" w:type="dxa"/>
            <w:left w:w="108" w:type="dxa"/>
            <w:bottom w:w="0" w:type="dxa"/>
            <w:right w:w="108" w:type="dxa"/>
          </w:tblCellMar>
        </w:tblPrEx>
        <w:trPr>
          <w:cantSplit/>
          <w:trHeight w:val="365" w:hRule="atLeast"/>
          <w:jc w:val="center"/>
        </w:trPr>
        <w:tc>
          <w:tcPr>
            <w:tcW w:w="2174" w:type="dxa"/>
            <w:tcBorders>
              <w:top w:val="nil"/>
              <w:left w:val="nil"/>
              <w:bottom w:val="nil"/>
              <w:right w:val="nil"/>
              <w:insideH w:val="nil"/>
              <w:insideV w:val="nil"/>
            </w:tcBorders>
            <w:tcMar>
              <w:top w:w="45" w:type="dxa"/>
              <w:left w:w="45" w:type="dxa"/>
              <w:bottom w:w="45" w:type="dxa"/>
              <w:right w:w="45" w:type="dxa"/>
            </w:tcMar>
            <w:vAlign w:val="center"/>
          </w:tcPr>
          <w:p w14:paraId="6A1B4280">
            <w:pPr>
              <w:keepNext w:val="0"/>
              <w:keepLines w:val="0"/>
              <w:widowControl/>
              <w:suppressLineNumbers w:val="0"/>
              <w:jc w:val="left"/>
              <w:rPr>
                <w:rFonts w:hint="default" w:ascii="Times New Roman" w:hAnsi="Times New Roman" w:eastAsia="宋体" w:cs="Times New Roman"/>
                <w:b w:val="0"/>
                <w:color w:val="000000"/>
                <w:sz w:val="16"/>
                <w:szCs w:val="16"/>
              </w:rPr>
            </w:pPr>
            <w:r>
              <w:rPr>
                <w:rFonts w:hint="default" w:ascii="Times New Roman" w:hAnsi="Times New Roman" w:eastAsia="宋体" w:cs="Times New Roman"/>
                <w:kern w:val="0"/>
                <w:sz w:val="16"/>
                <w:szCs w:val="16"/>
                <w:lang w:val="en-US" w:eastAsia="zh-CN" w:bidi="ar"/>
              </w:rPr>
              <w:t>Sathe et al. (2026)</w:t>
            </w:r>
          </w:p>
        </w:tc>
        <w:tc>
          <w:tcPr>
            <w:tcW w:w="589" w:type="dxa"/>
            <w:tcBorders>
              <w:top w:val="nil"/>
              <w:left w:val="nil"/>
              <w:bottom w:val="nil"/>
              <w:right w:val="nil"/>
              <w:insideH w:val="nil"/>
              <w:insideV w:val="nil"/>
            </w:tcBorders>
            <w:tcMar>
              <w:top w:w="45" w:type="dxa"/>
              <w:left w:w="45" w:type="dxa"/>
              <w:bottom w:w="45" w:type="dxa"/>
              <w:right w:w="45" w:type="dxa"/>
            </w:tcMar>
            <w:vAlign w:val="center"/>
          </w:tcPr>
          <w:p w14:paraId="283ECB3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4E4E15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F7FD9B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F3C07F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60C435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89935B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2976DC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58C19E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1A78FC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0490C2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93E155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C179BB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AD79C9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EAFE4C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D22EB9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22BAEB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1417" w:type="dxa"/>
            <w:tcBorders>
              <w:top w:val="nil"/>
              <w:left w:val="nil"/>
              <w:bottom w:val="nil"/>
              <w:right w:val="nil"/>
              <w:insideH w:val="nil"/>
              <w:insideV w:val="nil"/>
            </w:tcBorders>
            <w:tcMar>
              <w:top w:w="45" w:type="dxa"/>
              <w:left w:w="45" w:type="dxa"/>
              <w:bottom w:w="45" w:type="dxa"/>
              <w:right w:w="45" w:type="dxa"/>
            </w:tcMar>
            <w:vAlign w:val="center"/>
          </w:tcPr>
          <w:p w14:paraId="6DAC40D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Low</w:t>
            </w:r>
          </w:p>
        </w:tc>
      </w:tr>
      <w:tr w14:paraId="5280848F">
        <w:tblPrEx>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CellMar>
            <w:top w:w="0" w:type="dxa"/>
            <w:left w:w="108" w:type="dxa"/>
            <w:bottom w:w="0" w:type="dxa"/>
            <w:right w:w="108" w:type="dxa"/>
          </w:tblCellMar>
        </w:tblPrEx>
        <w:trPr>
          <w:cantSplit/>
          <w:trHeight w:val="365" w:hRule="atLeast"/>
          <w:jc w:val="center"/>
        </w:trPr>
        <w:tc>
          <w:tcPr>
            <w:tcW w:w="2174" w:type="dxa"/>
            <w:tcBorders>
              <w:top w:val="nil"/>
              <w:left w:val="nil"/>
              <w:bottom w:val="nil"/>
              <w:right w:val="nil"/>
              <w:insideH w:val="nil"/>
              <w:insideV w:val="nil"/>
            </w:tcBorders>
            <w:tcMar>
              <w:top w:w="45" w:type="dxa"/>
              <w:left w:w="45" w:type="dxa"/>
              <w:bottom w:w="45" w:type="dxa"/>
              <w:right w:w="45" w:type="dxa"/>
            </w:tcMar>
            <w:vAlign w:val="center"/>
          </w:tcPr>
          <w:p w14:paraId="05FD0B11">
            <w:pPr>
              <w:keepNext w:val="0"/>
              <w:keepLines w:val="0"/>
              <w:widowControl/>
              <w:suppressLineNumbers w:val="0"/>
              <w:jc w:val="left"/>
              <w:rPr>
                <w:rFonts w:hint="default" w:ascii="Times New Roman" w:hAnsi="Times New Roman" w:eastAsia="宋体" w:cs="Times New Roman"/>
                <w:b w:val="0"/>
                <w:color w:val="000000"/>
                <w:sz w:val="16"/>
                <w:szCs w:val="16"/>
              </w:rPr>
            </w:pPr>
            <w:r>
              <w:rPr>
                <w:rFonts w:hint="default" w:ascii="Times New Roman" w:hAnsi="Times New Roman" w:eastAsia="宋体" w:cs="Times New Roman"/>
                <w:kern w:val="0"/>
                <w:sz w:val="16"/>
                <w:szCs w:val="16"/>
                <w:lang w:val="en-US" w:eastAsia="zh-CN" w:bidi="ar"/>
              </w:rPr>
              <w:t>Bevilacqua et al. (2024)</w:t>
            </w:r>
          </w:p>
        </w:tc>
        <w:tc>
          <w:tcPr>
            <w:tcW w:w="589" w:type="dxa"/>
            <w:tcBorders>
              <w:top w:val="nil"/>
              <w:left w:val="nil"/>
              <w:bottom w:val="nil"/>
              <w:right w:val="nil"/>
              <w:insideH w:val="nil"/>
              <w:insideV w:val="nil"/>
            </w:tcBorders>
            <w:tcMar>
              <w:top w:w="45" w:type="dxa"/>
              <w:left w:w="45" w:type="dxa"/>
              <w:bottom w:w="45" w:type="dxa"/>
              <w:right w:w="45" w:type="dxa"/>
            </w:tcMar>
            <w:vAlign w:val="center"/>
          </w:tcPr>
          <w:p w14:paraId="6CC88FE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98260A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F40F32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E29960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5C19D7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A858E5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222A89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0CDA5D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FC1C82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8BF4BE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414380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9247EF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6AD5B7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4AC578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EAF838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AB0B92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1417" w:type="dxa"/>
            <w:tcBorders>
              <w:top w:val="nil"/>
              <w:left w:val="nil"/>
              <w:bottom w:val="nil"/>
              <w:right w:val="nil"/>
              <w:insideH w:val="nil"/>
              <w:insideV w:val="nil"/>
            </w:tcBorders>
            <w:tcMar>
              <w:top w:w="45" w:type="dxa"/>
              <w:left w:w="45" w:type="dxa"/>
              <w:bottom w:w="45" w:type="dxa"/>
              <w:right w:w="45" w:type="dxa"/>
            </w:tcMar>
            <w:vAlign w:val="center"/>
          </w:tcPr>
          <w:p w14:paraId="619EB70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Critically low</w:t>
            </w:r>
          </w:p>
        </w:tc>
      </w:tr>
      <w:tr w14:paraId="2ED66BFD">
        <w:tblPrEx>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CellMar>
            <w:top w:w="0" w:type="dxa"/>
            <w:left w:w="108" w:type="dxa"/>
            <w:bottom w:w="0" w:type="dxa"/>
            <w:right w:w="108" w:type="dxa"/>
          </w:tblCellMar>
        </w:tblPrEx>
        <w:trPr>
          <w:cantSplit/>
          <w:trHeight w:val="365" w:hRule="atLeast"/>
          <w:jc w:val="center"/>
        </w:trPr>
        <w:tc>
          <w:tcPr>
            <w:tcW w:w="2174" w:type="dxa"/>
            <w:tcBorders>
              <w:top w:val="nil"/>
              <w:left w:val="nil"/>
              <w:bottom w:val="nil"/>
              <w:right w:val="nil"/>
              <w:insideH w:val="nil"/>
              <w:insideV w:val="nil"/>
            </w:tcBorders>
            <w:tcMar>
              <w:top w:w="45" w:type="dxa"/>
              <w:left w:w="45" w:type="dxa"/>
              <w:bottom w:w="45" w:type="dxa"/>
              <w:right w:w="45" w:type="dxa"/>
            </w:tcMar>
            <w:vAlign w:val="center"/>
          </w:tcPr>
          <w:p w14:paraId="60526137">
            <w:pPr>
              <w:keepNext w:val="0"/>
              <w:keepLines w:val="0"/>
              <w:widowControl/>
              <w:suppressLineNumbers w:val="0"/>
              <w:jc w:val="left"/>
              <w:rPr>
                <w:rFonts w:hint="default" w:ascii="Times New Roman" w:hAnsi="Times New Roman" w:eastAsia="宋体" w:cs="Times New Roman"/>
                <w:b w:val="0"/>
                <w:color w:val="000000"/>
                <w:sz w:val="16"/>
                <w:szCs w:val="16"/>
              </w:rPr>
            </w:pPr>
            <w:r>
              <w:rPr>
                <w:rFonts w:hint="default" w:ascii="Times New Roman" w:hAnsi="Times New Roman" w:eastAsia="宋体" w:cs="Times New Roman"/>
                <w:kern w:val="0"/>
                <w:sz w:val="16"/>
                <w:szCs w:val="16"/>
                <w:lang w:val="en-US" w:eastAsia="zh-CN" w:bidi="ar"/>
              </w:rPr>
              <w:t>Tian et al. (2025)</w:t>
            </w:r>
          </w:p>
        </w:tc>
        <w:tc>
          <w:tcPr>
            <w:tcW w:w="589" w:type="dxa"/>
            <w:tcBorders>
              <w:top w:val="nil"/>
              <w:left w:val="nil"/>
              <w:bottom w:val="nil"/>
              <w:right w:val="nil"/>
              <w:insideH w:val="nil"/>
              <w:insideV w:val="nil"/>
            </w:tcBorders>
            <w:tcMar>
              <w:top w:w="45" w:type="dxa"/>
              <w:left w:w="45" w:type="dxa"/>
              <w:bottom w:w="45" w:type="dxa"/>
              <w:right w:w="45" w:type="dxa"/>
            </w:tcMar>
            <w:vAlign w:val="center"/>
          </w:tcPr>
          <w:p w14:paraId="43111AC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E37087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33E06A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1D3D3D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ED7348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7A0847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68A4CC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D73B75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0F482A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F12F24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309AD7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441885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56309F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893A34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994F15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EE4E3F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1417" w:type="dxa"/>
            <w:tcBorders>
              <w:top w:val="nil"/>
              <w:left w:val="nil"/>
              <w:bottom w:val="nil"/>
              <w:right w:val="nil"/>
              <w:insideH w:val="nil"/>
              <w:insideV w:val="nil"/>
            </w:tcBorders>
            <w:tcMar>
              <w:top w:w="45" w:type="dxa"/>
              <w:left w:w="45" w:type="dxa"/>
              <w:bottom w:w="45" w:type="dxa"/>
              <w:right w:w="45" w:type="dxa"/>
            </w:tcMar>
            <w:vAlign w:val="center"/>
          </w:tcPr>
          <w:p w14:paraId="51A4A2A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Critically low</w:t>
            </w:r>
          </w:p>
        </w:tc>
      </w:tr>
      <w:tr w14:paraId="01140DA2">
        <w:tblPrEx>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CellMar>
            <w:top w:w="0" w:type="dxa"/>
            <w:left w:w="108" w:type="dxa"/>
            <w:bottom w:w="0" w:type="dxa"/>
            <w:right w:w="108" w:type="dxa"/>
          </w:tblCellMar>
        </w:tblPrEx>
        <w:trPr>
          <w:cantSplit/>
          <w:trHeight w:val="365" w:hRule="atLeast"/>
          <w:jc w:val="center"/>
        </w:trPr>
        <w:tc>
          <w:tcPr>
            <w:tcW w:w="2174" w:type="dxa"/>
            <w:tcBorders>
              <w:top w:val="nil"/>
              <w:left w:val="nil"/>
              <w:bottom w:val="nil"/>
              <w:right w:val="nil"/>
              <w:insideH w:val="nil"/>
              <w:insideV w:val="nil"/>
            </w:tcBorders>
            <w:tcMar>
              <w:top w:w="45" w:type="dxa"/>
              <w:left w:w="45" w:type="dxa"/>
              <w:bottom w:w="45" w:type="dxa"/>
              <w:right w:w="45" w:type="dxa"/>
            </w:tcMar>
            <w:vAlign w:val="center"/>
          </w:tcPr>
          <w:p w14:paraId="46F4A2DC">
            <w:pPr>
              <w:keepNext w:val="0"/>
              <w:keepLines w:val="0"/>
              <w:widowControl/>
              <w:suppressLineNumbers w:val="0"/>
              <w:jc w:val="left"/>
              <w:rPr>
                <w:rFonts w:hint="default" w:ascii="Times New Roman" w:hAnsi="Times New Roman" w:eastAsia="宋体" w:cs="Times New Roman"/>
                <w:b w:val="0"/>
                <w:color w:val="000000"/>
                <w:sz w:val="16"/>
                <w:szCs w:val="16"/>
              </w:rPr>
            </w:pPr>
            <w:r>
              <w:rPr>
                <w:rFonts w:hint="default" w:ascii="Times New Roman" w:hAnsi="Times New Roman" w:eastAsia="宋体" w:cs="Times New Roman"/>
                <w:kern w:val="0"/>
                <w:sz w:val="16"/>
                <w:szCs w:val="16"/>
                <w:lang w:val="en-US" w:eastAsia="zh-CN" w:bidi="ar"/>
              </w:rPr>
              <w:t>Reangsing et al. (2023)</w:t>
            </w:r>
          </w:p>
        </w:tc>
        <w:tc>
          <w:tcPr>
            <w:tcW w:w="589" w:type="dxa"/>
            <w:tcBorders>
              <w:top w:val="nil"/>
              <w:left w:val="nil"/>
              <w:bottom w:val="nil"/>
              <w:right w:val="nil"/>
              <w:insideH w:val="nil"/>
              <w:insideV w:val="nil"/>
            </w:tcBorders>
            <w:tcMar>
              <w:top w:w="45" w:type="dxa"/>
              <w:left w:w="45" w:type="dxa"/>
              <w:bottom w:w="45" w:type="dxa"/>
              <w:right w:w="45" w:type="dxa"/>
            </w:tcMar>
            <w:vAlign w:val="center"/>
          </w:tcPr>
          <w:p w14:paraId="261FF3A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E8FE4C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F9B93C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722AB2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D04D2C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DDA130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AAB62E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B40AAF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9CB6D8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2A6EA3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3A1CF3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48524F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79C867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5A9714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52BA28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20EA34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1417" w:type="dxa"/>
            <w:tcBorders>
              <w:top w:val="nil"/>
              <w:left w:val="nil"/>
              <w:bottom w:val="nil"/>
              <w:right w:val="nil"/>
              <w:insideH w:val="nil"/>
              <w:insideV w:val="nil"/>
            </w:tcBorders>
            <w:tcMar>
              <w:top w:w="45" w:type="dxa"/>
              <w:left w:w="45" w:type="dxa"/>
              <w:bottom w:w="45" w:type="dxa"/>
              <w:right w:w="45" w:type="dxa"/>
            </w:tcMar>
            <w:vAlign w:val="center"/>
          </w:tcPr>
          <w:p w14:paraId="65C639F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Critically low</w:t>
            </w:r>
          </w:p>
        </w:tc>
      </w:tr>
      <w:tr w14:paraId="7A4FB4A7">
        <w:tblPrEx>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CellMar>
            <w:top w:w="0" w:type="dxa"/>
            <w:left w:w="108" w:type="dxa"/>
            <w:bottom w:w="0" w:type="dxa"/>
            <w:right w:w="108" w:type="dxa"/>
          </w:tblCellMar>
        </w:tblPrEx>
        <w:trPr>
          <w:cantSplit/>
          <w:trHeight w:val="365" w:hRule="atLeast"/>
          <w:jc w:val="center"/>
        </w:trPr>
        <w:tc>
          <w:tcPr>
            <w:tcW w:w="2174" w:type="dxa"/>
            <w:tcBorders>
              <w:top w:val="nil"/>
              <w:left w:val="nil"/>
              <w:bottom w:val="nil"/>
              <w:right w:val="nil"/>
              <w:insideH w:val="nil"/>
              <w:insideV w:val="nil"/>
            </w:tcBorders>
            <w:tcMar>
              <w:top w:w="45" w:type="dxa"/>
              <w:left w:w="45" w:type="dxa"/>
              <w:bottom w:w="45" w:type="dxa"/>
              <w:right w:w="45" w:type="dxa"/>
            </w:tcMar>
            <w:vAlign w:val="center"/>
          </w:tcPr>
          <w:p w14:paraId="63DF9B52">
            <w:pPr>
              <w:keepNext w:val="0"/>
              <w:keepLines w:val="0"/>
              <w:widowControl/>
              <w:suppressLineNumbers w:val="0"/>
              <w:jc w:val="left"/>
              <w:rPr>
                <w:rFonts w:hint="default" w:ascii="Times New Roman" w:hAnsi="Times New Roman" w:eastAsia="宋体" w:cs="Times New Roman"/>
                <w:b w:val="0"/>
                <w:color w:val="000000"/>
                <w:sz w:val="16"/>
                <w:szCs w:val="16"/>
              </w:rPr>
            </w:pPr>
            <w:r>
              <w:rPr>
                <w:rFonts w:hint="default" w:ascii="Times New Roman" w:hAnsi="Times New Roman" w:eastAsia="宋体" w:cs="Times New Roman"/>
                <w:kern w:val="0"/>
                <w:sz w:val="16"/>
                <w:szCs w:val="16"/>
                <w:lang w:val="en-US" w:eastAsia="zh-CN" w:bidi="ar"/>
              </w:rPr>
              <w:t>Bryant et al. (2024)</w:t>
            </w:r>
          </w:p>
        </w:tc>
        <w:tc>
          <w:tcPr>
            <w:tcW w:w="589" w:type="dxa"/>
            <w:tcBorders>
              <w:top w:val="nil"/>
              <w:left w:val="nil"/>
              <w:bottom w:val="nil"/>
              <w:right w:val="nil"/>
              <w:insideH w:val="nil"/>
              <w:insideV w:val="nil"/>
            </w:tcBorders>
            <w:tcMar>
              <w:top w:w="45" w:type="dxa"/>
              <w:left w:w="45" w:type="dxa"/>
              <w:bottom w:w="45" w:type="dxa"/>
              <w:right w:w="45" w:type="dxa"/>
            </w:tcMar>
            <w:vAlign w:val="center"/>
          </w:tcPr>
          <w:p w14:paraId="164EDD1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1E1163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284B76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BC709B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9A6D98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097EC0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32700B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07382C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8EED3F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6797C7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8E03B4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BCB6FF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BB258F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1BD25E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105B20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490960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1417" w:type="dxa"/>
            <w:tcBorders>
              <w:top w:val="nil"/>
              <w:left w:val="nil"/>
              <w:bottom w:val="nil"/>
              <w:right w:val="nil"/>
              <w:insideH w:val="nil"/>
              <w:insideV w:val="nil"/>
            </w:tcBorders>
            <w:tcMar>
              <w:top w:w="45" w:type="dxa"/>
              <w:left w:w="45" w:type="dxa"/>
              <w:bottom w:w="45" w:type="dxa"/>
              <w:right w:w="45" w:type="dxa"/>
            </w:tcMar>
            <w:vAlign w:val="center"/>
          </w:tcPr>
          <w:p w14:paraId="5026178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Critically low</w:t>
            </w:r>
          </w:p>
        </w:tc>
      </w:tr>
      <w:tr w14:paraId="0FF4AADC">
        <w:tblPrEx>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CellMar>
            <w:top w:w="0" w:type="dxa"/>
            <w:left w:w="108" w:type="dxa"/>
            <w:bottom w:w="0" w:type="dxa"/>
            <w:right w:w="108" w:type="dxa"/>
          </w:tblCellMar>
        </w:tblPrEx>
        <w:trPr>
          <w:cantSplit/>
          <w:trHeight w:val="365" w:hRule="atLeast"/>
          <w:jc w:val="center"/>
        </w:trPr>
        <w:tc>
          <w:tcPr>
            <w:tcW w:w="2174" w:type="dxa"/>
            <w:tcBorders>
              <w:top w:val="nil"/>
              <w:left w:val="nil"/>
              <w:bottom w:val="nil"/>
              <w:right w:val="nil"/>
              <w:insideH w:val="nil"/>
              <w:insideV w:val="nil"/>
            </w:tcBorders>
            <w:tcMar>
              <w:top w:w="45" w:type="dxa"/>
              <w:left w:w="45" w:type="dxa"/>
              <w:bottom w:w="45" w:type="dxa"/>
              <w:right w:w="45" w:type="dxa"/>
            </w:tcMar>
            <w:vAlign w:val="center"/>
          </w:tcPr>
          <w:p w14:paraId="17259350">
            <w:pPr>
              <w:keepNext w:val="0"/>
              <w:keepLines w:val="0"/>
              <w:widowControl/>
              <w:suppressLineNumbers w:val="0"/>
              <w:jc w:val="left"/>
              <w:rPr>
                <w:rFonts w:hint="default" w:ascii="Times New Roman" w:hAnsi="Times New Roman" w:eastAsia="宋体" w:cs="Times New Roman"/>
                <w:b w:val="0"/>
                <w:color w:val="000000"/>
                <w:sz w:val="16"/>
                <w:szCs w:val="16"/>
              </w:rPr>
            </w:pPr>
            <w:r>
              <w:rPr>
                <w:rFonts w:hint="default" w:ascii="Times New Roman" w:hAnsi="Times New Roman" w:eastAsia="宋体" w:cs="Times New Roman"/>
                <w:kern w:val="0"/>
                <w:sz w:val="16"/>
                <w:szCs w:val="16"/>
                <w:lang w:val="en-US" w:eastAsia="zh-CN" w:bidi="ar"/>
              </w:rPr>
              <w:t>Christ et al. (2020)</w:t>
            </w:r>
          </w:p>
        </w:tc>
        <w:tc>
          <w:tcPr>
            <w:tcW w:w="589" w:type="dxa"/>
            <w:tcBorders>
              <w:top w:val="nil"/>
              <w:left w:val="nil"/>
              <w:bottom w:val="nil"/>
              <w:right w:val="nil"/>
              <w:insideH w:val="nil"/>
              <w:insideV w:val="nil"/>
            </w:tcBorders>
            <w:tcMar>
              <w:top w:w="45" w:type="dxa"/>
              <w:left w:w="45" w:type="dxa"/>
              <w:bottom w:w="45" w:type="dxa"/>
              <w:right w:w="45" w:type="dxa"/>
            </w:tcMar>
            <w:vAlign w:val="center"/>
          </w:tcPr>
          <w:p w14:paraId="6ADF34D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B1D8768">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E94F18A">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953511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119E0E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CD0E71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8351EC9">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2EF8D6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29B7CD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E44BB0D">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97F061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071A6C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F54D9F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E7CDA10">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3FC4328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DAC830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1417" w:type="dxa"/>
            <w:tcBorders>
              <w:top w:val="nil"/>
              <w:left w:val="nil"/>
              <w:bottom w:val="nil"/>
              <w:right w:val="nil"/>
              <w:insideH w:val="nil"/>
              <w:insideV w:val="nil"/>
            </w:tcBorders>
            <w:tcMar>
              <w:top w:w="45" w:type="dxa"/>
              <w:left w:w="45" w:type="dxa"/>
              <w:bottom w:w="45" w:type="dxa"/>
              <w:right w:w="45" w:type="dxa"/>
            </w:tcMar>
            <w:vAlign w:val="center"/>
          </w:tcPr>
          <w:p w14:paraId="132F8046">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Critically low</w:t>
            </w:r>
          </w:p>
        </w:tc>
      </w:tr>
      <w:tr w14:paraId="140F0AA5">
        <w:tblPrEx>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CellMar>
            <w:top w:w="0" w:type="dxa"/>
            <w:left w:w="108" w:type="dxa"/>
            <w:bottom w:w="0" w:type="dxa"/>
            <w:right w:w="108" w:type="dxa"/>
          </w:tblCellMar>
        </w:tblPrEx>
        <w:trPr>
          <w:cantSplit/>
          <w:trHeight w:val="365" w:hRule="atLeast"/>
          <w:jc w:val="center"/>
        </w:trPr>
        <w:tc>
          <w:tcPr>
            <w:tcW w:w="2174" w:type="dxa"/>
            <w:tcBorders>
              <w:top w:val="nil"/>
              <w:left w:val="nil"/>
              <w:bottom w:val="nil"/>
              <w:right w:val="nil"/>
              <w:insideH w:val="nil"/>
              <w:insideV w:val="nil"/>
            </w:tcBorders>
            <w:tcMar>
              <w:top w:w="45" w:type="dxa"/>
              <w:left w:w="45" w:type="dxa"/>
              <w:bottom w:w="45" w:type="dxa"/>
              <w:right w:w="45" w:type="dxa"/>
            </w:tcMar>
            <w:vAlign w:val="center"/>
          </w:tcPr>
          <w:p w14:paraId="2BA2EE83">
            <w:pPr>
              <w:keepNext w:val="0"/>
              <w:keepLines w:val="0"/>
              <w:widowControl/>
              <w:suppressLineNumbers w:val="0"/>
              <w:jc w:val="left"/>
              <w:rPr>
                <w:rFonts w:hint="default" w:ascii="Times New Roman" w:hAnsi="Times New Roman" w:eastAsia="宋体" w:cs="Times New Roman"/>
                <w:b w:val="0"/>
                <w:color w:val="000000"/>
                <w:sz w:val="16"/>
                <w:szCs w:val="16"/>
              </w:rPr>
            </w:pPr>
            <w:r>
              <w:rPr>
                <w:rFonts w:hint="default" w:ascii="Times New Roman" w:hAnsi="Times New Roman" w:eastAsia="宋体" w:cs="Times New Roman"/>
                <w:kern w:val="0"/>
                <w:sz w:val="16"/>
                <w:szCs w:val="16"/>
                <w:lang w:val="en-US" w:eastAsia="zh-CN" w:bidi="ar"/>
              </w:rPr>
              <w:t>Leech et al. (2021)</w:t>
            </w:r>
          </w:p>
        </w:tc>
        <w:tc>
          <w:tcPr>
            <w:tcW w:w="589" w:type="dxa"/>
            <w:tcBorders>
              <w:top w:val="nil"/>
              <w:left w:val="nil"/>
              <w:bottom w:val="nil"/>
              <w:right w:val="nil"/>
              <w:insideH w:val="nil"/>
              <w:insideV w:val="nil"/>
            </w:tcBorders>
            <w:tcMar>
              <w:top w:w="45" w:type="dxa"/>
              <w:left w:w="45" w:type="dxa"/>
              <w:bottom w:w="45" w:type="dxa"/>
              <w:right w:w="45" w:type="dxa"/>
            </w:tcMar>
            <w:vAlign w:val="center"/>
          </w:tcPr>
          <w:p w14:paraId="1640F8E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94E09E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5BF0DB6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6518FAC">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54A7DD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7C16651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35EC11E">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320077B">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PY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E7332B1">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8871CA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6301EF05">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E6A1F5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0AF4B622">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2DD53C24">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1C62EC23">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Y</w:t>
            </w:r>
          </w:p>
        </w:tc>
        <w:tc>
          <w:tcPr>
            <w:tcW w:w="590" w:type="dxa"/>
            <w:tcBorders>
              <w:top w:val="nil"/>
              <w:left w:val="nil"/>
              <w:bottom w:val="nil"/>
              <w:right w:val="nil"/>
              <w:insideH w:val="nil"/>
              <w:insideV w:val="nil"/>
            </w:tcBorders>
            <w:tcMar>
              <w:top w:w="45" w:type="dxa"/>
              <w:left w:w="45" w:type="dxa"/>
              <w:bottom w:w="45" w:type="dxa"/>
              <w:right w:w="45" w:type="dxa"/>
            </w:tcMar>
            <w:vAlign w:val="center"/>
          </w:tcPr>
          <w:p w14:paraId="44E4487F">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N</w:t>
            </w:r>
          </w:p>
        </w:tc>
        <w:tc>
          <w:tcPr>
            <w:tcW w:w="1417" w:type="dxa"/>
            <w:tcBorders>
              <w:top w:val="nil"/>
              <w:left w:val="nil"/>
              <w:bottom w:val="nil"/>
              <w:right w:val="nil"/>
              <w:insideH w:val="nil"/>
              <w:insideV w:val="nil"/>
            </w:tcBorders>
            <w:tcMar>
              <w:top w:w="45" w:type="dxa"/>
              <w:left w:w="45" w:type="dxa"/>
              <w:bottom w:w="45" w:type="dxa"/>
              <w:right w:w="45" w:type="dxa"/>
            </w:tcMar>
            <w:vAlign w:val="center"/>
          </w:tcPr>
          <w:p w14:paraId="647A6F27">
            <w:pPr>
              <w:keepNext w:val="0"/>
              <w:keepLines w:val="0"/>
              <w:widowControl/>
              <w:suppressLineNumbers w:val="0"/>
              <w:jc w:val="left"/>
              <w:rPr>
                <w:rFonts w:hint="default" w:ascii="Times New Roman" w:hAnsi="Times New Roman" w:cs="Times New Roman"/>
                <w:sz w:val="16"/>
                <w:szCs w:val="16"/>
              </w:rPr>
            </w:pPr>
            <w:r>
              <w:rPr>
                <w:rFonts w:hint="default" w:ascii="Times New Roman" w:hAnsi="Times New Roman" w:eastAsia="宋体" w:cs="Times New Roman"/>
                <w:kern w:val="0"/>
                <w:sz w:val="16"/>
                <w:szCs w:val="16"/>
                <w:lang w:val="en-US" w:eastAsia="zh-CN" w:bidi="ar"/>
              </w:rPr>
              <w:t>Critically low</w:t>
            </w:r>
          </w:p>
        </w:tc>
      </w:tr>
      <w:tr w14:paraId="26BFF5B1">
        <w:tblPrEx>
          <w:tblBorders>
            <w:top w:val="single" w:color="7F7F7F" w:sz="2" w:space="0"/>
            <w:left w:val="single" w:color="7F7F7F" w:sz="2" w:space="0"/>
            <w:bottom w:val="single" w:color="7F7F7F" w:sz="2" w:space="0"/>
            <w:right w:val="single" w:color="7F7F7F" w:sz="2" w:space="0"/>
            <w:insideH w:val="single" w:color="7F7F7F" w:sz="2" w:space="0"/>
            <w:insideV w:val="single" w:color="7F7F7F" w:sz="2" w:space="0"/>
          </w:tblBorders>
          <w:tblCellMar>
            <w:top w:w="0" w:type="dxa"/>
            <w:left w:w="108" w:type="dxa"/>
            <w:bottom w:w="0" w:type="dxa"/>
            <w:right w:w="108" w:type="dxa"/>
          </w:tblCellMar>
        </w:tblPrEx>
        <w:trPr>
          <w:cantSplit/>
          <w:trHeight w:val="5353" w:hRule="atLeast"/>
          <w:jc w:val="center"/>
        </w:trPr>
        <w:tc>
          <w:tcPr>
            <w:tcW w:w="13030" w:type="dxa"/>
            <w:gridSpan w:val="18"/>
            <w:tcBorders>
              <w:top w:val="nil"/>
              <w:left w:val="nil"/>
              <w:bottom w:val="single" w:color="000000" w:sz="12" w:space="0"/>
              <w:right w:val="nil"/>
              <w:insideH w:val="nil"/>
              <w:insideV w:val="nil"/>
            </w:tcBorders>
            <w:tcMar>
              <w:top w:w="45" w:type="dxa"/>
              <w:left w:w="45" w:type="dxa"/>
              <w:bottom w:w="45" w:type="dxa"/>
              <w:right w:w="45" w:type="dxa"/>
            </w:tcMar>
            <w:vAlign w:val="center"/>
          </w:tcPr>
          <w:p w14:paraId="1C87609B">
            <w:pPr>
              <w:keepNext w:val="0"/>
              <w:keepLines w:val="0"/>
              <w:widowControl/>
              <w:suppressLineNumbers w:val="0"/>
              <w:jc w:val="left"/>
              <w:rPr>
                <w:rFonts w:hint="default" w:ascii="Times New Roman" w:hAnsi="Times New Roman" w:eastAsia="宋体" w:cs="Times New Roman"/>
                <w:kern w:val="0"/>
                <w:sz w:val="16"/>
                <w:szCs w:val="16"/>
                <w:lang w:val="en-US" w:eastAsia="zh-CN" w:bidi="ar"/>
              </w:rPr>
            </w:pPr>
            <w:r>
              <w:rPr>
                <w:rFonts w:hint="default" w:ascii="Times New Roman" w:hAnsi="Times New Roman" w:eastAsia="宋体" w:cs="Times New Roman"/>
                <w:kern w:val="0"/>
                <w:sz w:val="16"/>
                <w:szCs w:val="16"/>
                <w:lang w:val="en-US" w:eastAsia="zh-CN" w:bidi="ar"/>
              </w:rPr>
              <w:t>AMSTAR-2 Items</w:t>
            </w:r>
          </w:p>
          <w:p w14:paraId="3DA21711">
            <w:pPr>
              <w:keepNext w:val="0"/>
              <w:keepLines w:val="0"/>
              <w:widowControl/>
              <w:suppressLineNumbers w:val="0"/>
              <w:jc w:val="left"/>
              <w:rPr>
                <w:rFonts w:hint="default" w:ascii="Times New Roman" w:hAnsi="Times New Roman" w:eastAsia="宋体" w:cs="Times New Roman"/>
                <w:kern w:val="0"/>
                <w:sz w:val="16"/>
                <w:szCs w:val="16"/>
                <w:lang w:val="en-US" w:eastAsia="zh-CN" w:bidi="ar"/>
              </w:rPr>
            </w:pPr>
            <w:r>
              <w:rPr>
                <w:rFonts w:hint="default" w:ascii="Times New Roman" w:hAnsi="Times New Roman" w:eastAsia="宋体" w:cs="Times New Roman"/>
                <w:kern w:val="0"/>
                <w:sz w:val="16"/>
                <w:szCs w:val="16"/>
                <w:lang w:val="en-US" w:eastAsia="zh-CN" w:bidi="ar"/>
              </w:rPr>
              <w:t>1. Did the research questions and inclusion criteria for the review include the components of PICO?</w:t>
            </w:r>
          </w:p>
          <w:p w14:paraId="1A653F1E">
            <w:pPr>
              <w:keepNext w:val="0"/>
              <w:keepLines w:val="0"/>
              <w:widowControl/>
              <w:suppressLineNumbers w:val="0"/>
              <w:jc w:val="left"/>
              <w:rPr>
                <w:rFonts w:hint="default" w:ascii="Times New Roman" w:hAnsi="Times New Roman" w:eastAsia="宋体" w:cs="Times New Roman"/>
                <w:kern w:val="0"/>
                <w:sz w:val="16"/>
                <w:szCs w:val="16"/>
                <w:lang w:val="en-US" w:eastAsia="zh-CN" w:bidi="ar"/>
              </w:rPr>
            </w:pPr>
            <w:r>
              <w:rPr>
                <w:rFonts w:hint="default" w:ascii="Times New Roman" w:hAnsi="Times New Roman" w:eastAsia="宋体" w:cs="Times New Roman"/>
                <w:kern w:val="0"/>
                <w:sz w:val="16"/>
                <w:szCs w:val="16"/>
                <w:lang w:val="en-US" w:eastAsia="zh-CN" w:bidi="ar"/>
              </w:rPr>
              <w:t>2. Did the report of the review contain an explicit statement that the review methods were established prior to the conduct of the review and did the report justify any significant deviations from the protocol?</w:t>
            </w:r>
          </w:p>
          <w:p w14:paraId="11AD286B">
            <w:pPr>
              <w:keepNext w:val="0"/>
              <w:keepLines w:val="0"/>
              <w:widowControl/>
              <w:suppressLineNumbers w:val="0"/>
              <w:jc w:val="left"/>
              <w:rPr>
                <w:rFonts w:hint="default" w:ascii="Times New Roman" w:hAnsi="Times New Roman" w:eastAsia="宋体" w:cs="Times New Roman"/>
                <w:kern w:val="0"/>
                <w:sz w:val="16"/>
                <w:szCs w:val="16"/>
                <w:lang w:val="en-US" w:eastAsia="zh-CN" w:bidi="ar"/>
              </w:rPr>
            </w:pPr>
            <w:r>
              <w:rPr>
                <w:rFonts w:hint="default" w:ascii="Times New Roman" w:hAnsi="Times New Roman" w:eastAsia="宋体" w:cs="Times New Roman"/>
                <w:kern w:val="0"/>
                <w:sz w:val="16"/>
                <w:szCs w:val="16"/>
                <w:lang w:val="en-US" w:eastAsia="zh-CN" w:bidi="ar"/>
              </w:rPr>
              <w:t>3. Did the review authors explain their selection of the study designs for inclusion in the review?</w:t>
            </w:r>
          </w:p>
          <w:p w14:paraId="2E7945CA">
            <w:pPr>
              <w:keepNext w:val="0"/>
              <w:keepLines w:val="0"/>
              <w:widowControl/>
              <w:suppressLineNumbers w:val="0"/>
              <w:jc w:val="left"/>
              <w:rPr>
                <w:rFonts w:hint="default" w:ascii="Times New Roman" w:hAnsi="Times New Roman" w:eastAsia="宋体" w:cs="Times New Roman"/>
                <w:kern w:val="0"/>
                <w:sz w:val="16"/>
                <w:szCs w:val="16"/>
                <w:lang w:val="en-US" w:eastAsia="zh-CN" w:bidi="ar"/>
              </w:rPr>
            </w:pPr>
            <w:r>
              <w:rPr>
                <w:rFonts w:hint="default" w:ascii="Times New Roman" w:hAnsi="Times New Roman" w:eastAsia="宋体" w:cs="Times New Roman"/>
                <w:kern w:val="0"/>
                <w:sz w:val="16"/>
                <w:szCs w:val="16"/>
                <w:lang w:val="en-US" w:eastAsia="zh-CN" w:bidi="ar"/>
              </w:rPr>
              <w:t>4. Did the review authors use a comprehensive literature search strategy?</w:t>
            </w:r>
          </w:p>
          <w:p w14:paraId="372C91ED">
            <w:pPr>
              <w:keepNext w:val="0"/>
              <w:keepLines w:val="0"/>
              <w:widowControl/>
              <w:suppressLineNumbers w:val="0"/>
              <w:jc w:val="left"/>
              <w:rPr>
                <w:rFonts w:hint="default" w:ascii="Times New Roman" w:hAnsi="Times New Roman" w:eastAsia="宋体" w:cs="Times New Roman"/>
                <w:kern w:val="0"/>
                <w:sz w:val="16"/>
                <w:szCs w:val="16"/>
                <w:lang w:val="en-US" w:eastAsia="zh-CN" w:bidi="ar"/>
              </w:rPr>
            </w:pPr>
            <w:r>
              <w:rPr>
                <w:rFonts w:hint="default" w:ascii="Times New Roman" w:hAnsi="Times New Roman" w:eastAsia="宋体" w:cs="Times New Roman"/>
                <w:kern w:val="0"/>
                <w:sz w:val="16"/>
                <w:szCs w:val="16"/>
                <w:lang w:val="en-US" w:eastAsia="zh-CN" w:bidi="ar"/>
              </w:rPr>
              <w:t>5. Did the review authors perform study selection in duplicate?</w:t>
            </w:r>
          </w:p>
          <w:p w14:paraId="43C0DDF5">
            <w:pPr>
              <w:keepNext w:val="0"/>
              <w:keepLines w:val="0"/>
              <w:widowControl/>
              <w:suppressLineNumbers w:val="0"/>
              <w:jc w:val="left"/>
              <w:rPr>
                <w:rFonts w:hint="default" w:ascii="Times New Roman" w:hAnsi="Times New Roman" w:eastAsia="宋体" w:cs="Times New Roman"/>
                <w:kern w:val="0"/>
                <w:sz w:val="16"/>
                <w:szCs w:val="16"/>
                <w:lang w:val="en-US" w:eastAsia="zh-CN" w:bidi="ar"/>
              </w:rPr>
            </w:pPr>
            <w:r>
              <w:rPr>
                <w:rFonts w:hint="default" w:ascii="Times New Roman" w:hAnsi="Times New Roman" w:eastAsia="宋体" w:cs="Times New Roman"/>
                <w:kern w:val="0"/>
                <w:sz w:val="16"/>
                <w:szCs w:val="16"/>
                <w:lang w:val="en-US" w:eastAsia="zh-CN" w:bidi="ar"/>
              </w:rPr>
              <w:t>6. Did the review authors perform data extraction in duplicate?</w:t>
            </w:r>
          </w:p>
          <w:p w14:paraId="432C2DE2">
            <w:pPr>
              <w:keepNext w:val="0"/>
              <w:keepLines w:val="0"/>
              <w:widowControl/>
              <w:suppressLineNumbers w:val="0"/>
              <w:jc w:val="left"/>
              <w:rPr>
                <w:rFonts w:hint="default" w:ascii="Times New Roman" w:hAnsi="Times New Roman" w:eastAsia="宋体" w:cs="Times New Roman"/>
                <w:kern w:val="0"/>
                <w:sz w:val="16"/>
                <w:szCs w:val="16"/>
                <w:lang w:val="en-US" w:eastAsia="zh-CN" w:bidi="ar"/>
              </w:rPr>
            </w:pPr>
            <w:r>
              <w:rPr>
                <w:rFonts w:hint="default" w:ascii="Times New Roman" w:hAnsi="Times New Roman" w:eastAsia="宋体" w:cs="Times New Roman"/>
                <w:kern w:val="0"/>
                <w:sz w:val="16"/>
                <w:szCs w:val="16"/>
                <w:lang w:val="en-US" w:eastAsia="zh-CN" w:bidi="ar"/>
              </w:rPr>
              <w:t>7. Did the review authors provide a list of excluded studies and justify the exclusions?</w:t>
            </w:r>
          </w:p>
          <w:p w14:paraId="66615F48">
            <w:pPr>
              <w:keepNext w:val="0"/>
              <w:keepLines w:val="0"/>
              <w:widowControl/>
              <w:suppressLineNumbers w:val="0"/>
              <w:jc w:val="left"/>
              <w:rPr>
                <w:rFonts w:hint="default" w:ascii="Times New Roman" w:hAnsi="Times New Roman" w:eastAsia="宋体" w:cs="Times New Roman"/>
                <w:kern w:val="0"/>
                <w:sz w:val="16"/>
                <w:szCs w:val="16"/>
                <w:lang w:val="en-US" w:eastAsia="zh-CN" w:bidi="ar"/>
              </w:rPr>
            </w:pPr>
            <w:r>
              <w:rPr>
                <w:rFonts w:hint="default" w:ascii="Times New Roman" w:hAnsi="Times New Roman" w:eastAsia="宋体" w:cs="Times New Roman"/>
                <w:kern w:val="0"/>
                <w:sz w:val="16"/>
                <w:szCs w:val="16"/>
                <w:lang w:val="en-US" w:eastAsia="zh-CN" w:bidi="ar"/>
              </w:rPr>
              <w:t>8. Did the review authors describe the included studies in adequate detail?</w:t>
            </w:r>
          </w:p>
          <w:p w14:paraId="154BFA7C">
            <w:pPr>
              <w:keepNext w:val="0"/>
              <w:keepLines w:val="0"/>
              <w:widowControl/>
              <w:suppressLineNumbers w:val="0"/>
              <w:jc w:val="left"/>
              <w:rPr>
                <w:rFonts w:hint="default" w:ascii="Times New Roman" w:hAnsi="Times New Roman" w:eastAsia="宋体" w:cs="Times New Roman"/>
                <w:kern w:val="0"/>
                <w:sz w:val="16"/>
                <w:szCs w:val="16"/>
                <w:lang w:val="en-US" w:eastAsia="zh-CN" w:bidi="ar"/>
              </w:rPr>
            </w:pPr>
            <w:r>
              <w:rPr>
                <w:rFonts w:hint="default" w:ascii="Times New Roman" w:hAnsi="Times New Roman" w:eastAsia="宋体" w:cs="Times New Roman"/>
                <w:kern w:val="0"/>
                <w:sz w:val="16"/>
                <w:szCs w:val="16"/>
                <w:lang w:val="en-US" w:eastAsia="zh-CN" w:bidi="ar"/>
              </w:rPr>
              <w:t>9. Did the review authors use a satisfactory technique for assessing the risk of bias (RoB) in individual studies that were included in the review?</w:t>
            </w:r>
          </w:p>
          <w:p w14:paraId="4F9885EE">
            <w:pPr>
              <w:keepNext w:val="0"/>
              <w:keepLines w:val="0"/>
              <w:widowControl/>
              <w:suppressLineNumbers w:val="0"/>
              <w:jc w:val="left"/>
              <w:rPr>
                <w:rFonts w:hint="default" w:ascii="Times New Roman" w:hAnsi="Times New Roman" w:eastAsia="宋体" w:cs="Times New Roman"/>
                <w:kern w:val="0"/>
                <w:sz w:val="16"/>
                <w:szCs w:val="16"/>
                <w:lang w:val="en-US" w:eastAsia="zh-CN" w:bidi="ar"/>
              </w:rPr>
            </w:pPr>
            <w:r>
              <w:rPr>
                <w:rFonts w:hint="default" w:ascii="Times New Roman" w:hAnsi="Times New Roman" w:eastAsia="宋体" w:cs="Times New Roman"/>
                <w:kern w:val="0"/>
                <w:sz w:val="16"/>
                <w:szCs w:val="16"/>
                <w:lang w:val="en-US" w:eastAsia="zh-CN" w:bidi="ar"/>
              </w:rPr>
              <w:t>10. Did the review authors report on the sources of funding for the studies included in the review?</w:t>
            </w:r>
          </w:p>
          <w:p w14:paraId="58B744B3">
            <w:pPr>
              <w:keepNext w:val="0"/>
              <w:keepLines w:val="0"/>
              <w:widowControl/>
              <w:suppressLineNumbers w:val="0"/>
              <w:jc w:val="left"/>
              <w:rPr>
                <w:rFonts w:hint="default" w:ascii="Times New Roman" w:hAnsi="Times New Roman" w:eastAsia="宋体" w:cs="Times New Roman"/>
                <w:kern w:val="0"/>
                <w:sz w:val="16"/>
                <w:szCs w:val="16"/>
                <w:lang w:val="en-US" w:eastAsia="zh-CN" w:bidi="ar"/>
              </w:rPr>
            </w:pPr>
            <w:r>
              <w:rPr>
                <w:rFonts w:hint="default" w:ascii="Times New Roman" w:hAnsi="Times New Roman" w:eastAsia="宋体" w:cs="Times New Roman"/>
                <w:kern w:val="0"/>
                <w:sz w:val="16"/>
                <w:szCs w:val="16"/>
                <w:lang w:val="en-US" w:eastAsia="zh-CN" w:bidi="ar"/>
              </w:rPr>
              <w:t>11. If meta-analysis was performed did the review authors use appropriate methods for statistical combination of results?</w:t>
            </w:r>
          </w:p>
          <w:p w14:paraId="2B6D4204">
            <w:pPr>
              <w:keepNext w:val="0"/>
              <w:keepLines w:val="0"/>
              <w:widowControl/>
              <w:suppressLineNumbers w:val="0"/>
              <w:jc w:val="left"/>
              <w:rPr>
                <w:rFonts w:hint="default" w:ascii="Times New Roman" w:hAnsi="Times New Roman" w:eastAsia="宋体" w:cs="Times New Roman"/>
                <w:kern w:val="0"/>
                <w:sz w:val="16"/>
                <w:szCs w:val="16"/>
                <w:lang w:val="en-US" w:eastAsia="zh-CN" w:bidi="ar"/>
              </w:rPr>
            </w:pPr>
            <w:r>
              <w:rPr>
                <w:rFonts w:hint="default" w:ascii="Times New Roman" w:hAnsi="Times New Roman" w:eastAsia="宋体" w:cs="Times New Roman"/>
                <w:kern w:val="0"/>
                <w:sz w:val="16"/>
                <w:szCs w:val="16"/>
                <w:lang w:val="en-US" w:eastAsia="zh-CN" w:bidi="ar"/>
              </w:rPr>
              <w:t>12. If meta-analysis was performed, did the review authors assess the potential impact of RoB in individual studies on the results of the meta-analysis or other evidence synthesis?</w:t>
            </w:r>
          </w:p>
          <w:p w14:paraId="5C53CF52">
            <w:pPr>
              <w:keepNext w:val="0"/>
              <w:keepLines w:val="0"/>
              <w:widowControl/>
              <w:suppressLineNumbers w:val="0"/>
              <w:jc w:val="left"/>
              <w:rPr>
                <w:rFonts w:hint="default" w:ascii="Times New Roman" w:hAnsi="Times New Roman" w:eastAsia="宋体" w:cs="Times New Roman"/>
                <w:kern w:val="0"/>
                <w:sz w:val="16"/>
                <w:szCs w:val="16"/>
                <w:lang w:val="en-US" w:eastAsia="zh-CN" w:bidi="ar"/>
              </w:rPr>
            </w:pPr>
            <w:r>
              <w:rPr>
                <w:rFonts w:hint="default" w:ascii="Times New Roman" w:hAnsi="Times New Roman" w:eastAsia="宋体" w:cs="Times New Roman"/>
                <w:kern w:val="0"/>
                <w:sz w:val="16"/>
                <w:szCs w:val="16"/>
                <w:lang w:val="en-US" w:eastAsia="zh-CN" w:bidi="ar"/>
              </w:rPr>
              <w:t>13. Did the review authors account for RoB in individual studies when interpreting/ discussing the results of the review?</w:t>
            </w:r>
          </w:p>
          <w:p w14:paraId="27D76433">
            <w:pPr>
              <w:keepNext w:val="0"/>
              <w:keepLines w:val="0"/>
              <w:widowControl/>
              <w:suppressLineNumbers w:val="0"/>
              <w:jc w:val="left"/>
              <w:rPr>
                <w:rFonts w:hint="default" w:ascii="Times New Roman" w:hAnsi="Times New Roman" w:eastAsia="宋体" w:cs="Times New Roman"/>
                <w:kern w:val="0"/>
                <w:sz w:val="16"/>
                <w:szCs w:val="16"/>
                <w:lang w:val="en-US" w:eastAsia="zh-CN" w:bidi="ar"/>
              </w:rPr>
            </w:pPr>
            <w:r>
              <w:rPr>
                <w:rFonts w:hint="default" w:ascii="Times New Roman" w:hAnsi="Times New Roman" w:eastAsia="宋体" w:cs="Times New Roman"/>
                <w:kern w:val="0"/>
                <w:sz w:val="16"/>
                <w:szCs w:val="16"/>
                <w:lang w:val="en-US" w:eastAsia="zh-CN" w:bidi="ar"/>
              </w:rPr>
              <w:t>14. Did the review authors provide a satisfactory explanation for, and discussion of, any heterogeneity observed in the results of the review?</w:t>
            </w:r>
          </w:p>
          <w:p w14:paraId="381632C6">
            <w:pPr>
              <w:keepNext w:val="0"/>
              <w:keepLines w:val="0"/>
              <w:widowControl/>
              <w:suppressLineNumbers w:val="0"/>
              <w:jc w:val="left"/>
              <w:rPr>
                <w:rFonts w:hint="default" w:ascii="Times New Roman" w:hAnsi="Times New Roman" w:eastAsia="宋体" w:cs="Times New Roman"/>
                <w:kern w:val="0"/>
                <w:sz w:val="16"/>
                <w:szCs w:val="16"/>
                <w:lang w:val="en-US" w:eastAsia="zh-CN" w:bidi="ar"/>
              </w:rPr>
            </w:pPr>
            <w:r>
              <w:rPr>
                <w:rFonts w:hint="default" w:ascii="Times New Roman" w:hAnsi="Times New Roman" w:eastAsia="宋体" w:cs="Times New Roman"/>
                <w:kern w:val="0"/>
                <w:sz w:val="16"/>
                <w:szCs w:val="16"/>
                <w:lang w:val="en-US" w:eastAsia="zh-CN" w:bidi="ar"/>
              </w:rPr>
              <w:t>15. If they performed quantitative synthesis did the review authors carry out an adequate investigation of publication bias (small study bias) and discuss its likely impact on the results of the review?</w:t>
            </w:r>
          </w:p>
          <w:p w14:paraId="2DB602D8">
            <w:pPr>
              <w:keepNext w:val="0"/>
              <w:keepLines w:val="0"/>
              <w:widowControl/>
              <w:suppressLineNumbers w:val="0"/>
              <w:jc w:val="left"/>
              <w:rPr>
                <w:rFonts w:hint="default" w:ascii="Times New Roman" w:hAnsi="Times New Roman" w:eastAsia="宋体" w:cs="Times New Roman"/>
                <w:kern w:val="0"/>
                <w:sz w:val="16"/>
                <w:szCs w:val="16"/>
                <w:lang w:val="en-US" w:eastAsia="zh-CN" w:bidi="ar"/>
              </w:rPr>
            </w:pPr>
            <w:r>
              <w:rPr>
                <w:rFonts w:hint="default" w:ascii="Times New Roman" w:hAnsi="Times New Roman" w:eastAsia="宋体" w:cs="Times New Roman"/>
                <w:kern w:val="0"/>
                <w:sz w:val="16"/>
                <w:szCs w:val="16"/>
                <w:lang w:val="en-US" w:eastAsia="zh-CN" w:bidi="ar"/>
              </w:rPr>
              <w:t>16. Did the review authors report any potential sources of conflict of interest, including any funding they received for conducting the review?</w:t>
            </w:r>
          </w:p>
        </w:tc>
      </w:tr>
    </w:tbl>
    <w:p w14:paraId="517DB5FD">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rPr>
          <w:rFonts w:ascii="Times New Roman" w:hAnsi="Times New Roman" w:eastAsia="宋体"/>
          <w:i/>
          <w:kern w:val="2"/>
          <w:sz w:val="16"/>
          <w:szCs w:val="24"/>
          <w:lang w:val="en-US" w:eastAsia="en-US"/>
        </w:rPr>
      </w:pPr>
      <w:r>
        <w:rPr>
          <w:rFonts w:hint="default" w:ascii="Times New Roman" w:hAnsi="Times New Roman" w:eastAsia="宋体"/>
          <w:b/>
          <w:bCs/>
          <w:i/>
          <w:kern w:val="2"/>
          <w:sz w:val="16"/>
          <w:szCs w:val="24"/>
          <w:lang w:eastAsia="zh-CN"/>
        </w:rPr>
        <w:t>Note.</w:t>
      </w:r>
      <w:r>
        <w:rPr>
          <w:rFonts w:hint="default" w:ascii="Times New Roman" w:hAnsi="Times New Roman" w:eastAsia="宋体"/>
          <w:i/>
          <w:kern w:val="2"/>
          <w:sz w:val="16"/>
          <w:szCs w:val="24"/>
          <w:lang w:eastAsia="zh-CN"/>
        </w:rPr>
        <w:t xml:space="preserve"> Asterisks indicate AMSTAR 2 critical domains. Y = yes; PY = partial yes; N = no. Overall confidence was determined according to the official AMSTAR 2 guidance. Ratings represent consensus judgments following independent assessment by two reviewers, with third-reviewer adjudication when required.</w:t>
      </w:r>
    </w:p>
    <w:p w14:paraId="221A4AB9">
      <w:pPr>
        <w:pStyle w:val="4"/>
        <w:bidi w:val="0"/>
        <w:rPr>
          <w:rFonts w:ascii="Times New Roman" w:hAnsi="Times New Roman"/>
          <w:lang w:val="en-US" w:eastAsia="en-US"/>
        </w:rPr>
      </w:pPr>
      <w:bookmarkStart w:id="7" w:name="_Toc8909"/>
      <w:r>
        <w:rPr>
          <w:rFonts w:ascii="Times New Roman" w:hAnsi="Times New Roman"/>
          <w:lang w:val="en-US" w:eastAsia="en-US"/>
        </w:rPr>
        <w:t>Supplementary Table S7. Leave-one-review-out sensitivity analysis</w:t>
      </w:r>
      <w:bookmarkEnd w:id="7"/>
    </w:p>
    <w:tbl>
      <w:tblPr>
        <w:tblStyle w:val="35"/>
        <w:tblW w:w="4998" w:type="pct"/>
        <w:jc w:val="center"/>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Layout w:type="autofit"/>
        <w:tblCellMar>
          <w:top w:w="0" w:type="dxa"/>
          <w:left w:w="108" w:type="dxa"/>
          <w:bottom w:w="0" w:type="dxa"/>
          <w:right w:w="108" w:type="dxa"/>
        </w:tblCellMar>
      </w:tblPr>
      <w:tblGrid>
        <w:gridCol w:w="3455"/>
        <w:gridCol w:w="392"/>
        <w:gridCol w:w="1671"/>
        <w:gridCol w:w="2624"/>
        <w:gridCol w:w="1112"/>
        <w:gridCol w:w="3791"/>
      </w:tblGrid>
      <w:tr w14:paraId="5C962F62">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PrEx>
        <w:trPr>
          <w:cantSplit/>
          <w:tblHeader/>
          <w:jc w:val="center"/>
        </w:trPr>
        <w:tc>
          <w:tcPr>
            <w:tcW w:w="1324" w:type="pct"/>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7E949E0C">
            <w:pPr>
              <w:spacing w:before="0" w:after="0" w:line="240" w:lineRule="auto"/>
              <w:jc w:val="center"/>
              <w:rPr>
                <w:rFonts w:hint="default" w:ascii="Times New Roman" w:hAnsi="Times New Roman" w:eastAsia="宋体" w:cs="Times New Roman"/>
                <w:b/>
                <w:bCs/>
                <w:color w:val="000000"/>
                <w:sz w:val="16"/>
                <w:szCs w:val="16"/>
              </w:rPr>
            </w:pPr>
            <w:r>
              <w:rPr>
                <w:rFonts w:hint="default" w:ascii="Times New Roman" w:hAnsi="Times New Roman" w:cs="Times New Roman"/>
                <w:b/>
                <w:bCs/>
                <w:sz w:val="16"/>
                <w:szCs w:val="16"/>
              </w:rPr>
              <w:t>Omitted review</w:t>
            </w:r>
          </w:p>
        </w:tc>
        <w:tc>
          <w:tcPr>
            <w:tcW w:w="150" w:type="pct"/>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39F1886D">
            <w:pPr>
              <w:spacing w:before="0" w:after="0" w:line="240" w:lineRule="auto"/>
              <w:jc w:val="center"/>
              <w:rPr>
                <w:rFonts w:hint="default" w:ascii="Times New Roman" w:hAnsi="Times New Roman" w:eastAsia="宋体" w:cs="Times New Roman"/>
                <w:b/>
                <w:bCs/>
                <w:color w:val="000000"/>
                <w:sz w:val="16"/>
                <w:szCs w:val="16"/>
              </w:rPr>
            </w:pPr>
            <w:r>
              <w:rPr>
                <w:rFonts w:hint="default" w:ascii="Times New Roman" w:hAnsi="Times New Roman" w:cs="Times New Roman"/>
                <w:b/>
                <w:bCs/>
                <w:sz w:val="16"/>
                <w:szCs w:val="16"/>
              </w:rPr>
              <w:t>k</w:t>
            </w:r>
          </w:p>
        </w:tc>
        <w:tc>
          <w:tcPr>
            <w:tcW w:w="640" w:type="pct"/>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5DC65890">
            <w:pPr>
              <w:spacing w:after="0" w:line="240" w:lineRule="auto"/>
              <w:jc w:val="center"/>
              <w:rPr>
                <w:rFonts w:ascii="Times New Roman" w:hAnsi="Times New Roman"/>
              </w:rPr>
            </w:pPr>
            <w:r>
              <w:rPr>
                <w:rFonts w:ascii="Times New Roman" w:hAnsi="Times New Roman" w:eastAsia="Times New Roman"/>
                <w:b/>
                <w:sz w:val="18"/>
              </w:rPr>
              <w:t>SMD</w:t>
            </w:r>
          </w:p>
        </w:tc>
        <w:tc>
          <w:tcPr>
            <w:tcW w:w="1005" w:type="pct"/>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1D1898E3">
            <w:pPr>
              <w:spacing w:before="0" w:after="0" w:line="240" w:lineRule="auto"/>
              <w:jc w:val="center"/>
              <w:rPr>
                <w:rFonts w:hint="default" w:ascii="Times New Roman" w:hAnsi="Times New Roman" w:eastAsia="宋体" w:cs="Times New Roman"/>
                <w:b/>
                <w:bCs/>
                <w:color w:val="000000"/>
                <w:sz w:val="16"/>
                <w:szCs w:val="16"/>
              </w:rPr>
            </w:pPr>
            <w:r>
              <w:rPr>
                <w:rFonts w:hint="default" w:ascii="Times New Roman" w:hAnsi="Times New Roman" w:cs="Times New Roman"/>
                <w:b/>
                <w:bCs/>
                <w:sz w:val="16"/>
                <w:szCs w:val="16"/>
              </w:rPr>
              <w:t>95% CI</w:t>
            </w:r>
          </w:p>
        </w:tc>
        <w:tc>
          <w:tcPr>
            <w:tcW w:w="426" w:type="pct"/>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687CBF35">
            <w:pPr>
              <w:spacing w:before="0" w:after="0" w:line="240" w:lineRule="auto"/>
              <w:jc w:val="center"/>
              <w:rPr>
                <w:rFonts w:hint="default" w:ascii="Times New Roman" w:hAnsi="Times New Roman" w:eastAsia="宋体" w:cs="Times New Roman"/>
                <w:b/>
                <w:bCs/>
                <w:color w:val="000000"/>
                <w:sz w:val="16"/>
                <w:szCs w:val="16"/>
              </w:rPr>
            </w:pPr>
            <w:r>
              <w:rPr>
                <w:rFonts w:hint="default" w:ascii="Times New Roman" w:hAnsi="Times New Roman" w:cs="Times New Roman"/>
                <w:b/>
                <w:bCs/>
                <w:sz w:val="16"/>
                <w:szCs w:val="16"/>
              </w:rPr>
              <w:t>I² (%)</w:t>
            </w:r>
          </w:p>
        </w:tc>
        <w:tc>
          <w:tcPr>
            <w:tcW w:w="1452" w:type="pct"/>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055726C9">
            <w:pPr>
              <w:spacing w:before="0" w:after="0" w:line="240" w:lineRule="auto"/>
              <w:jc w:val="center"/>
              <w:rPr>
                <w:rFonts w:hint="default" w:ascii="Times New Roman" w:hAnsi="Times New Roman" w:eastAsia="宋体" w:cs="Times New Roman"/>
                <w:b/>
                <w:bCs/>
                <w:color w:val="000000"/>
                <w:sz w:val="16"/>
                <w:szCs w:val="16"/>
              </w:rPr>
            </w:pPr>
            <w:r>
              <w:rPr>
                <w:rFonts w:hint="default" w:ascii="Times New Roman" w:hAnsi="Times New Roman" w:cs="Times New Roman"/>
                <w:b/>
                <w:bCs/>
                <w:sz w:val="16"/>
                <w:szCs w:val="16"/>
              </w:rPr>
              <w:t>95% prediction interval</w:t>
            </w:r>
          </w:p>
        </w:tc>
      </w:tr>
      <w:tr w14:paraId="539BE563">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1324" w:type="pct"/>
            <w:tcBorders>
              <w:top w:val="nil"/>
              <w:left w:val="nil"/>
              <w:bottom w:val="nil"/>
              <w:right w:val="nil"/>
              <w:insideH w:val="nil"/>
              <w:insideV w:val="nil"/>
            </w:tcBorders>
            <w:tcMar>
              <w:top w:w="45" w:type="dxa"/>
              <w:left w:w="45" w:type="dxa"/>
              <w:bottom w:w="45" w:type="dxa"/>
              <w:right w:w="45" w:type="dxa"/>
            </w:tcMar>
            <w:vAlign w:val="center"/>
          </w:tcPr>
          <w:p w14:paraId="47450C08">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Thabrew et al. (2018)</w:t>
            </w:r>
          </w:p>
        </w:tc>
        <w:tc>
          <w:tcPr>
            <w:tcW w:w="150" w:type="pct"/>
            <w:tcBorders>
              <w:top w:val="nil"/>
              <w:left w:val="nil"/>
              <w:bottom w:val="nil"/>
              <w:right w:val="nil"/>
              <w:insideH w:val="nil"/>
              <w:insideV w:val="nil"/>
            </w:tcBorders>
            <w:tcMar>
              <w:top w:w="45" w:type="dxa"/>
              <w:left w:w="45" w:type="dxa"/>
              <w:bottom w:w="45" w:type="dxa"/>
              <w:right w:w="45" w:type="dxa"/>
            </w:tcMar>
            <w:vAlign w:val="center"/>
          </w:tcPr>
          <w:p w14:paraId="4AE06B05">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8</w:t>
            </w:r>
          </w:p>
        </w:tc>
        <w:tc>
          <w:tcPr>
            <w:tcW w:w="640" w:type="pct"/>
            <w:tcBorders>
              <w:top w:val="nil"/>
              <w:left w:val="nil"/>
              <w:bottom w:val="nil"/>
              <w:right w:val="nil"/>
              <w:insideH w:val="nil"/>
              <w:insideV w:val="nil"/>
            </w:tcBorders>
            <w:tcMar>
              <w:top w:w="45" w:type="dxa"/>
              <w:left w:w="45" w:type="dxa"/>
              <w:bottom w:w="45" w:type="dxa"/>
              <w:right w:w="45" w:type="dxa"/>
            </w:tcMar>
            <w:vAlign w:val="center"/>
          </w:tcPr>
          <w:p w14:paraId="1BEF6707">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−0.43</w:t>
            </w:r>
          </w:p>
        </w:tc>
        <w:tc>
          <w:tcPr>
            <w:tcW w:w="1005" w:type="pct"/>
            <w:tcBorders>
              <w:top w:val="nil"/>
              <w:left w:val="nil"/>
              <w:bottom w:val="nil"/>
              <w:right w:val="nil"/>
              <w:insideH w:val="nil"/>
              <w:insideV w:val="nil"/>
            </w:tcBorders>
            <w:tcMar>
              <w:top w:w="45" w:type="dxa"/>
              <w:left w:w="45" w:type="dxa"/>
              <w:bottom w:w="45" w:type="dxa"/>
              <w:right w:w="45" w:type="dxa"/>
            </w:tcMar>
            <w:vAlign w:val="center"/>
          </w:tcPr>
          <w:p w14:paraId="6E92695A">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−0.54 to −0.32</w:t>
            </w:r>
          </w:p>
        </w:tc>
        <w:tc>
          <w:tcPr>
            <w:tcW w:w="426" w:type="pct"/>
            <w:tcBorders>
              <w:top w:val="nil"/>
              <w:left w:val="nil"/>
              <w:bottom w:val="nil"/>
              <w:right w:val="nil"/>
              <w:insideH w:val="nil"/>
              <w:insideV w:val="nil"/>
            </w:tcBorders>
            <w:tcMar>
              <w:top w:w="45" w:type="dxa"/>
              <w:left w:w="45" w:type="dxa"/>
              <w:bottom w:w="45" w:type="dxa"/>
              <w:right w:w="45" w:type="dxa"/>
            </w:tcMar>
            <w:vAlign w:val="center"/>
          </w:tcPr>
          <w:p w14:paraId="4778C189">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43.32</w:t>
            </w:r>
          </w:p>
        </w:tc>
        <w:tc>
          <w:tcPr>
            <w:tcW w:w="1452" w:type="pct"/>
            <w:tcBorders>
              <w:top w:val="nil"/>
              <w:left w:val="nil"/>
              <w:bottom w:val="nil"/>
              <w:right w:val="nil"/>
              <w:insideH w:val="nil"/>
              <w:insideV w:val="nil"/>
            </w:tcBorders>
            <w:tcMar>
              <w:top w:w="45" w:type="dxa"/>
              <w:left w:w="45" w:type="dxa"/>
              <w:bottom w:w="45" w:type="dxa"/>
              <w:right w:w="45" w:type="dxa"/>
            </w:tcMar>
            <w:vAlign w:val="center"/>
          </w:tcPr>
          <w:p w14:paraId="14FC4836">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−0.69 to −0.17</w:t>
            </w:r>
          </w:p>
        </w:tc>
      </w:tr>
      <w:tr w14:paraId="25995E80">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1324" w:type="pct"/>
            <w:tcBorders>
              <w:top w:val="nil"/>
              <w:left w:val="nil"/>
              <w:bottom w:val="nil"/>
              <w:right w:val="nil"/>
              <w:insideH w:val="nil"/>
              <w:insideV w:val="nil"/>
            </w:tcBorders>
            <w:tcMar>
              <w:top w:w="45" w:type="dxa"/>
              <w:left w:w="45" w:type="dxa"/>
              <w:bottom w:w="45" w:type="dxa"/>
              <w:right w:w="45" w:type="dxa"/>
            </w:tcMar>
            <w:vAlign w:val="center"/>
          </w:tcPr>
          <w:p w14:paraId="3A8F2018">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Pennant et al. (2015)</w:t>
            </w:r>
          </w:p>
        </w:tc>
        <w:tc>
          <w:tcPr>
            <w:tcW w:w="150" w:type="pct"/>
            <w:tcBorders>
              <w:top w:val="nil"/>
              <w:left w:val="nil"/>
              <w:bottom w:val="nil"/>
              <w:right w:val="nil"/>
              <w:insideH w:val="nil"/>
              <w:insideV w:val="nil"/>
            </w:tcBorders>
            <w:tcMar>
              <w:top w:w="45" w:type="dxa"/>
              <w:left w:w="45" w:type="dxa"/>
              <w:bottom w:w="45" w:type="dxa"/>
              <w:right w:w="45" w:type="dxa"/>
            </w:tcMar>
            <w:vAlign w:val="center"/>
          </w:tcPr>
          <w:p w14:paraId="3DFB3563">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8</w:t>
            </w:r>
          </w:p>
        </w:tc>
        <w:tc>
          <w:tcPr>
            <w:tcW w:w="640" w:type="pct"/>
            <w:tcBorders>
              <w:top w:val="nil"/>
              <w:left w:val="nil"/>
              <w:bottom w:val="nil"/>
              <w:right w:val="nil"/>
              <w:insideH w:val="nil"/>
              <w:insideV w:val="nil"/>
            </w:tcBorders>
            <w:tcMar>
              <w:top w:w="45" w:type="dxa"/>
              <w:left w:w="45" w:type="dxa"/>
              <w:bottom w:w="45" w:type="dxa"/>
              <w:right w:w="45" w:type="dxa"/>
            </w:tcMar>
            <w:vAlign w:val="center"/>
          </w:tcPr>
          <w:p w14:paraId="50B2A8C9">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−0.42</w:t>
            </w:r>
          </w:p>
        </w:tc>
        <w:tc>
          <w:tcPr>
            <w:tcW w:w="1005" w:type="pct"/>
            <w:tcBorders>
              <w:top w:val="nil"/>
              <w:left w:val="nil"/>
              <w:bottom w:val="nil"/>
              <w:right w:val="nil"/>
              <w:insideH w:val="nil"/>
              <w:insideV w:val="nil"/>
            </w:tcBorders>
            <w:tcMar>
              <w:top w:w="45" w:type="dxa"/>
              <w:left w:w="45" w:type="dxa"/>
              <w:bottom w:w="45" w:type="dxa"/>
              <w:right w:w="45" w:type="dxa"/>
            </w:tcMar>
            <w:vAlign w:val="center"/>
          </w:tcPr>
          <w:p w14:paraId="0C4EB749">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−0.52 to −0.32</w:t>
            </w:r>
          </w:p>
        </w:tc>
        <w:tc>
          <w:tcPr>
            <w:tcW w:w="426" w:type="pct"/>
            <w:tcBorders>
              <w:top w:val="nil"/>
              <w:left w:val="nil"/>
              <w:bottom w:val="nil"/>
              <w:right w:val="nil"/>
              <w:insideH w:val="nil"/>
              <w:insideV w:val="nil"/>
            </w:tcBorders>
            <w:tcMar>
              <w:top w:w="45" w:type="dxa"/>
              <w:left w:w="45" w:type="dxa"/>
              <w:bottom w:w="45" w:type="dxa"/>
              <w:right w:w="45" w:type="dxa"/>
            </w:tcMar>
            <w:vAlign w:val="center"/>
          </w:tcPr>
          <w:p w14:paraId="7685C095">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38.94</w:t>
            </w:r>
          </w:p>
        </w:tc>
        <w:tc>
          <w:tcPr>
            <w:tcW w:w="1452" w:type="pct"/>
            <w:tcBorders>
              <w:top w:val="nil"/>
              <w:left w:val="nil"/>
              <w:bottom w:val="nil"/>
              <w:right w:val="nil"/>
              <w:insideH w:val="nil"/>
              <w:insideV w:val="nil"/>
            </w:tcBorders>
            <w:tcMar>
              <w:top w:w="45" w:type="dxa"/>
              <w:left w:w="45" w:type="dxa"/>
              <w:bottom w:w="45" w:type="dxa"/>
              <w:right w:w="45" w:type="dxa"/>
            </w:tcMar>
            <w:vAlign w:val="center"/>
          </w:tcPr>
          <w:p w14:paraId="1C5ABFEE">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−0.67 to −0.17</w:t>
            </w:r>
          </w:p>
        </w:tc>
      </w:tr>
      <w:tr w14:paraId="0F96C3E3">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1324" w:type="pct"/>
            <w:tcBorders>
              <w:top w:val="nil"/>
              <w:left w:val="nil"/>
              <w:bottom w:val="nil"/>
              <w:right w:val="nil"/>
              <w:insideH w:val="nil"/>
              <w:insideV w:val="nil"/>
            </w:tcBorders>
            <w:tcMar>
              <w:top w:w="45" w:type="dxa"/>
              <w:left w:w="45" w:type="dxa"/>
              <w:bottom w:w="45" w:type="dxa"/>
              <w:right w:w="45" w:type="dxa"/>
            </w:tcMar>
            <w:vAlign w:val="center"/>
          </w:tcPr>
          <w:p w14:paraId="25D2E4D3">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Ebert et al. (2015)</w:t>
            </w:r>
          </w:p>
        </w:tc>
        <w:tc>
          <w:tcPr>
            <w:tcW w:w="150" w:type="pct"/>
            <w:tcBorders>
              <w:top w:val="nil"/>
              <w:left w:val="nil"/>
              <w:bottom w:val="nil"/>
              <w:right w:val="nil"/>
              <w:insideH w:val="nil"/>
              <w:insideV w:val="nil"/>
            </w:tcBorders>
            <w:tcMar>
              <w:top w:w="45" w:type="dxa"/>
              <w:left w:w="45" w:type="dxa"/>
              <w:bottom w:w="45" w:type="dxa"/>
              <w:right w:w="45" w:type="dxa"/>
            </w:tcMar>
            <w:vAlign w:val="center"/>
          </w:tcPr>
          <w:p w14:paraId="63AB7671">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8</w:t>
            </w:r>
          </w:p>
        </w:tc>
        <w:tc>
          <w:tcPr>
            <w:tcW w:w="640" w:type="pct"/>
            <w:tcBorders>
              <w:top w:val="nil"/>
              <w:left w:val="nil"/>
              <w:bottom w:val="nil"/>
              <w:right w:val="nil"/>
              <w:insideH w:val="nil"/>
              <w:insideV w:val="nil"/>
            </w:tcBorders>
            <w:tcMar>
              <w:top w:w="45" w:type="dxa"/>
              <w:left w:w="45" w:type="dxa"/>
              <w:bottom w:w="45" w:type="dxa"/>
              <w:right w:w="45" w:type="dxa"/>
            </w:tcMar>
            <w:vAlign w:val="center"/>
          </w:tcPr>
          <w:p w14:paraId="0FC3D253">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−0.41</w:t>
            </w:r>
          </w:p>
        </w:tc>
        <w:tc>
          <w:tcPr>
            <w:tcW w:w="1005" w:type="pct"/>
            <w:tcBorders>
              <w:top w:val="nil"/>
              <w:left w:val="nil"/>
              <w:bottom w:val="nil"/>
              <w:right w:val="nil"/>
              <w:insideH w:val="nil"/>
              <w:insideV w:val="nil"/>
            </w:tcBorders>
            <w:tcMar>
              <w:top w:w="45" w:type="dxa"/>
              <w:left w:w="45" w:type="dxa"/>
              <w:bottom w:w="45" w:type="dxa"/>
              <w:right w:w="45" w:type="dxa"/>
            </w:tcMar>
            <w:vAlign w:val="center"/>
          </w:tcPr>
          <w:p w14:paraId="5F9AE73E">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−0.51 to −0.31</w:t>
            </w:r>
          </w:p>
        </w:tc>
        <w:tc>
          <w:tcPr>
            <w:tcW w:w="426" w:type="pct"/>
            <w:tcBorders>
              <w:top w:val="nil"/>
              <w:left w:val="nil"/>
              <w:bottom w:val="nil"/>
              <w:right w:val="nil"/>
              <w:insideH w:val="nil"/>
              <w:insideV w:val="nil"/>
            </w:tcBorders>
            <w:tcMar>
              <w:top w:w="45" w:type="dxa"/>
              <w:left w:w="45" w:type="dxa"/>
              <w:bottom w:w="45" w:type="dxa"/>
              <w:right w:w="45" w:type="dxa"/>
            </w:tcMar>
            <w:vAlign w:val="center"/>
          </w:tcPr>
          <w:p w14:paraId="51BB7813">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31.43</w:t>
            </w:r>
          </w:p>
        </w:tc>
        <w:tc>
          <w:tcPr>
            <w:tcW w:w="1452" w:type="pct"/>
            <w:tcBorders>
              <w:top w:val="nil"/>
              <w:left w:val="nil"/>
              <w:bottom w:val="nil"/>
              <w:right w:val="nil"/>
              <w:insideH w:val="nil"/>
              <w:insideV w:val="nil"/>
            </w:tcBorders>
            <w:tcMar>
              <w:top w:w="45" w:type="dxa"/>
              <w:left w:w="45" w:type="dxa"/>
              <w:bottom w:w="45" w:type="dxa"/>
              <w:right w:w="45" w:type="dxa"/>
            </w:tcMar>
            <w:vAlign w:val="center"/>
          </w:tcPr>
          <w:p w14:paraId="12B41E72">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−0.66 to −0.17</w:t>
            </w:r>
          </w:p>
        </w:tc>
      </w:tr>
      <w:tr w14:paraId="1022E31E">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1324" w:type="pct"/>
            <w:tcBorders>
              <w:top w:val="nil"/>
              <w:left w:val="nil"/>
              <w:bottom w:val="nil"/>
              <w:right w:val="nil"/>
              <w:insideH w:val="nil"/>
              <w:insideV w:val="nil"/>
            </w:tcBorders>
            <w:tcMar>
              <w:top w:w="45" w:type="dxa"/>
              <w:left w:w="45" w:type="dxa"/>
              <w:bottom w:w="45" w:type="dxa"/>
              <w:right w:w="45" w:type="dxa"/>
            </w:tcMar>
            <w:vAlign w:val="center"/>
          </w:tcPr>
          <w:p w14:paraId="58F23A09">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Harrer et al. (2019)</w:t>
            </w:r>
          </w:p>
        </w:tc>
        <w:tc>
          <w:tcPr>
            <w:tcW w:w="150" w:type="pct"/>
            <w:tcBorders>
              <w:top w:val="nil"/>
              <w:left w:val="nil"/>
              <w:bottom w:val="nil"/>
              <w:right w:val="nil"/>
              <w:insideH w:val="nil"/>
              <w:insideV w:val="nil"/>
            </w:tcBorders>
            <w:tcMar>
              <w:top w:w="45" w:type="dxa"/>
              <w:left w:w="45" w:type="dxa"/>
              <w:bottom w:w="45" w:type="dxa"/>
              <w:right w:w="45" w:type="dxa"/>
            </w:tcMar>
            <w:vAlign w:val="center"/>
          </w:tcPr>
          <w:p w14:paraId="310562B5">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8</w:t>
            </w:r>
          </w:p>
        </w:tc>
        <w:tc>
          <w:tcPr>
            <w:tcW w:w="640" w:type="pct"/>
            <w:tcBorders>
              <w:top w:val="nil"/>
              <w:left w:val="nil"/>
              <w:bottom w:val="nil"/>
              <w:right w:val="nil"/>
              <w:insideH w:val="nil"/>
              <w:insideV w:val="nil"/>
            </w:tcBorders>
            <w:tcMar>
              <w:top w:w="45" w:type="dxa"/>
              <w:left w:w="45" w:type="dxa"/>
              <w:bottom w:w="45" w:type="dxa"/>
              <w:right w:w="45" w:type="dxa"/>
            </w:tcMar>
            <w:vAlign w:val="center"/>
          </w:tcPr>
          <w:p w14:paraId="341C5E98">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−0.48</w:t>
            </w:r>
          </w:p>
        </w:tc>
        <w:tc>
          <w:tcPr>
            <w:tcW w:w="1005" w:type="pct"/>
            <w:tcBorders>
              <w:top w:val="nil"/>
              <w:left w:val="nil"/>
              <w:bottom w:val="nil"/>
              <w:right w:val="nil"/>
              <w:insideH w:val="nil"/>
              <w:insideV w:val="nil"/>
            </w:tcBorders>
            <w:tcMar>
              <w:top w:w="45" w:type="dxa"/>
              <w:left w:w="45" w:type="dxa"/>
              <w:bottom w:w="45" w:type="dxa"/>
              <w:right w:w="45" w:type="dxa"/>
            </w:tcMar>
            <w:vAlign w:val="center"/>
          </w:tcPr>
          <w:p w14:paraId="5D3EB4BC">
            <w:pPr>
              <w:spacing w:before="0" w:after="0" w:line="240" w:lineRule="auto"/>
              <w:jc w:val="center"/>
              <w:rPr>
                <w:rFonts w:hint="eastAsia" w:ascii="Times New Roman" w:hAnsi="Times New Roman" w:eastAsia="宋体" w:cs="Times New Roman"/>
                <w:b w:val="0"/>
                <w:color w:val="000000"/>
                <w:sz w:val="16"/>
                <w:szCs w:val="16"/>
                <w:lang w:eastAsia="zh-CN"/>
              </w:rPr>
            </w:pPr>
            <w:r>
              <w:rPr>
                <w:rFonts w:hint="default" w:ascii="Times New Roman" w:hAnsi="Times New Roman" w:cs="Times New Roman"/>
                <w:sz w:val="16"/>
                <w:szCs w:val="16"/>
              </w:rPr>
              <w:t>−0.55 to −0.4</w:t>
            </w:r>
            <w:r>
              <w:rPr>
                <w:rFonts w:hint="eastAsia" w:cs="Times New Roman"/>
                <w:sz w:val="16"/>
                <w:szCs w:val="16"/>
                <w:lang w:val="en-US" w:eastAsia="zh-CN"/>
              </w:rPr>
              <w:t>1</w:t>
            </w:r>
          </w:p>
        </w:tc>
        <w:tc>
          <w:tcPr>
            <w:tcW w:w="426" w:type="pct"/>
            <w:tcBorders>
              <w:top w:val="nil"/>
              <w:left w:val="nil"/>
              <w:bottom w:val="nil"/>
              <w:right w:val="nil"/>
              <w:insideH w:val="nil"/>
              <w:insideV w:val="nil"/>
            </w:tcBorders>
            <w:tcMar>
              <w:top w:w="45" w:type="dxa"/>
              <w:left w:w="45" w:type="dxa"/>
              <w:bottom w:w="45" w:type="dxa"/>
              <w:right w:w="45" w:type="dxa"/>
            </w:tcMar>
            <w:vAlign w:val="center"/>
          </w:tcPr>
          <w:p w14:paraId="4860F70F">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0.00</w:t>
            </w:r>
          </w:p>
        </w:tc>
        <w:tc>
          <w:tcPr>
            <w:tcW w:w="1452" w:type="pct"/>
            <w:tcBorders>
              <w:top w:val="nil"/>
              <w:left w:val="nil"/>
              <w:bottom w:val="nil"/>
              <w:right w:val="nil"/>
              <w:insideH w:val="nil"/>
              <w:insideV w:val="nil"/>
            </w:tcBorders>
            <w:tcMar>
              <w:top w:w="45" w:type="dxa"/>
              <w:left w:w="45" w:type="dxa"/>
              <w:bottom w:w="45" w:type="dxa"/>
              <w:right w:w="45" w:type="dxa"/>
            </w:tcMar>
            <w:vAlign w:val="center"/>
          </w:tcPr>
          <w:p w14:paraId="5026584E">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−0.55 to −0.40</w:t>
            </w:r>
          </w:p>
        </w:tc>
      </w:tr>
      <w:tr w14:paraId="26FFFC26">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1324" w:type="pct"/>
            <w:tcBorders>
              <w:top w:val="nil"/>
              <w:left w:val="nil"/>
              <w:bottom w:val="nil"/>
              <w:right w:val="nil"/>
              <w:insideH w:val="nil"/>
              <w:insideV w:val="nil"/>
            </w:tcBorders>
            <w:tcMar>
              <w:top w:w="45" w:type="dxa"/>
              <w:left w:w="45" w:type="dxa"/>
              <w:bottom w:w="45" w:type="dxa"/>
              <w:right w:w="45" w:type="dxa"/>
            </w:tcMar>
            <w:vAlign w:val="center"/>
          </w:tcPr>
          <w:p w14:paraId="390888EC">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Townsend et al. (2022)</w:t>
            </w:r>
          </w:p>
        </w:tc>
        <w:tc>
          <w:tcPr>
            <w:tcW w:w="150" w:type="pct"/>
            <w:tcBorders>
              <w:top w:val="nil"/>
              <w:left w:val="nil"/>
              <w:bottom w:val="nil"/>
              <w:right w:val="nil"/>
              <w:insideH w:val="nil"/>
              <w:insideV w:val="nil"/>
            </w:tcBorders>
            <w:tcMar>
              <w:top w:w="45" w:type="dxa"/>
              <w:left w:w="45" w:type="dxa"/>
              <w:bottom w:w="45" w:type="dxa"/>
              <w:right w:w="45" w:type="dxa"/>
            </w:tcMar>
            <w:vAlign w:val="center"/>
          </w:tcPr>
          <w:p w14:paraId="33C8F717">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8</w:t>
            </w:r>
          </w:p>
        </w:tc>
        <w:tc>
          <w:tcPr>
            <w:tcW w:w="640" w:type="pct"/>
            <w:tcBorders>
              <w:top w:val="nil"/>
              <w:left w:val="nil"/>
              <w:bottom w:val="nil"/>
              <w:right w:val="nil"/>
              <w:insideH w:val="nil"/>
              <w:insideV w:val="nil"/>
            </w:tcBorders>
            <w:tcMar>
              <w:top w:w="45" w:type="dxa"/>
              <w:left w:w="45" w:type="dxa"/>
              <w:bottom w:w="45" w:type="dxa"/>
              <w:right w:w="45" w:type="dxa"/>
            </w:tcMar>
            <w:vAlign w:val="center"/>
          </w:tcPr>
          <w:p w14:paraId="501838FE">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−0.42</w:t>
            </w:r>
          </w:p>
        </w:tc>
        <w:tc>
          <w:tcPr>
            <w:tcW w:w="1005" w:type="pct"/>
            <w:tcBorders>
              <w:top w:val="nil"/>
              <w:left w:val="nil"/>
              <w:bottom w:val="nil"/>
              <w:right w:val="nil"/>
              <w:insideH w:val="nil"/>
              <w:insideV w:val="nil"/>
            </w:tcBorders>
            <w:tcMar>
              <w:top w:w="45" w:type="dxa"/>
              <w:left w:w="45" w:type="dxa"/>
              <w:bottom w:w="45" w:type="dxa"/>
              <w:right w:w="45" w:type="dxa"/>
            </w:tcMar>
            <w:vAlign w:val="center"/>
          </w:tcPr>
          <w:p w14:paraId="36420C58">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−0.53 to −0.32</w:t>
            </w:r>
          </w:p>
        </w:tc>
        <w:tc>
          <w:tcPr>
            <w:tcW w:w="426" w:type="pct"/>
            <w:tcBorders>
              <w:top w:val="nil"/>
              <w:left w:val="nil"/>
              <w:bottom w:val="nil"/>
              <w:right w:val="nil"/>
              <w:insideH w:val="nil"/>
              <w:insideV w:val="nil"/>
            </w:tcBorders>
            <w:tcMar>
              <w:top w:w="45" w:type="dxa"/>
              <w:left w:w="45" w:type="dxa"/>
              <w:bottom w:w="45" w:type="dxa"/>
              <w:right w:w="45" w:type="dxa"/>
            </w:tcMar>
            <w:vAlign w:val="center"/>
          </w:tcPr>
          <w:p w14:paraId="17C6D922">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40.98</w:t>
            </w:r>
          </w:p>
        </w:tc>
        <w:tc>
          <w:tcPr>
            <w:tcW w:w="1452" w:type="pct"/>
            <w:tcBorders>
              <w:top w:val="nil"/>
              <w:left w:val="nil"/>
              <w:bottom w:val="nil"/>
              <w:right w:val="nil"/>
              <w:insideH w:val="nil"/>
              <w:insideV w:val="nil"/>
            </w:tcBorders>
            <w:tcMar>
              <w:top w:w="45" w:type="dxa"/>
              <w:left w:w="45" w:type="dxa"/>
              <w:bottom w:w="45" w:type="dxa"/>
              <w:right w:w="45" w:type="dxa"/>
            </w:tcMar>
            <w:vAlign w:val="center"/>
          </w:tcPr>
          <w:p w14:paraId="2CF925A7">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−0.68 to −0.17</w:t>
            </w:r>
          </w:p>
        </w:tc>
      </w:tr>
      <w:tr w14:paraId="68557E6B">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1324" w:type="pct"/>
            <w:tcBorders>
              <w:top w:val="nil"/>
              <w:left w:val="nil"/>
              <w:bottom w:val="nil"/>
              <w:right w:val="nil"/>
              <w:insideH w:val="nil"/>
              <w:insideV w:val="nil"/>
            </w:tcBorders>
            <w:tcMar>
              <w:top w:w="45" w:type="dxa"/>
              <w:left w:w="45" w:type="dxa"/>
              <w:bottom w:w="45" w:type="dxa"/>
              <w:right w:w="45" w:type="dxa"/>
            </w:tcMar>
            <w:vAlign w:val="center"/>
          </w:tcPr>
          <w:p w14:paraId="1D4BF9F4">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Garrido et al. (2019)</w:t>
            </w:r>
          </w:p>
        </w:tc>
        <w:tc>
          <w:tcPr>
            <w:tcW w:w="150" w:type="pct"/>
            <w:tcBorders>
              <w:top w:val="nil"/>
              <w:left w:val="nil"/>
              <w:bottom w:val="nil"/>
              <w:right w:val="nil"/>
              <w:insideH w:val="nil"/>
              <w:insideV w:val="nil"/>
            </w:tcBorders>
            <w:tcMar>
              <w:top w:w="45" w:type="dxa"/>
              <w:left w:w="45" w:type="dxa"/>
              <w:bottom w:w="45" w:type="dxa"/>
              <w:right w:w="45" w:type="dxa"/>
            </w:tcMar>
            <w:vAlign w:val="center"/>
          </w:tcPr>
          <w:p w14:paraId="0903E6CF">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8</w:t>
            </w:r>
          </w:p>
        </w:tc>
        <w:tc>
          <w:tcPr>
            <w:tcW w:w="640" w:type="pct"/>
            <w:tcBorders>
              <w:top w:val="nil"/>
              <w:left w:val="nil"/>
              <w:bottom w:val="nil"/>
              <w:right w:val="nil"/>
              <w:insideH w:val="nil"/>
              <w:insideV w:val="nil"/>
            </w:tcBorders>
            <w:tcMar>
              <w:top w:w="45" w:type="dxa"/>
              <w:left w:w="45" w:type="dxa"/>
              <w:bottom w:w="45" w:type="dxa"/>
              <w:right w:w="45" w:type="dxa"/>
            </w:tcMar>
            <w:vAlign w:val="center"/>
          </w:tcPr>
          <w:p w14:paraId="72D8F25A">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−0.45</w:t>
            </w:r>
          </w:p>
        </w:tc>
        <w:tc>
          <w:tcPr>
            <w:tcW w:w="1005" w:type="pct"/>
            <w:tcBorders>
              <w:top w:val="nil"/>
              <w:left w:val="nil"/>
              <w:bottom w:val="nil"/>
              <w:right w:val="nil"/>
              <w:insideH w:val="nil"/>
              <w:insideV w:val="nil"/>
            </w:tcBorders>
            <w:tcMar>
              <w:top w:w="45" w:type="dxa"/>
              <w:left w:w="45" w:type="dxa"/>
              <w:bottom w:w="45" w:type="dxa"/>
              <w:right w:w="45" w:type="dxa"/>
            </w:tcMar>
            <w:vAlign w:val="center"/>
          </w:tcPr>
          <w:p w14:paraId="19A96658">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−0.55 to −0.34</w:t>
            </w:r>
          </w:p>
        </w:tc>
        <w:tc>
          <w:tcPr>
            <w:tcW w:w="426" w:type="pct"/>
            <w:tcBorders>
              <w:top w:val="nil"/>
              <w:left w:val="nil"/>
              <w:bottom w:val="nil"/>
              <w:right w:val="nil"/>
              <w:insideH w:val="nil"/>
              <w:insideV w:val="nil"/>
            </w:tcBorders>
            <w:tcMar>
              <w:top w:w="45" w:type="dxa"/>
              <w:left w:w="45" w:type="dxa"/>
              <w:bottom w:w="45" w:type="dxa"/>
              <w:right w:w="45" w:type="dxa"/>
            </w:tcMar>
            <w:vAlign w:val="center"/>
          </w:tcPr>
          <w:p w14:paraId="0532DE66">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42.51</w:t>
            </w:r>
          </w:p>
        </w:tc>
        <w:tc>
          <w:tcPr>
            <w:tcW w:w="1452" w:type="pct"/>
            <w:tcBorders>
              <w:top w:val="nil"/>
              <w:left w:val="nil"/>
              <w:bottom w:val="nil"/>
              <w:right w:val="nil"/>
              <w:insideH w:val="nil"/>
              <w:insideV w:val="nil"/>
            </w:tcBorders>
            <w:tcMar>
              <w:top w:w="45" w:type="dxa"/>
              <w:left w:w="45" w:type="dxa"/>
              <w:bottom w:w="45" w:type="dxa"/>
              <w:right w:w="45" w:type="dxa"/>
            </w:tcMar>
            <w:vAlign w:val="center"/>
          </w:tcPr>
          <w:p w14:paraId="712D7C2A">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−0.72 to −0.17</w:t>
            </w:r>
          </w:p>
        </w:tc>
      </w:tr>
      <w:tr w14:paraId="369B1CF4">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1324" w:type="pct"/>
            <w:tcBorders>
              <w:top w:val="nil"/>
              <w:left w:val="nil"/>
              <w:bottom w:val="nil"/>
              <w:right w:val="nil"/>
              <w:insideH w:val="nil"/>
              <w:insideV w:val="nil"/>
            </w:tcBorders>
            <w:tcMar>
              <w:top w:w="45" w:type="dxa"/>
              <w:left w:w="45" w:type="dxa"/>
              <w:bottom w:w="45" w:type="dxa"/>
              <w:right w:w="45" w:type="dxa"/>
            </w:tcMar>
            <w:vAlign w:val="center"/>
          </w:tcPr>
          <w:p w14:paraId="5752979E">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Lin et al. (2026)</w:t>
            </w:r>
          </w:p>
        </w:tc>
        <w:tc>
          <w:tcPr>
            <w:tcW w:w="150" w:type="pct"/>
            <w:tcBorders>
              <w:top w:val="nil"/>
              <w:left w:val="nil"/>
              <w:bottom w:val="nil"/>
              <w:right w:val="nil"/>
              <w:insideH w:val="nil"/>
              <w:insideV w:val="nil"/>
            </w:tcBorders>
            <w:tcMar>
              <w:top w:w="45" w:type="dxa"/>
              <w:left w:w="45" w:type="dxa"/>
              <w:bottom w:w="45" w:type="dxa"/>
              <w:right w:w="45" w:type="dxa"/>
            </w:tcMar>
            <w:vAlign w:val="center"/>
          </w:tcPr>
          <w:p w14:paraId="6505E549">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8</w:t>
            </w:r>
          </w:p>
        </w:tc>
        <w:tc>
          <w:tcPr>
            <w:tcW w:w="640" w:type="pct"/>
            <w:tcBorders>
              <w:top w:val="nil"/>
              <w:left w:val="nil"/>
              <w:bottom w:val="nil"/>
              <w:right w:val="nil"/>
              <w:insideH w:val="nil"/>
              <w:insideV w:val="nil"/>
            </w:tcBorders>
            <w:tcMar>
              <w:top w:w="45" w:type="dxa"/>
              <w:left w:w="45" w:type="dxa"/>
              <w:bottom w:w="45" w:type="dxa"/>
              <w:right w:w="45" w:type="dxa"/>
            </w:tcMar>
            <w:vAlign w:val="center"/>
          </w:tcPr>
          <w:p w14:paraId="1CA5179D">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−0.43</w:t>
            </w:r>
          </w:p>
        </w:tc>
        <w:tc>
          <w:tcPr>
            <w:tcW w:w="1005" w:type="pct"/>
            <w:tcBorders>
              <w:top w:val="nil"/>
              <w:left w:val="nil"/>
              <w:bottom w:val="nil"/>
              <w:right w:val="nil"/>
              <w:insideH w:val="nil"/>
              <w:insideV w:val="nil"/>
            </w:tcBorders>
            <w:tcMar>
              <w:top w:w="45" w:type="dxa"/>
              <w:left w:w="45" w:type="dxa"/>
              <w:bottom w:w="45" w:type="dxa"/>
              <w:right w:w="45" w:type="dxa"/>
            </w:tcMar>
            <w:vAlign w:val="center"/>
          </w:tcPr>
          <w:p w14:paraId="303F7933">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−0.54 to −0.31</w:t>
            </w:r>
          </w:p>
        </w:tc>
        <w:tc>
          <w:tcPr>
            <w:tcW w:w="426" w:type="pct"/>
            <w:tcBorders>
              <w:top w:val="nil"/>
              <w:left w:val="nil"/>
              <w:bottom w:val="nil"/>
              <w:right w:val="nil"/>
              <w:insideH w:val="nil"/>
              <w:insideV w:val="nil"/>
            </w:tcBorders>
            <w:tcMar>
              <w:top w:w="45" w:type="dxa"/>
              <w:left w:w="45" w:type="dxa"/>
              <w:bottom w:w="45" w:type="dxa"/>
              <w:right w:w="45" w:type="dxa"/>
            </w:tcMar>
            <w:vAlign w:val="center"/>
          </w:tcPr>
          <w:p w14:paraId="6B599AB1">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39.13</w:t>
            </w:r>
          </w:p>
        </w:tc>
        <w:tc>
          <w:tcPr>
            <w:tcW w:w="1452" w:type="pct"/>
            <w:tcBorders>
              <w:top w:val="nil"/>
              <w:left w:val="nil"/>
              <w:bottom w:val="nil"/>
              <w:right w:val="nil"/>
              <w:insideH w:val="nil"/>
              <w:insideV w:val="nil"/>
            </w:tcBorders>
            <w:tcMar>
              <w:top w:w="45" w:type="dxa"/>
              <w:left w:w="45" w:type="dxa"/>
              <w:bottom w:w="45" w:type="dxa"/>
              <w:right w:w="45" w:type="dxa"/>
            </w:tcMar>
            <w:vAlign w:val="center"/>
          </w:tcPr>
          <w:p w14:paraId="6BBC076F">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−0.71 to −0.15</w:t>
            </w:r>
          </w:p>
        </w:tc>
      </w:tr>
      <w:tr w14:paraId="2C2A6C48">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1324" w:type="pct"/>
            <w:tcBorders>
              <w:top w:val="nil"/>
              <w:left w:val="nil"/>
              <w:bottom w:val="nil"/>
              <w:right w:val="nil"/>
              <w:insideH w:val="nil"/>
              <w:insideV w:val="nil"/>
            </w:tcBorders>
            <w:tcMar>
              <w:top w:w="45" w:type="dxa"/>
              <w:left w:w="45" w:type="dxa"/>
              <w:bottom w:w="45" w:type="dxa"/>
              <w:right w:w="45" w:type="dxa"/>
            </w:tcMar>
            <w:vAlign w:val="center"/>
          </w:tcPr>
          <w:p w14:paraId="474BD24B">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Tian et al. (2025)</w:t>
            </w:r>
          </w:p>
        </w:tc>
        <w:tc>
          <w:tcPr>
            <w:tcW w:w="150" w:type="pct"/>
            <w:tcBorders>
              <w:top w:val="nil"/>
              <w:left w:val="nil"/>
              <w:bottom w:val="nil"/>
              <w:right w:val="nil"/>
              <w:insideH w:val="nil"/>
              <w:insideV w:val="nil"/>
            </w:tcBorders>
            <w:tcMar>
              <w:top w:w="45" w:type="dxa"/>
              <w:left w:w="45" w:type="dxa"/>
              <w:bottom w:w="45" w:type="dxa"/>
              <w:right w:w="45" w:type="dxa"/>
            </w:tcMar>
            <w:vAlign w:val="center"/>
          </w:tcPr>
          <w:p w14:paraId="338FAE60">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8</w:t>
            </w:r>
          </w:p>
        </w:tc>
        <w:tc>
          <w:tcPr>
            <w:tcW w:w="640" w:type="pct"/>
            <w:tcBorders>
              <w:top w:val="nil"/>
              <w:left w:val="nil"/>
              <w:bottom w:val="nil"/>
              <w:right w:val="nil"/>
              <w:insideH w:val="nil"/>
              <w:insideV w:val="nil"/>
            </w:tcBorders>
            <w:tcMar>
              <w:top w:w="45" w:type="dxa"/>
              <w:left w:w="45" w:type="dxa"/>
              <w:bottom w:w="45" w:type="dxa"/>
              <w:right w:w="45" w:type="dxa"/>
            </w:tcMar>
            <w:vAlign w:val="center"/>
          </w:tcPr>
          <w:p w14:paraId="4D12E455">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−0.42</w:t>
            </w:r>
          </w:p>
        </w:tc>
        <w:tc>
          <w:tcPr>
            <w:tcW w:w="1005" w:type="pct"/>
            <w:tcBorders>
              <w:top w:val="nil"/>
              <w:left w:val="nil"/>
              <w:bottom w:val="nil"/>
              <w:right w:val="nil"/>
              <w:insideH w:val="nil"/>
              <w:insideV w:val="nil"/>
            </w:tcBorders>
            <w:tcMar>
              <w:top w:w="45" w:type="dxa"/>
              <w:left w:w="45" w:type="dxa"/>
              <w:bottom w:w="45" w:type="dxa"/>
              <w:right w:w="45" w:type="dxa"/>
            </w:tcMar>
            <w:vAlign w:val="center"/>
          </w:tcPr>
          <w:p w14:paraId="7D7F6A80">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−0.52 to −0.31</w:t>
            </w:r>
          </w:p>
        </w:tc>
        <w:tc>
          <w:tcPr>
            <w:tcW w:w="426" w:type="pct"/>
            <w:tcBorders>
              <w:top w:val="nil"/>
              <w:left w:val="nil"/>
              <w:bottom w:val="nil"/>
              <w:right w:val="nil"/>
              <w:insideH w:val="nil"/>
              <w:insideV w:val="nil"/>
            </w:tcBorders>
            <w:tcMar>
              <w:top w:w="45" w:type="dxa"/>
              <w:left w:w="45" w:type="dxa"/>
              <w:bottom w:w="45" w:type="dxa"/>
              <w:right w:w="45" w:type="dxa"/>
            </w:tcMar>
            <w:vAlign w:val="center"/>
          </w:tcPr>
          <w:p w14:paraId="0CE06CF1">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37.66</w:t>
            </w:r>
          </w:p>
        </w:tc>
        <w:tc>
          <w:tcPr>
            <w:tcW w:w="1452" w:type="pct"/>
            <w:tcBorders>
              <w:top w:val="nil"/>
              <w:left w:val="nil"/>
              <w:bottom w:val="nil"/>
              <w:right w:val="nil"/>
              <w:insideH w:val="nil"/>
              <w:insideV w:val="nil"/>
            </w:tcBorders>
            <w:tcMar>
              <w:top w:w="45" w:type="dxa"/>
              <w:left w:w="45" w:type="dxa"/>
              <w:bottom w:w="45" w:type="dxa"/>
              <w:right w:w="45" w:type="dxa"/>
            </w:tcMar>
            <w:vAlign w:val="center"/>
          </w:tcPr>
          <w:p w14:paraId="701E097B">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−0.67 to −0.16</w:t>
            </w:r>
          </w:p>
        </w:tc>
      </w:tr>
      <w:tr w14:paraId="7CA9EF10">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1324" w:type="pct"/>
            <w:tcBorders>
              <w:top w:val="nil"/>
              <w:left w:val="nil"/>
              <w:bottom w:val="single" w:color="000000" w:sz="12" w:space="0"/>
              <w:right w:val="nil"/>
              <w:insideH w:val="nil"/>
              <w:insideV w:val="nil"/>
            </w:tcBorders>
            <w:tcMar>
              <w:top w:w="45" w:type="dxa"/>
              <w:left w:w="45" w:type="dxa"/>
              <w:bottom w:w="45" w:type="dxa"/>
              <w:right w:w="45" w:type="dxa"/>
            </w:tcMar>
            <w:vAlign w:val="center"/>
          </w:tcPr>
          <w:p w14:paraId="3D800B2E">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Christ et al. (2020)</w:t>
            </w:r>
          </w:p>
        </w:tc>
        <w:tc>
          <w:tcPr>
            <w:tcW w:w="150" w:type="pct"/>
            <w:tcBorders>
              <w:top w:val="nil"/>
              <w:left w:val="nil"/>
              <w:bottom w:val="single" w:color="000000" w:sz="12" w:space="0"/>
              <w:right w:val="nil"/>
              <w:insideH w:val="nil"/>
              <w:insideV w:val="nil"/>
            </w:tcBorders>
            <w:tcMar>
              <w:top w:w="45" w:type="dxa"/>
              <w:left w:w="45" w:type="dxa"/>
              <w:bottom w:w="45" w:type="dxa"/>
              <w:right w:w="45" w:type="dxa"/>
            </w:tcMar>
            <w:vAlign w:val="center"/>
          </w:tcPr>
          <w:p w14:paraId="035AC2D5">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8</w:t>
            </w:r>
          </w:p>
        </w:tc>
        <w:tc>
          <w:tcPr>
            <w:tcW w:w="640" w:type="pct"/>
            <w:tcBorders>
              <w:top w:val="nil"/>
              <w:left w:val="nil"/>
              <w:bottom w:val="single" w:color="000000" w:sz="12" w:space="0"/>
              <w:right w:val="nil"/>
              <w:insideH w:val="nil"/>
              <w:insideV w:val="nil"/>
            </w:tcBorders>
            <w:tcMar>
              <w:top w:w="45" w:type="dxa"/>
              <w:left w:w="45" w:type="dxa"/>
              <w:bottom w:w="45" w:type="dxa"/>
              <w:right w:w="45" w:type="dxa"/>
            </w:tcMar>
            <w:vAlign w:val="center"/>
          </w:tcPr>
          <w:p w14:paraId="60A968D1">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−0.41</w:t>
            </w:r>
          </w:p>
        </w:tc>
        <w:tc>
          <w:tcPr>
            <w:tcW w:w="1005" w:type="pct"/>
            <w:tcBorders>
              <w:top w:val="nil"/>
              <w:left w:val="nil"/>
              <w:bottom w:val="single" w:color="000000" w:sz="12" w:space="0"/>
              <w:right w:val="nil"/>
              <w:insideH w:val="nil"/>
              <w:insideV w:val="nil"/>
            </w:tcBorders>
            <w:tcMar>
              <w:top w:w="45" w:type="dxa"/>
              <w:left w:w="45" w:type="dxa"/>
              <w:bottom w:w="45" w:type="dxa"/>
              <w:right w:w="45" w:type="dxa"/>
            </w:tcMar>
            <w:vAlign w:val="center"/>
          </w:tcPr>
          <w:p w14:paraId="1294355A">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−0.52 to −0.30</w:t>
            </w:r>
          </w:p>
        </w:tc>
        <w:tc>
          <w:tcPr>
            <w:tcW w:w="426" w:type="pct"/>
            <w:tcBorders>
              <w:top w:val="nil"/>
              <w:left w:val="nil"/>
              <w:bottom w:val="single" w:color="000000" w:sz="12" w:space="0"/>
              <w:right w:val="nil"/>
              <w:insideH w:val="nil"/>
              <w:insideV w:val="nil"/>
            </w:tcBorders>
            <w:tcMar>
              <w:top w:w="45" w:type="dxa"/>
              <w:left w:w="45" w:type="dxa"/>
              <w:bottom w:w="45" w:type="dxa"/>
              <w:right w:w="45" w:type="dxa"/>
            </w:tcMar>
            <w:vAlign w:val="center"/>
          </w:tcPr>
          <w:p w14:paraId="6EB2A524">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28.84</w:t>
            </w:r>
          </w:p>
        </w:tc>
        <w:tc>
          <w:tcPr>
            <w:tcW w:w="1452" w:type="pct"/>
            <w:tcBorders>
              <w:top w:val="nil"/>
              <w:left w:val="nil"/>
              <w:bottom w:val="single" w:color="000000" w:sz="12" w:space="0"/>
              <w:right w:val="nil"/>
              <w:insideH w:val="nil"/>
              <w:insideV w:val="nil"/>
            </w:tcBorders>
            <w:tcMar>
              <w:top w:w="45" w:type="dxa"/>
              <w:left w:w="45" w:type="dxa"/>
              <w:bottom w:w="45" w:type="dxa"/>
              <w:right w:w="45" w:type="dxa"/>
            </w:tcMar>
            <w:vAlign w:val="center"/>
          </w:tcPr>
          <w:p w14:paraId="45F8598E">
            <w:pPr>
              <w:spacing w:before="0" w:after="0" w:line="240" w:lineRule="auto"/>
              <w:jc w:val="center"/>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−0.66 to −0.16</w:t>
            </w:r>
          </w:p>
        </w:tc>
      </w:tr>
    </w:tbl>
    <w:p w14:paraId="134E1CFB">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rPr>
          <w:rFonts w:ascii="Times New Roman" w:hAnsi="Times New Roman" w:eastAsia="宋体"/>
          <w:i/>
          <w:kern w:val="2"/>
          <w:sz w:val="16"/>
          <w:szCs w:val="24"/>
          <w:lang w:eastAsia="zh-CN"/>
        </w:rPr>
      </w:pPr>
      <w:r>
        <w:rPr>
          <w:rFonts w:hint="default" w:ascii="Times New Roman" w:hAnsi="Times New Roman" w:eastAsia="宋体"/>
          <w:b/>
          <w:bCs/>
          <w:i/>
          <w:kern w:val="2"/>
          <w:sz w:val="16"/>
          <w:szCs w:val="24"/>
          <w:lang w:eastAsia="zh-CN"/>
        </w:rPr>
        <w:t>Note</w:t>
      </w:r>
      <w:r>
        <w:rPr>
          <w:rFonts w:ascii="Times New Roman" w:hAnsi="Times New Roman" w:eastAsia="宋体"/>
          <w:i/>
          <w:kern w:val="2"/>
          <w:sz w:val="16"/>
          <w:szCs w:val="24"/>
          <w:lang w:eastAsia="zh-CN"/>
        </w:rPr>
        <w:t>. Each row presents the strict primary meta-meta-analysis after omission of the indicated review. Negative SMD values favour digital psychological interventions.</w:t>
      </w:r>
    </w:p>
    <w:p w14:paraId="35DDE3E5">
      <w:pPr>
        <w:pStyle w:val="4"/>
        <w:bidi w:val="0"/>
        <w:rPr>
          <w:rFonts w:ascii="Times New Roman" w:hAnsi="Times New Roman"/>
          <w:lang w:val="en-US" w:eastAsia="en-US"/>
        </w:rPr>
      </w:pPr>
      <w:bookmarkStart w:id="8" w:name="_Toc4557"/>
      <w:r>
        <w:rPr>
          <w:rFonts w:ascii="Times New Roman" w:hAnsi="Times New Roman"/>
          <w:lang w:val="en-US" w:eastAsia="en-US"/>
        </w:rPr>
        <w:t>Supplementary Table S</w:t>
      </w:r>
      <w:r>
        <w:rPr>
          <w:rFonts w:hint="eastAsia" w:eastAsia="宋体"/>
          <w:lang w:val="en-US" w:eastAsia="zh-CN"/>
        </w:rPr>
        <w:t>8</w:t>
      </w:r>
      <w:r>
        <w:rPr>
          <w:rFonts w:ascii="Times New Roman" w:hAnsi="Times New Roman"/>
          <w:lang w:val="en-US" w:eastAsia="en-US"/>
        </w:rPr>
        <w:t>. Mapping coverage and residual limitations</w:t>
      </w:r>
      <w:bookmarkEnd w:id="8"/>
    </w:p>
    <w:tbl>
      <w:tblPr>
        <w:tblStyle w:val="35"/>
        <w:tblW w:w="0" w:type="auto"/>
        <w:jc w:val="center"/>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Layout w:type="autofit"/>
        <w:tblCellMar>
          <w:top w:w="0" w:type="dxa"/>
          <w:left w:w="108" w:type="dxa"/>
          <w:bottom w:w="0" w:type="dxa"/>
          <w:right w:w="108" w:type="dxa"/>
        </w:tblCellMar>
      </w:tblPr>
      <w:tblGrid>
        <w:gridCol w:w="2834"/>
        <w:gridCol w:w="1924"/>
        <w:gridCol w:w="8292"/>
      </w:tblGrid>
      <w:tr w14:paraId="52E0A6B6">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tblHeader/>
          <w:jc w:val="center"/>
        </w:trPr>
        <w:tc>
          <w:tcPr>
            <w:tcW w:w="0" w:type="auto"/>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1D1499BA">
            <w:pPr>
              <w:spacing w:before="0" w:after="0" w:line="240" w:lineRule="auto"/>
              <w:rPr>
                <w:rFonts w:hint="default" w:ascii="Times New Roman" w:hAnsi="Times New Roman" w:eastAsia="宋体" w:cs="Times New Roman"/>
                <w:b/>
                <w:bCs/>
                <w:color w:val="000000"/>
                <w:sz w:val="16"/>
                <w:szCs w:val="16"/>
              </w:rPr>
            </w:pPr>
            <w:r>
              <w:rPr>
                <w:rFonts w:hint="default" w:ascii="Times New Roman" w:hAnsi="Times New Roman" w:cs="Times New Roman"/>
                <w:b/>
                <w:bCs/>
                <w:sz w:val="16"/>
                <w:szCs w:val="16"/>
              </w:rPr>
              <w:t>Mapping scope</w:t>
            </w:r>
          </w:p>
        </w:tc>
        <w:tc>
          <w:tcPr>
            <w:tcW w:w="0" w:type="auto"/>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19D0688F">
            <w:pPr>
              <w:spacing w:before="0" w:after="0" w:line="240" w:lineRule="auto"/>
              <w:rPr>
                <w:rFonts w:hint="default" w:ascii="Times New Roman" w:hAnsi="Times New Roman" w:eastAsia="宋体" w:cs="Times New Roman"/>
                <w:b/>
                <w:bCs/>
                <w:color w:val="000000"/>
                <w:sz w:val="16"/>
                <w:szCs w:val="16"/>
              </w:rPr>
            </w:pPr>
            <w:r>
              <w:rPr>
                <w:rFonts w:hint="default" w:ascii="Times New Roman" w:hAnsi="Times New Roman" w:cs="Times New Roman"/>
                <w:b/>
                <w:bCs/>
                <w:sz w:val="16"/>
                <w:szCs w:val="16"/>
              </w:rPr>
              <w:t>Coverage status</w:t>
            </w:r>
          </w:p>
        </w:tc>
        <w:tc>
          <w:tcPr>
            <w:tcW w:w="0" w:type="auto"/>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0242E3EA">
            <w:pPr>
              <w:spacing w:before="0" w:after="0" w:line="240" w:lineRule="auto"/>
              <w:rPr>
                <w:rFonts w:hint="default" w:ascii="Times New Roman" w:hAnsi="Times New Roman" w:eastAsia="宋体" w:cs="Times New Roman"/>
                <w:b/>
                <w:bCs/>
                <w:color w:val="000000"/>
                <w:sz w:val="16"/>
                <w:szCs w:val="16"/>
              </w:rPr>
            </w:pPr>
            <w:r>
              <w:rPr>
                <w:rFonts w:hint="default" w:ascii="Times New Roman" w:hAnsi="Times New Roman" w:cs="Times New Roman"/>
                <w:b/>
                <w:bCs/>
                <w:sz w:val="16"/>
                <w:szCs w:val="16"/>
              </w:rPr>
              <w:t>Evidential basis and residual limitation</w:t>
            </w:r>
          </w:p>
        </w:tc>
      </w:tr>
      <w:tr w14:paraId="4CCA93E1">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502B1338">
            <w:pPr>
              <w:spacing w:before="0" w:after="0" w:line="240" w:lineRule="auto"/>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Strict primary 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25EF418">
            <w:pPr>
              <w:spacing w:before="0" w:after="0" w:line="240" w:lineRule="auto"/>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Complete</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B1B4AC2">
            <w:pPr>
              <w:spacing w:before="0" w:after="0" w:line="240" w:lineRule="auto"/>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The model comprised 83 review–RCT incidences across 62 independent RCT clusters and 9 reviews. All memberships used in the overlap calculation were individually verified; CCA = 4.23%.</w:t>
            </w:r>
          </w:p>
        </w:tc>
      </w:tr>
      <w:tr w14:paraId="3A3E8AD2">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3DB7DB46">
            <w:pPr>
              <w:spacing w:before="0" w:after="0" w:line="240" w:lineRule="auto"/>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Active-control subgroup</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9DCCC92">
            <w:pPr>
              <w:spacing w:before="0" w:after="0" w:line="240" w:lineRule="auto"/>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Complete</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BA62796">
            <w:pPr>
              <w:spacing w:before="0" w:after="0" w:line="240" w:lineRule="auto"/>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The model comprised 21 review–RCT incidences across 20 independent RCT clusters and 4 reviews. All model memberships were verified; CCA = 1.67%.</w:t>
            </w:r>
          </w:p>
        </w:tc>
      </w:tr>
      <w:tr w14:paraId="3F93F9AE">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7796DE43">
            <w:pPr>
              <w:spacing w:before="0" w:after="0" w:line="240" w:lineRule="auto"/>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Extended evidence-set sensitivity analysis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6CC3A85B">
            <w:pPr>
              <w:spacing w:before="0" w:after="0" w:line="240" w:lineRule="auto"/>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Complete for model-level overlap assessment</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7515FEAE">
            <w:pPr>
              <w:spacing w:before="0" w:after="0" w:line="240" w:lineRule="auto"/>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 xml:space="preserve">The additional memberships contributed by </w:t>
            </w:r>
            <w:r>
              <w:rPr>
                <w:rFonts w:hint="eastAsia" w:cs="Times New Roman"/>
                <w:sz w:val="16"/>
                <w:szCs w:val="16"/>
                <w:lang w:eastAsia="zh-CN"/>
              </w:rPr>
              <w:t>Takizawa et al. (2026)</w:t>
            </w:r>
            <w:r>
              <w:rPr>
                <w:rFonts w:hint="default" w:ascii="Times New Roman" w:hAnsi="Times New Roman" w:cs="Times New Roman"/>
                <w:sz w:val="16"/>
                <w:szCs w:val="16"/>
              </w:rPr>
              <w:t xml:space="preserve"> and Ye et al. (2014) were audited together with the strict-primary memberships; CCA = 3.29%.</w:t>
            </w:r>
          </w:p>
        </w:tc>
      </w:tr>
      <w:tr w14:paraId="450C289F">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tcMar>
              <w:top w:w="45" w:type="dxa"/>
              <w:left w:w="45" w:type="dxa"/>
              <w:bottom w:w="45" w:type="dxa"/>
              <w:right w:w="45" w:type="dxa"/>
            </w:tcMar>
            <w:vAlign w:val="center"/>
          </w:tcPr>
          <w:p w14:paraId="67808A09">
            <w:pPr>
              <w:spacing w:before="0" w:after="0" w:line="240" w:lineRule="auto"/>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Extracted depression effects across included reviews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414A4D3E">
            <w:pPr>
              <w:spacing w:before="0" w:after="0" w:line="240" w:lineRule="auto"/>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Complete for reliably extractable reported effects</w:t>
            </w:r>
          </w:p>
        </w:tc>
        <w:tc>
          <w:tcPr>
            <w:tcW w:w="0" w:type="auto"/>
            <w:tcBorders>
              <w:top w:val="nil"/>
              <w:left w:val="nil"/>
              <w:bottom w:val="nil"/>
              <w:right w:val="nil"/>
              <w:insideH w:val="nil"/>
              <w:insideV w:val="nil"/>
            </w:tcBorders>
            <w:tcMar>
              <w:top w:w="45" w:type="dxa"/>
              <w:left w:w="45" w:type="dxa"/>
              <w:bottom w:w="45" w:type="dxa"/>
              <w:right w:w="45" w:type="dxa"/>
            </w:tcMar>
            <w:vAlign w:val="center"/>
          </w:tcPr>
          <w:p w14:paraId="19968616">
            <w:pPr>
              <w:spacing w:before="0" w:after="0" w:line="240" w:lineRule="auto"/>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All depression effect estimates that could be reliably identified in the included reviews and accompanying materials were retained in the analysis ledger. Values not reported or not recoverable from the source materials were recorded as NR and were not imputed.</w:t>
            </w:r>
          </w:p>
        </w:tc>
      </w:tr>
      <w:tr w14:paraId="2F98F77F">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0" w:type="auto"/>
            <w:tcBorders>
              <w:top w:val="nil"/>
              <w:left w:val="nil"/>
              <w:bottom w:val="single" w:color="000000" w:sz="12" w:space="0"/>
              <w:right w:val="nil"/>
              <w:insideH w:val="nil"/>
              <w:insideV w:val="nil"/>
            </w:tcBorders>
            <w:tcMar>
              <w:top w:w="45" w:type="dxa"/>
              <w:left w:w="45" w:type="dxa"/>
              <w:bottom w:w="45" w:type="dxa"/>
              <w:right w:w="45" w:type="dxa"/>
            </w:tcMar>
            <w:vAlign w:val="center"/>
          </w:tcPr>
          <w:p w14:paraId="6955C57A">
            <w:pPr>
              <w:spacing w:before="0" w:after="0" w:line="240" w:lineRule="auto"/>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Analysis-specific membership of every eligible meta-analysis in all 33 reviews</w:t>
            </w:r>
          </w:p>
        </w:tc>
        <w:tc>
          <w:tcPr>
            <w:tcW w:w="0" w:type="auto"/>
            <w:tcBorders>
              <w:top w:val="nil"/>
              <w:left w:val="nil"/>
              <w:bottom w:val="single" w:color="000000" w:sz="12" w:space="0"/>
              <w:right w:val="nil"/>
              <w:insideH w:val="nil"/>
              <w:insideV w:val="nil"/>
            </w:tcBorders>
            <w:tcMar>
              <w:top w:w="45" w:type="dxa"/>
              <w:left w:w="45" w:type="dxa"/>
              <w:bottom w:w="45" w:type="dxa"/>
              <w:right w:w="45" w:type="dxa"/>
            </w:tcMar>
            <w:vAlign w:val="center"/>
          </w:tcPr>
          <w:p w14:paraId="362A3F12">
            <w:pPr>
              <w:spacing w:before="0" w:after="0" w:line="240" w:lineRule="auto"/>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Not claimed</w:t>
            </w:r>
          </w:p>
        </w:tc>
        <w:tc>
          <w:tcPr>
            <w:tcW w:w="0" w:type="auto"/>
            <w:tcBorders>
              <w:top w:val="nil"/>
              <w:left w:val="nil"/>
              <w:bottom w:val="single" w:color="000000" w:sz="12" w:space="0"/>
              <w:right w:val="nil"/>
              <w:insideH w:val="nil"/>
              <w:insideV w:val="nil"/>
            </w:tcBorders>
            <w:tcMar>
              <w:top w:w="45" w:type="dxa"/>
              <w:left w:w="45" w:type="dxa"/>
              <w:bottom w:w="45" w:type="dxa"/>
              <w:right w:w="45" w:type="dxa"/>
            </w:tcMar>
            <w:vAlign w:val="center"/>
          </w:tcPr>
          <w:p w14:paraId="3480C089">
            <w:pPr>
              <w:spacing w:before="0" w:after="0" w:line="240" w:lineRule="auto"/>
              <w:rPr>
                <w:rFonts w:hint="default" w:ascii="Times New Roman" w:hAnsi="Times New Roman" w:eastAsia="宋体" w:cs="Times New Roman"/>
                <w:b w:val="0"/>
                <w:color w:val="000000"/>
                <w:sz w:val="16"/>
                <w:szCs w:val="16"/>
              </w:rPr>
            </w:pPr>
            <w:r>
              <w:rPr>
                <w:rFonts w:hint="default" w:ascii="Times New Roman" w:hAnsi="Times New Roman" w:cs="Times New Roman"/>
                <w:sz w:val="16"/>
                <w:szCs w:val="16"/>
              </w:rPr>
              <w:t>Some source reviews did not report the complete primary-study membership of individual analyses. Complete RCT mapping is therefore claimed only for the prespecified pooled models for which membership could be reliably established.</w:t>
            </w:r>
          </w:p>
        </w:tc>
      </w:tr>
    </w:tbl>
    <w:p w14:paraId="3E085F14">
      <w:pPr>
        <w:pStyle w:val="4"/>
        <w:bidi w:val="0"/>
        <w:rPr>
          <w:rFonts w:ascii="Times New Roman" w:hAnsi="Times New Roman"/>
          <w:lang w:val="en-US" w:eastAsia="en-US"/>
        </w:rPr>
      </w:pPr>
      <w:bookmarkStart w:id="9" w:name="_Toc11735"/>
      <w:r>
        <w:rPr>
          <w:rFonts w:ascii="Times New Roman" w:hAnsi="Times New Roman"/>
          <w:lang w:val="en-US" w:eastAsia="en-US"/>
        </w:rPr>
        <w:t>Supplementary Table S</w:t>
      </w:r>
      <w:r>
        <w:rPr>
          <w:rFonts w:hint="eastAsia" w:eastAsia="宋体"/>
          <w:lang w:val="en-US" w:eastAsia="zh-CN"/>
        </w:rPr>
        <w:t>9</w:t>
      </w:r>
      <w:r>
        <w:rPr>
          <w:rFonts w:ascii="Times New Roman" w:hAnsi="Times New Roman"/>
          <w:lang w:val="en-US" w:eastAsia="en-US"/>
        </w:rPr>
        <w:t>. Quality-restricted sensitivity-analysis feasibility</w:t>
      </w:r>
      <w:bookmarkEnd w:id="9"/>
    </w:p>
    <w:tbl>
      <w:tblPr>
        <w:tblStyle w:val="35"/>
        <w:tblW w:w="4999" w:type="pct"/>
        <w:jc w:val="center"/>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Layout w:type="autofit"/>
        <w:tblCellMar>
          <w:top w:w="0" w:type="dxa"/>
          <w:left w:w="108" w:type="dxa"/>
          <w:bottom w:w="0" w:type="dxa"/>
          <w:right w:w="108" w:type="dxa"/>
        </w:tblCellMar>
      </w:tblPr>
      <w:tblGrid>
        <w:gridCol w:w="2618"/>
        <w:gridCol w:w="3634"/>
        <w:gridCol w:w="2507"/>
        <w:gridCol w:w="1721"/>
        <w:gridCol w:w="2567"/>
      </w:tblGrid>
      <w:tr w14:paraId="793E3FD2">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PrEx>
        <w:trPr>
          <w:cantSplit/>
          <w:tblHeader/>
          <w:jc w:val="center"/>
        </w:trPr>
        <w:tc>
          <w:tcPr>
            <w:tcW w:w="1003" w:type="pct"/>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157545B7">
            <w:pPr>
              <w:rPr>
                <w:rFonts w:hint="default" w:ascii="Times New Roman" w:hAnsi="Times New Roman" w:cs="Times New Roman"/>
                <w:b/>
                <w:bCs/>
                <w:sz w:val="16"/>
                <w:szCs w:val="16"/>
              </w:rPr>
            </w:pPr>
            <w:r>
              <w:rPr>
                <w:rFonts w:hint="default" w:ascii="Times New Roman" w:hAnsi="Times New Roman" w:cs="Times New Roman"/>
                <w:b/>
                <w:bCs/>
                <w:sz w:val="16"/>
                <w:szCs w:val="16"/>
              </w:rPr>
              <w:t>Review</w:t>
            </w:r>
          </w:p>
        </w:tc>
        <w:tc>
          <w:tcPr>
            <w:tcW w:w="1392" w:type="pct"/>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2D6827CF">
            <w:pPr>
              <w:rPr>
                <w:rFonts w:hint="default" w:ascii="Times New Roman" w:hAnsi="Times New Roman" w:cs="Times New Roman"/>
                <w:b/>
                <w:bCs/>
                <w:sz w:val="16"/>
                <w:szCs w:val="16"/>
              </w:rPr>
            </w:pPr>
            <w:r>
              <w:rPr>
                <w:rFonts w:hint="default" w:ascii="Times New Roman" w:hAnsi="Times New Roman" w:cs="Times New Roman"/>
                <w:b/>
                <w:bCs/>
                <w:sz w:val="16"/>
                <w:szCs w:val="16"/>
              </w:rPr>
              <w:t>AMSTAR 2 overall confidence</w:t>
            </w:r>
          </w:p>
        </w:tc>
        <w:tc>
          <w:tcPr>
            <w:tcW w:w="960" w:type="pct"/>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36467C0D">
            <w:pPr>
              <w:rPr>
                <w:rFonts w:hint="default" w:ascii="Times New Roman" w:hAnsi="Times New Roman" w:cs="Times New Roman"/>
                <w:b/>
                <w:bCs/>
                <w:sz w:val="16"/>
                <w:szCs w:val="16"/>
              </w:rPr>
            </w:pPr>
            <w:r>
              <w:rPr>
                <w:rFonts w:hint="default" w:ascii="Times New Roman" w:hAnsi="Times New Roman" w:cs="Times New Roman"/>
                <w:b/>
                <w:bCs/>
                <w:sz w:val="16"/>
                <w:szCs w:val="16"/>
              </w:rPr>
              <w:t>Strict-primary effect</w:t>
            </w:r>
          </w:p>
        </w:tc>
        <w:tc>
          <w:tcPr>
            <w:tcW w:w="659" w:type="pct"/>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0593FA97">
            <w:pPr>
              <w:rPr>
                <w:rFonts w:hint="default" w:ascii="Times New Roman" w:hAnsi="Times New Roman" w:cs="Times New Roman"/>
                <w:b/>
                <w:bCs/>
                <w:sz w:val="16"/>
                <w:szCs w:val="16"/>
              </w:rPr>
            </w:pPr>
            <w:r>
              <w:rPr>
                <w:rFonts w:hint="default" w:ascii="Times New Roman" w:hAnsi="Times New Roman" w:cs="Times New Roman"/>
                <w:b/>
                <w:bCs/>
                <w:sz w:val="16"/>
                <w:szCs w:val="16"/>
              </w:rPr>
              <w:t>95% CI</w:t>
            </w:r>
          </w:p>
        </w:tc>
        <w:tc>
          <w:tcPr>
            <w:tcW w:w="983" w:type="pct"/>
            <w:tcBorders>
              <w:top w:val="single" w:color="000000" w:sz="12" w:space="0"/>
              <w:left w:val="nil"/>
              <w:bottom w:val="single" w:color="000000" w:sz="8" w:space="0"/>
              <w:right w:val="nil"/>
              <w:insideH w:val="nil"/>
              <w:insideV w:val="nil"/>
            </w:tcBorders>
            <w:tcMar>
              <w:top w:w="45" w:type="dxa"/>
              <w:left w:w="45" w:type="dxa"/>
              <w:bottom w:w="45" w:type="dxa"/>
              <w:right w:w="45" w:type="dxa"/>
            </w:tcMar>
            <w:vAlign w:val="center"/>
          </w:tcPr>
          <w:p w14:paraId="2F4404F8">
            <w:pPr>
              <w:rPr>
                <w:rFonts w:hint="default" w:ascii="Times New Roman" w:hAnsi="Times New Roman" w:cs="Times New Roman"/>
                <w:b/>
                <w:bCs/>
                <w:sz w:val="16"/>
                <w:szCs w:val="16"/>
              </w:rPr>
            </w:pPr>
            <w:r>
              <w:rPr>
                <w:rFonts w:hint="default" w:ascii="Times New Roman" w:hAnsi="Times New Roman" w:cs="Times New Roman"/>
                <w:b/>
                <w:bCs/>
                <w:sz w:val="16"/>
                <w:szCs w:val="16"/>
              </w:rPr>
              <w:t>Quality-restricted set</w:t>
            </w:r>
          </w:p>
        </w:tc>
      </w:tr>
      <w:tr w14:paraId="062DB124">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1003" w:type="pct"/>
            <w:tcBorders>
              <w:top w:val="nil"/>
              <w:left w:val="nil"/>
              <w:bottom w:val="nil"/>
              <w:right w:val="nil"/>
              <w:insideH w:val="nil"/>
              <w:insideV w:val="nil"/>
            </w:tcBorders>
            <w:tcMar>
              <w:top w:w="45" w:type="dxa"/>
              <w:left w:w="45" w:type="dxa"/>
              <w:bottom w:w="45" w:type="dxa"/>
              <w:right w:w="45" w:type="dxa"/>
            </w:tcMar>
            <w:vAlign w:val="center"/>
          </w:tcPr>
          <w:p w14:paraId="3E6E4065">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Thabrew et al. (2018)</w:t>
            </w:r>
          </w:p>
        </w:tc>
        <w:tc>
          <w:tcPr>
            <w:tcW w:w="1392" w:type="pct"/>
            <w:tcBorders>
              <w:top w:val="nil"/>
              <w:left w:val="nil"/>
              <w:bottom w:val="nil"/>
              <w:right w:val="nil"/>
              <w:insideH w:val="nil"/>
              <w:insideV w:val="nil"/>
            </w:tcBorders>
            <w:tcMar>
              <w:top w:w="45" w:type="dxa"/>
              <w:left w:w="45" w:type="dxa"/>
              <w:bottom w:w="45" w:type="dxa"/>
              <w:right w:w="45" w:type="dxa"/>
            </w:tcMar>
            <w:vAlign w:val="center"/>
          </w:tcPr>
          <w:p w14:paraId="5C7F5AFB">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Moderate</w:t>
            </w:r>
          </w:p>
        </w:tc>
        <w:tc>
          <w:tcPr>
            <w:tcW w:w="960" w:type="pct"/>
            <w:tcBorders>
              <w:top w:val="nil"/>
              <w:left w:val="nil"/>
              <w:bottom w:val="nil"/>
              <w:right w:val="nil"/>
              <w:insideH w:val="nil"/>
              <w:insideV w:val="nil"/>
            </w:tcBorders>
            <w:tcMar>
              <w:top w:w="45" w:type="dxa"/>
              <w:left w:w="45" w:type="dxa"/>
              <w:bottom w:w="45" w:type="dxa"/>
              <w:right w:w="45" w:type="dxa"/>
            </w:tcMar>
            <w:vAlign w:val="center"/>
          </w:tcPr>
          <w:p w14:paraId="02A12514">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−0.40</w:t>
            </w:r>
          </w:p>
        </w:tc>
        <w:tc>
          <w:tcPr>
            <w:tcW w:w="659" w:type="pct"/>
            <w:tcBorders>
              <w:top w:val="nil"/>
              <w:left w:val="nil"/>
              <w:bottom w:val="nil"/>
              <w:right w:val="nil"/>
              <w:insideH w:val="nil"/>
              <w:insideV w:val="nil"/>
            </w:tcBorders>
            <w:tcMar>
              <w:top w:w="45" w:type="dxa"/>
              <w:left w:w="45" w:type="dxa"/>
              <w:bottom w:w="45" w:type="dxa"/>
              <w:right w:w="45" w:type="dxa"/>
            </w:tcMar>
            <w:vAlign w:val="center"/>
          </w:tcPr>
          <w:p w14:paraId="3D965B9A">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−0.91 to 0.11</w:t>
            </w:r>
          </w:p>
        </w:tc>
        <w:tc>
          <w:tcPr>
            <w:tcW w:w="983" w:type="pct"/>
            <w:tcBorders>
              <w:top w:val="nil"/>
              <w:left w:val="nil"/>
              <w:bottom w:val="nil"/>
              <w:right w:val="nil"/>
              <w:insideH w:val="nil"/>
              <w:insideV w:val="nil"/>
            </w:tcBorders>
            <w:tcMar>
              <w:top w:w="45" w:type="dxa"/>
              <w:left w:w="45" w:type="dxa"/>
              <w:bottom w:w="45" w:type="dxa"/>
              <w:right w:w="45" w:type="dxa"/>
            </w:tcMar>
            <w:vAlign w:val="center"/>
          </w:tcPr>
          <w:p w14:paraId="6A02578F">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Retained</w:t>
            </w:r>
          </w:p>
        </w:tc>
      </w:tr>
      <w:tr w14:paraId="5D9B0DA5">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1003" w:type="pct"/>
            <w:tcBorders>
              <w:top w:val="nil"/>
              <w:left w:val="nil"/>
              <w:bottom w:val="nil"/>
              <w:right w:val="nil"/>
              <w:insideH w:val="nil"/>
              <w:insideV w:val="nil"/>
            </w:tcBorders>
            <w:tcMar>
              <w:top w:w="45" w:type="dxa"/>
              <w:left w:w="45" w:type="dxa"/>
              <w:bottom w:w="45" w:type="dxa"/>
              <w:right w:w="45" w:type="dxa"/>
            </w:tcMar>
            <w:vAlign w:val="center"/>
          </w:tcPr>
          <w:p w14:paraId="3AF5C4A8">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Ebert et al. (2015)</w:t>
            </w:r>
          </w:p>
        </w:tc>
        <w:tc>
          <w:tcPr>
            <w:tcW w:w="1392" w:type="pct"/>
            <w:tcBorders>
              <w:top w:val="nil"/>
              <w:left w:val="nil"/>
              <w:bottom w:val="nil"/>
              <w:right w:val="nil"/>
              <w:insideH w:val="nil"/>
              <w:insideV w:val="nil"/>
            </w:tcBorders>
            <w:tcMar>
              <w:top w:w="45" w:type="dxa"/>
              <w:left w:w="45" w:type="dxa"/>
              <w:bottom w:w="45" w:type="dxa"/>
              <w:right w:w="45" w:type="dxa"/>
            </w:tcMar>
            <w:vAlign w:val="center"/>
          </w:tcPr>
          <w:p w14:paraId="34ABA2AA">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Low</w:t>
            </w:r>
          </w:p>
        </w:tc>
        <w:tc>
          <w:tcPr>
            <w:tcW w:w="960" w:type="pct"/>
            <w:tcBorders>
              <w:top w:val="nil"/>
              <w:left w:val="nil"/>
              <w:bottom w:val="nil"/>
              <w:right w:val="nil"/>
              <w:insideH w:val="nil"/>
              <w:insideV w:val="nil"/>
            </w:tcBorders>
            <w:tcMar>
              <w:top w:w="45" w:type="dxa"/>
              <w:left w:w="45" w:type="dxa"/>
              <w:bottom w:w="45" w:type="dxa"/>
              <w:right w:w="45" w:type="dxa"/>
            </w:tcMar>
            <w:vAlign w:val="center"/>
          </w:tcPr>
          <w:p w14:paraId="7E7C6052">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−0.56</w:t>
            </w:r>
          </w:p>
        </w:tc>
        <w:tc>
          <w:tcPr>
            <w:tcW w:w="659" w:type="pct"/>
            <w:tcBorders>
              <w:top w:val="nil"/>
              <w:left w:val="nil"/>
              <w:bottom w:val="nil"/>
              <w:right w:val="nil"/>
              <w:insideH w:val="nil"/>
              <w:insideV w:val="nil"/>
            </w:tcBorders>
            <w:tcMar>
              <w:top w:w="45" w:type="dxa"/>
              <w:left w:w="45" w:type="dxa"/>
              <w:bottom w:w="45" w:type="dxa"/>
              <w:right w:w="45" w:type="dxa"/>
            </w:tcMar>
            <w:vAlign w:val="center"/>
          </w:tcPr>
          <w:p w14:paraId="703D1C6B">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−0.82 to −0.31</w:t>
            </w:r>
          </w:p>
        </w:tc>
        <w:tc>
          <w:tcPr>
            <w:tcW w:w="983" w:type="pct"/>
            <w:tcBorders>
              <w:top w:val="nil"/>
              <w:left w:val="nil"/>
              <w:bottom w:val="nil"/>
              <w:right w:val="nil"/>
              <w:insideH w:val="nil"/>
              <w:insideV w:val="nil"/>
            </w:tcBorders>
            <w:tcMar>
              <w:top w:w="45" w:type="dxa"/>
              <w:left w:w="45" w:type="dxa"/>
              <w:bottom w:w="45" w:type="dxa"/>
              <w:right w:w="45" w:type="dxa"/>
            </w:tcMar>
            <w:vAlign w:val="center"/>
          </w:tcPr>
          <w:p w14:paraId="1C3BE5CD">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Retained</w:t>
            </w:r>
          </w:p>
        </w:tc>
      </w:tr>
      <w:tr w14:paraId="6A72EF2B">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1003" w:type="pct"/>
            <w:tcBorders>
              <w:top w:val="nil"/>
              <w:left w:val="nil"/>
              <w:bottom w:val="nil"/>
              <w:right w:val="nil"/>
              <w:insideH w:val="nil"/>
              <w:insideV w:val="nil"/>
            </w:tcBorders>
            <w:tcMar>
              <w:top w:w="45" w:type="dxa"/>
              <w:left w:w="45" w:type="dxa"/>
              <w:bottom w:w="45" w:type="dxa"/>
              <w:right w:w="45" w:type="dxa"/>
            </w:tcMar>
            <w:vAlign w:val="center"/>
          </w:tcPr>
          <w:p w14:paraId="5F952CA8">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Pennant et al. (2015)</w:t>
            </w:r>
          </w:p>
        </w:tc>
        <w:tc>
          <w:tcPr>
            <w:tcW w:w="1392" w:type="pct"/>
            <w:tcBorders>
              <w:top w:val="nil"/>
              <w:left w:val="nil"/>
              <w:bottom w:val="nil"/>
              <w:right w:val="nil"/>
              <w:insideH w:val="nil"/>
              <w:insideV w:val="nil"/>
            </w:tcBorders>
            <w:tcMar>
              <w:top w:w="45" w:type="dxa"/>
              <w:left w:w="45" w:type="dxa"/>
              <w:bottom w:w="45" w:type="dxa"/>
              <w:right w:w="45" w:type="dxa"/>
            </w:tcMar>
            <w:vAlign w:val="center"/>
          </w:tcPr>
          <w:p w14:paraId="52DE04DF">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Critically low</w:t>
            </w:r>
          </w:p>
        </w:tc>
        <w:tc>
          <w:tcPr>
            <w:tcW w:w="960" w:type="pct"/>
            <w:tcBorders>
              <w:top w:val="nil"/>
              <w:left w:val="nil"/>
              <w:bottom w:val="nil"/>
              <w:right w:val="nil"/>
              <w:insideH w:val="nil"/>
              <w:insideV w:val="nil"/>
            </w:tcBorders>
            <w:tcMar>
              <w:top w:w="45" w:type="dxa"/>
              <w:left w:w="45" w:type="dxa"/>
              <w:bottom w:w="45" w:type="dxa"/>
              <w:right w:w="45" w:type="dxa"/>
            </w:tcMar>
            <w:vAlign w:val="center"/>
          </w:tcPr>
          <w:p w14:paraId="6020CB35">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−0.62</w:t>
            </w:r>
          </w:p>
        </w:tc>
        <w:tc>
          <w:tcPr>
            <w:tcW w:w="659" w:type="pct"/>
            <w:tcBorders>
              <w:top w:val="nil"/>
              <w:left w:val="nil"/>
              <w:bottom w:val="nil"/>
              <w:right w:val="nil"/>
              <w:insideH w:val="nil"/>
              <w:insideV w:val="nil"/>
            </w:tcBorders>
            <w:tcMar>
              <w:top w:w="45" w:type="dxa"/>
              <w:left w:w="45" w:type="dxa"/>
              <w:bottom w:w="45" w:type="dxa"/>
              <w:right w:w="45" w:type="dxa"/>
            </w:tcMar>
            <w:vAlign w:val="center"/>
          </w:tcPr>
          <w:p w14:paraId="7B73FE06">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−1.13 to −0.11</w:t>
            </w:r>
          </w:p>
        </w:tc>
        <w:tc>
          <w:tcPr>
            <w:tcW w:w="983" w:type="pct"/>
            <w:tcBorders>
              <w:top w:val="nil"/>
              <w:left w:val="nil"/>
              <w:bottom w:val="nil"/>
              <w:right w:val="nil"/>
              <w:insideH w:val="nil"/>
              <w:insideV w:val="nil"/>
            </w:tcBorders>
            <w:tcMar>
              <w:top w:w="45" w:type="dxa"/>
              <w:left w:w="45" w:type="dxa"/>
              <w:bottom w:w="45" w:type="dxa"/>
              <w:right w:w="45" w:type="dxa"/>
            </w:tcMar>
            <w:vAlign w:val="center"/>
          </w:tcPr>
          <w:p w14:paraId="714C41F4">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Not retained</w:t>
            </w:r>
          </w:p>
        </w:tc>
      </w:tr>
      <w:tr w14:paraId="20373C37">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1003" w:type="pct"/>
            <w:tcBorders>
              <w:top w:val="nil"/>
              <w:left w:val="nil"/>
              <w:bottom w:val="nil"/>
              <w:right w:val="nil"/>
              <w:insideH w:val="nil"/>
              <w:insideV w:val="nil"/>
            </w:tcBorders>
            <w:tcMar>
              <w:top w:w="45" w:type="dxa"/>
              <w:left w:w="45" w:type="dxa"/>
              <w:bottom w:w="45" w:type="dxa"/>
              <w:right w:w="45" w:type="dxa"/>
            </w:tcMar>
            <w:vAlign w:val="center"/>
          </w:tcPr>
          <w:p w14:paraId="77C45771">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Harrer et al. (2019)</w:t>
            </w:r>
          </w:p>
        </w:tc>
        <w:tc>
          <w:tcPr>
            <w:tcW w:w="1392" w:type="pct"/>
            <w:tcBorders>
              <w:top w:val="nil"/>
              <w:left w:val="nil"/>
              <w:bottom w:val="nil"/>
              <w:right w:val="nil"/>
              <w:insideH w:val="nil"/>
              <w:insideV w:val="nil"/>
            </w:tcBorders>
            <w:tcMar>
              <w:top w:w="45" w:type="dxa"/>
              <w:left w:w="45" w:type="dxa"/>
              <w:bottom w:w="45" w:type="dxa"/>
              <w:right w:w="45" w:type="dxa"/>
            </w:tcMar>
            <w:vAlign w:val="center"/>
          </w:tcPr>
          <w:p w14:paraId="08AF38E7">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Critically low</w:t>
            </w:r>
          </w:p>
        </w:tc>
        <w:tc>
          <w:tcPr>
            <w:tcW w:w="960" w:type="pct"/>
            <w:tcBorders>
              <w:top w:val="nil"/>
              <w:left w:val="nil"/>
              <w:bottom w:val="nil"/>
              <w:right w:val="nil"/>
              <w:insideH w:val="nil"/>
              <w:insideV w:val="nil"/>
            </w:tcBorders>
            <w:tcMar>
              <w:top w:w="45" w:type="dxa"/>
              <w:left w:w="45" w:type="dxa"/>
              <w:bottom w:w="45" w:type="dxa"/>
              <w:right w:w="45" w:type="dxa"/>
            </w:tcMar>
            <w:vAlign w:val="center"/>
          </w:tcPr>
          <w:p w14:paraId="3CBC59A8">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−0.27</w:t>
            </w:r>
          </w:p>
        </w:tc>
        <w:tc>
          <w:tcPr>
            <w:tcW w:w="659" w:type="pct"/>
            <w:tcBorders>
              <w:top w:val="nil"/>
              <w:left w:val="nil"/>
              <w:bottom w:val="nil"/>
              <w:right w:val="nil"/>
              <w:insideH w:val="nil"/>
              <w:insideV w:val="nil"/>
            </w:tcBorders>
            <w:tcMar>
              <w:top w:w="45" w:type="dxa"/>
              <w:left w:w="45" w:type="dxa"/>
              <w:bottom w:w="45" w:type="dxa"/>
              <w:right w:w="45" w:type="dxa"/>
            </w:tcMar>
            <w:vAlign w:val="center"/>
          </w:tcPr>
          <w:p w14:paraId="6349E66A">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−0.36 to −0.17</w:t>
            </w:r>
          </w:p>
        </w:tc>
        <w:tc>
          <w:tcPr>
            <w:tcW w:w="983" w:type="pct"/>
            <w:tcBorders>
              <w:top w:val="nil"/>
              <w:left w:val="nil"/>
              <w:bottom w:val="nil"/>
              <w:right w:val="nil"/>
              <w:insideH w:val="nil"/>
              <w:insideV w:val="nil"/>
            </w:tcBorders>
            <w:tcMar>
              <w:top w:w="45" w:type="dxa"/>
              <w:left w:w="45" w:type="dxa"/>
              <w:bottom w:w="45" w:type="dxa"/>
              <w:right w:w="45" w:type="dxa"/>
            </w:tcMar>
            <w:vAlign w:val="center"/>
          </w:tcPr>
          <w:p w14:paraId="72F06EB1">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Not retained</w:t>
            </w:r>
          </w:p>
        </w:tc>
      </w:tr>
      <w:tr w14:paraId="513B1B6B">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1003" w:type="pct"/>
            <w:tcBorders>
              <w:top w:val="nil"/>
              <w:left w:val="nil"/>
              <w:bottom w:val="nil"/>
              <w:right w:val="nil"/>
              <w:insideH w:val="nil"/>
              <w:insideV w:val="nil"/>
            </w:tcBorders>
            <w:tcMar>
              <w:top w:w="45" w:type="dxa"/>
              <w:left w:w="45" w:type="dxa"/>
              <w:bottom w:w="45" w:type="dxa"/>
              <w:right w:w="45" w:type="dxa"/>
            </w:tcMar>
            <w:vAlign w:val="center"/>
          </w:tcPr>
          <w:p w14:paraId="478521E7">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Townsend et al. (2022)</w:t>
            </w:r>
          </w:p>
        </w:tc>
        <w:tc>
          <w:tcPr>
            <w:tcW w:w="1392" w:type="pct"/>
            <w:tcBorders>
              <w:top w:val="nil"/>
              <w:left w:val="nil"/>
              <w:bottom w:val="nil"/>
              <w:right w:val="nil"/>
              <w:insideH w:val="nil"/>
              <w:insideV w:val="nil"/>
            </w:tcBorders>
            <w:tcMar>
              <w:top w:w="45" w:type="dxa"/>
              <w:left w:w="45" w:type="dxa"/>
              <w:bottom w:w="45" w:type="dxa"/>
              <w:right w:w="45" w:type="dxa"/>
            </w:tcMar>
            <w:vAlign w:val="center"/>
          </w:tcPr>
          <w:p w14:paraId="25E64C07">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Critically low</w:t>
            </w:r>
          </w:p>
        </w:tc>
        <w:tc>
          <w:tcPr>
            <w:tcW w:w="960" w:type="pct"/>
            <w:tcBorders>
              <w:top w:val="nil"/>
              <w:left w:val="nil"/>
              <w:bottom w:val="nil"/>
              <w:right w:val="nil"/>
              <w:insideH w:val="nil"/>
              <w:insideV w:val="nil"/>
            </w:tcBorders>
            <w:tcMar>
              <w:top w:w="45" w:type="dxa"/>
              <w:left w:w="45" w:type="dxa"/>
              <w:bottom w:w="45" w:type="dxa"/>
              <w:right w:w="45" w:type="dxa"/>
            </w:tcMar>
            <w:vAlign w:val="center"/>
          </w:tcPr>
          <w:p w14:paraId="602C03D5">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−0.54</w:t>
            </w:r>
          </w:p>
        </w:tc>
        <w:tc>
          <w:tcPr>
            <w:tcW w:w="659" w:type="pct"/>
            <w:tcBorders>
              <w:top w:val="nil"/>
              <w:left w:val="nil"/>
              <w:bottom w:val="nil"/>
              <w:right w:val="nil"/>
              <w:insideH w:val="nil"/>
              <w:insideV w:val="nil"/>
            </w:tcBorders>
            <w:tcMar>
              <w:top w:w="45" w:type="dxa"/>
              <w:left w:w="45" w:type="dxa"/>
              <w:bottom w:w="45" w:type="dxa"/>
              <w:right w:w="45" w:type="dxa"/>
            </w:tcMar>
            <w:vAlign w:val="center"/>
          </w:tcPr>
          <w:p w14:paraId="6A059701">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−1.00 to −0.08</w:t>
            </w:r>
          </w:p>
        </w:tc>
        <w:tc>
          <w:tcPr>
            <w:tcW w:w="983" w:type="pct"/>
            <w:tcBorders>
              <w:top w:val="nil"/>
              <w:left w:val="nil"/>
              <w:bottom w:val="nil"/>
              <w:right w:val="nil"/>
              <w:insideH w:val="nil"/>
              <w:insideV w:val="nil"/>
            </w:tcBorders>
            <w:tcMar>
              <w:top w:w="45" w:type="dxa"/>
              <w:left w:w="45" w:type="dxa"/>
              <w:bottom w:w="45" w:type="dxa"/>
              <w:right w:w="45" w:type="dxa"/>
            </w:tcMar>
            <w:vAlign w:val="center"/>
          </w:tcPr>
          <w:p w14:paraId="231564CD">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Not retained</w:t>
            </w:r>
          </w:p>
        </w:tc>
      </w:tr>
      <w:tr w14:paraId="28F713B6">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1003" w:type="pct"/>
            <w:tcBorders>
              <w:top w:val="nil"/>
              <w:left w:val="nil"/>
              <w:bottom w:val="nil"/>
              <w:right w:val="nil"/>
              <w:insideH w:val="nil"/>
              <w:insideV w:val="nil"/>
            </w:tcBorders>
            <w:tcMar>
              <w:top w:w="45" w:type="dxa"/>
              <w:left w:w="45" w:type="dxa"/>
              <w:bottom w:w="45" w:type="dxa"/>
              <w:right w:w="45" w:type="dxa"/>
            </w:tcMar>
            <w:vAlign w:val="center"/>
          </w:tcPr>
          <w:p w14:paraId="658A4FEA">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Garrido et al. (2019)</w:t>
            </w:r>
          </w:p>
        </w:tc>
        <w:tc>
          <w:tcPr>
            <w:tcW w:w="1392" w:type="pct"/>
            <w:tcBorders>
              <w:top w:val="nil"/>
              <w:left w:val="nil"/>
              <w:bottom w:val="nil"/>
              <w:right w:val="nil"/>
              <w:insideH w:val="nil"/>
              <w:insideV w:val="nil"/>
            </w:tcBorders>
            <w:tcMar>
              <w:top w:w="45" w:type="dxa"/>
              <w:left w:w="45" w:type="dxa"/>
              <w:bottom w:w="45" w:type="dxa"/>
              <w:right w:w="45" w:type="dxa"/>
            </w:tcMar>
            <w:vAlign w:val="center"/>
          </w:tcPr>
          <w:p w14:paraId="6621A6CD">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Critically low</w:t>
            </w:r>
          </w:p>
        </w:tc>
        <w:tc>
          <w:tcPr>
            <w:tcW w:w="960" w:type="pct"/>
            <w:tcBorders>
              <w:top w:val="nil"/>
              <w:left w:val="nil"/>
              <w:bottom w:val="nil"/>
              <w:right w:val="nil"/>
              <w:insideH w:val="nil"/>
              <w:insideV w:val="nil"/>
            </w:tcBorders>
            <w:tcMar>
              <w:top w:w="45" w:type="dxa"/>
              <w:left w:w="45" w:type="dxa"/>
              <w:bottom w:w="45" w:type="dxa"/>
              <w:right w:w="45" w:type="dxa"/>
            </w:tcMar>
            <w:vAlign w:val="center"/>
          </w:tcPr>
          <w:p w14:paraId="57B496DB">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−0.33</w:t>
            </w:r>
          </w:p>
        </w:tc>
        <w:tc>
          <w:tcPr>
            <w:tcW w:w="659" w:type="pct"/>
            <w:tcBorders>
              <w:top w:val="nil"/>
              <w:left w:val="nil"/>
              <w:bottom w:val="nil"/>
              <w:right w:val="nil"/>
              <w:insideH w:val="nil"/>
              <w:insideV w:val="nil"/>
            </w:tcBorders>
            <w:tcMar>
              <w:top w:w="45" w:type="dxa"/>
              <w:left w:w="45" w:type="dxa"/>
              <w:bottom w:w="45" w:type="dxa"/>
              <w:right w:w="45" w:type="dxa"/>
            </w:tcMar>
            <w:vAlign w:val="center"/>
          </w:tcPr>
          <w:p w14:paraId="09195360">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−0.55 to −0.11</w:t>
            </w:r>
          </w:p>
        </w:tc>
        <w:tc>
          <w:tcPr>
            <w:tcW w:w="983" w:type="pct"/>
            <w:tcBorders>
              <w:top w:val="nil"/>
              <w:left w:val="nil"/>
              <w:bottom w:val="nil"/>
              <w:right w:val="nil"/>
              <w:insideH w:val="nil"/>
              <w:insideV w:val="nil"/>
            </w:tcBorders>
            <w:tcMar>
              <w:top w:w="45" w:type="dxa"/>
              <w:left w:w="45" w:type="dxa"/>
              <w:bottom w:w="45" w:type="dxa"/>
              <w:right w:w="45" w:type="dxa"/>
            </w:tcMar>
            <w:vAlign w:val="center"/>
          </w:tcPr>
          <w:p w14:paraId="2BDE2B3F">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Not retained</w:t>
            </w:r>
          </w:p>
        </w:tc>
      </w:tr>
      <w:tr w14:paraId="4DF8A1D6">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1003" w:type="pct"/>
            <w:tcBorders>
              <w:top w:val="nil"/>
              <w:left w:val="nil"/>
              <w:bottom w:val="nil"/>
              <w:right w:val="nil"/>
              <w:insideH w:val="nil"/>
              <w:insideV w:val="nil"/>
            </w:tcBorders>
            <w:tcMar>
              <w:top w:w="45" w:type="dxa"/>
              <w:left w:w="45" w:type="dxa"/>
              <w:bottom w:w="45" w:type="dxa"/>
              <w:right w:w="45" w:type="dxa"/>
            </w:tcMar>
            <w:vAlign w:val="center"/>
          </w:tcPr>
          <w:p w14:paraId="2726E4FC">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Lin et al. (2026)</w:t>
            </w:r>
          </w:p>
        </w:tc>
        <w:tc>
          <w:tcPr>
            <w:tcW w:w="1392" w:type="pct"/>
            <w:tcBorders>
              <w:top w:val="nil"/>
              <w:left w:val="nil"/>
              <w:bottom w:val="nil"/>
              <w:right w:val="nil"/>
              <w:insideH w:val="nil"/>
              <w:insideV w:val="nil"/>
            </w:tcBorders>
            <w:tcMar>
              <w:top w:w="45" w:type="dxa"/>
              <w:left w:w="45" w:type="dxa"/>
              <w:bottom w:w="45" w:type="dxa"/>
              <w:right w:w="45" w:type="dxa"/>
            </w:tcMar>
            <w:vAlign w:val="center"/>
          </w:tcPr>
          <w:p w14:paraId="58C36902">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Critically low</w:t>
            </w:r>
          </w:p>
        </w:tc>
        <w:tc>
          <w:tcPr>
            <w:tcW w:w="960" w:type="pct"/>
            <w:tcBorders>
              <w:top w:val="nil"/>
              <w:left w:val="nil"/>
              <w:bottom w:val="nil"/>
              <w:right w:val="nil"/>
              <w:insideH w:val="nil"/>
              <w:insideV w:val="nil"/>
            </w:tcBorders>
            <w:tcMar>
              <w:top w:w="45" w:type="dxa"/>
              <w:left w:w="45" w:type="dxa"/>
              <w:bottom w:w="45" w:type="dxa"/>
              <w:right w:w="45" w:type="dxa"/>
            </w:tcMar>
            <w:vAlign w:val="center"/>
          </w:tcPr>
          <w:p w14:paraId="53D7E0A1">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−0.46</w:t>
            </w:r>
          </w:p>
        </w:tc>
        <w:tc>
          <w:tcPr>
            <w:tcW w:w="659" w:type="pct"/>
            <w:tcBorders>
              <w:top w:val="nil"/>
              <w:left w:val="nil"/>
              <w:bottom w:val="nil"/>
              <w:right w:val="nil"/>
              <w:insideH w:val="nil"/>
              <w:insideV w:val="nil"/>
            </w:tcBorders>
            <w:tcMar>
              <w:top w:w="45" w:type="dxa"/>
              <w:left w:w="45" w:type="dxa"/>
              <w:bottom w:w="45" w:type="dxa"/>
              <w:right w:w="45" w:type="dxa"/>
            </w:tcMar>
            <w:vAlign w:val="center"/>
          </w:tcPr>
          <w:p w14:paraId="18C997EC">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−0.65 to −0.27</w:t>
            </w:r>
          </w:p>
        </w:tc>
        <w:tc>
          <w:tcPr>
            <w:tcW w:w="983" w:type="pct"/>
            <w:tcBorders>
              <w:top w:val="nil"/>
              <w:left w:val="nil"/>
              <w:bottom w:val="nil"/>
              <w:right w:val="nil"/>
              <w:insideH w:val="nil"/>
              <w:insideV w:val="nil"/>
            </w:tcBorders>
            <w:tcMar>
              <w:top w:w="45" w:type="dxa"/>
              <w:left w:w="45" w:type="dxa"/>
              <w:bottom w:w="45" w:type="dxa"/>
              <w:right w:w="45" w:type="dxa"/>
            </w:tcMar>
            <w:vAlign w:val="center"/>
          </w:tcPr>
          <w:p w14:paraId="1CFA563A">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Not retained</w:t>
            </w:r>
          </w:p>
        </w:tc>
      </w:tr>
      <w:tr w14:paraId="031432F1">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1003" w:type="pct"/>
            <w:tcBorders>
              <w:top w:val="nil"/>
              <w:left w:val="nil"/>
              <w:bottom w:val="nil"/>
              <w:right w:val="nil"/>
              <w:insideH w:val="nil"/>
              <w:insideV w:val="nil"/>
            </w:tcBorders>
            <w:tcMar>
              <w:top w:w="45" w:type="dxa"/>
              <w:left w:w="45" w:type="dxa"/>
              <w:bottom w:w="45" w:type="dxa"/>
              <w:right w:w="45" w:type="dxa"/>
            </w:tcMar>
            <w:vAlign w:val="center"/>
          </w:tcPr>
          <w:p w14:paraId="50D0B2AE">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Tian et al. (2025)</w:t>
            </w:r>
          </w:p>
        </w:tc>
        <w:tc>
          <w:tcPr>
            <w:tcW w:w="1392" w:type="pct"/>
            <w:tcBorders>
              <w:top w:val="nil"/>
              <w:left w:val="nil"/>
              <w:bottom w:val="nil"/>
              <w:right w:val="nil"/>
              <w:insideH w:val="nil"/>
              <w:insideV w:val="nil"/>
            </w:tcBorders>
            <w:tcMar>
              <w:top w:w="45" w:type="dxa"/>
              <w:left w:w="45" w:type="dxa"/>
              <w:bottom w:w="45" w:type="dxa"/>
              <w:right w:w="45" w:type="dxa"/>
            </w:tcMar>
            <w:vAlign w:val="center"/>
          </w:tcPr>
          <w:p w14:paraId="1F2E6AFB">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Critically low</w:t>
            </w:r>
          </w:p>
        </w:tc>
        <w:tc>
          <w:tcPr>
            <w:tcW w:w="960" w:type="pct"/>
            <w:tcBorders>
              <w:top w:val="nil"/>
              <w:left w:val="nil"/>
              <w:bottom w:val="nil"/>
              <w:right w:val="nil"/>
              <w:insideH w:val="nil"/>
              <w:insideV w:val="nil"/>
            </w:tcBorders>
            <w:tcMar>
              <w:top w:w="45" w:type="dxa"/>
              <w:left w:w="45" w:type="dxa"/>
              <w:bottom w:w="45" w:type="dxa"/>
              <w:right w:w="45" w:type="dxa"/>
            </w:tcMar>
            <w:vAlign w:val="center"/>
          </w:tcPr>
          <w:p w14:paraId="04B02A6D">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−0.54</w:t>
            </w:r>
          </w:p>
        </w:tc>
        <w:tc>
          <w:tcPr>
            <w:tcW w:w="659" w:type="pct"/>
            <w:tcBorders>
              <w:top w:val="nil"/>
              <w:left w:val="nil"/>
              <w:bottom w:val="nil"/>
              <w:right w:val="nil"/>
              <w:insideH w:val="nil"/>
              <w:insideV w:val="nil"/>
            </w:tcBorders>
            <w:tcMar>
              <w:top w:w="45" w:type="dxa"/>
              <w:left w:w="45" w:type="dxa"/>
              <w:bottom w:w="45" w:type="dxa"/>
              <w:right w:w="45" w:type="dxa"/>
            </w:tcMar>
            <w:vAlign w:val="center"/>
          </w:tcPr>
          <w:p w14:paraId="057F9CF5">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−0.85 to −0.23</w:t>
            </w:r>
          </w:p>
        </w:tc>
        <w:tc>
          <w:tcPr>
            <w:tcW w:w="983" w:type="pct"/>
            <w:tcBorders>
              <w:top w:val="nil"/>
              <w:left w:val="nil"/>
              <w:bottom w:val="nil"/>
              <w:right w:val="nil"/>
              <w:insideH w:val="nil"/>
              <w:insideV w:val="nil"/>
            </w:tcBorders>
            <w:tcMar>
              <w:top w:w="45" w:type="dxa"/>
              <w:left w:w="45" w:type="dxa"/>
              <w:bottom w:w="45" w:type="dxa"/>
              <w:right w:w="45" w:type="dxa"/>
            </w:tcMar>
            <w:vAlign w:val="center"/>
          </w:tcPr>
          <w:p w14:paraId="2B587F15">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Not retained</w:t>
            </w:r>
          </w:p>
        </w:tc>
      </w:tr>
      <w:tr w14:paraId="6678F41F">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Ex>
        <w:trPr>
          <w:cantSplit/>
          <w:jc w:val="center"/>
        </w:trPr>
        <w:tc>
          <w:tcPr>
            <w:tcW w:w="1003" w:type="pct"/>
            <w:tcBorders>
              <w:top w:val="nil"/>
              <w:left w:val="nil"/>
              <w:bottom w:val="single" w:color="000000" w:sz="12" w:space="0"/>
              <w:right w:val="nil"/>
              <w:insideH w:val="nil"/>
              <w:insideV w:val="nil"/>
            </w:tcBorders>
            <w:tcMar>
              <w:top w:w="45" w:type="dxa"/>
              <w:left w:w="45" w:type="dxa"/>
              <w:bottom w:w="45" w:type="dxa"/>
              <w:right w:w="45" w:type="dxa"/>
            </w:tcMar>
            <w:vAlign w:val="center"/>
          </w:tcPr>
          <w:p w14:paraId="57D9E50F">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Christ et al. (2020)</w:t>
            </w:r>
          </w:p>
        </w:tc>
        <w:tc>
          <w:tcPr>
            <w:tcW w:w="1392" w:type="pct"/>
            <w:tcBorders>
              <w:top w:val="nil"/>
              <w:left w:val="nil"/>
              <w:bottom w:val="single" w:color="000000" w:sz="12" w:space="0"/>
              <w:right w:val="nil"/>
              <w:insideH w:val="nil"/>
              <w:insideV w:val="nil"/>
            </w:tcBorders>
            <w:tcMar>
              <w:top w:w="45" w:type="dxa"/>
              <w:left w:w="45" w:type="dxa"/>
              <w:bottom w:w="45" w:type="dxa"/>
              <w:right w:w="45" w:type="dxa"/>
            </w:tcMar>
            <w:vAlign w:val="center"/>
          </w:tcPr>
          <w:p w14:paraId="19F6F9A5">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Critically low</w:t>
            </w:r>
          </w:p>
        </w:tc>
        <w:tc>
          <w:tcPr>
            <w:tcW w:w="960" w:type="pct"/>
            <w:tcBorders>
              <w:top w:val="nil"/>
              <w:left w:val="nil"/>
              <w:bottom w:val="single" w:color="000000" w:sz="12" w:space="0"/>
              <w:right w:val="nil"/>
              <w:insideH w:val="nil"/>
              <w:insideV w:val="nil"/>
            </w:tcBorders>
            <w:tcMar>
              <w:top w:w="45" w:type="dxa"/>
              <w:left w:w="45" w:type="dxa"/>
              <w:bottom w:w="45" w:type="dxa"/>
              <w:right w:w="45" w:type="dxa"/>
            </w:tcMar>
            <w:vAlign w:val="center"/>
          </w:tcPr>
          <w:p w14:paraId="11E44BDB">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−0.52</w:t>
            </w:r>
          </w:p>
        </w:tc>
        <w:tc>
          <w:tcPr>
            <w:tcW w:w="659" w:type="pct"/>
            <w:tcBorders>
              <w:top w:val="nil"/>
              <w:left w:val="nil"/>
              <w:bottom w:val="single" w:color="000000" w:sz="12" w:space="0"/>
              <w:right w:val="nil"/>
              <w:insideH w:val="nil"/>
              <w:insideV w:val="nil"/>
            </w:tcBorders>
            <w:tcMar>
              <w:top w:w="45" w:type="dxa"/>
              <w:left w:w="45" w:type="dxa"/>
              <w:bottom w:w="45" w:type="dxa"/>
              <w:right w:w="45" w:type="dxa"/>
            </w:tcMar>
            <w:vAlign w:val="center"/>
          </w:tcPr>
          <w:p w14:paraId="49CD2CF6">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−0.71 to −0.33</w:t>
            </w:r>
          </w:p>
        </w:tc>
        <w:tc>
          <w:tcPr>
            <w:tcW w:w="983" w:type="pct"/>
            <w:tcBorders>
              <w:top w:val="nil"/>
              <w:left w:val="nil"/>
              <w:bottom w:val="single" w:color="000000" w:sz="12" w:space="0"/>
              <w:right w:val="nil"/>
              <w:insideH w:val="nil"/>
              <w:insideV w:val="nil"/>
            </w:tcBorders>
            <w:tcMar>
              <w:top w:w="45" w:type="dxa"/>
              <w:left w:w="45" w:type="dxa"/>
              <w:bottom w:w="45" w:type="dxa"/>
              <w:right w:w="45" w:type="dxa"/>
            </w:tcMar>
            <w:vAlign w:val="center"/>
          </w:tcPr>
          <w:p w14:paraId="24884FCC">
            <w:pPr>
              <w:spacing w:before="0" w:after="0" w:line="240" w:lineRule="auto"/>
              <w:rPr>
                <w:rFonts w:hint="default" w:ascii="Times New Roman" w:hAnsi="Times New Roman" w:cs="Times New Roman"/>
                <w:sz w:val="16"/>
                <w:szCs w:val="16"/>
              </w:rPr>
            </w:pPr>
            <w:r>
              <w:rPr>
                <w:rFonts w:hint="default" w:ascii="Times New Roman" w:hAnsi="Times New Roman" w:cs="Times New Roman"/>
                <w:sz w:val="16"/>
                <w:szCs w:val="16"/>
              </w:rPr>
              <w:t>Not retained</w:t>
            </w:r>
          </w:p>
        </w:tc>
      </w:tr>
    </w:tbl>
    <w:p w14:paraId="7CD1D680">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rPr>
          <w:rFonts w:hint="default" w:ascii="Times New Roman" w:hAnsi="Times New Roman" w:eastAsia="宋体"/>
          <w:i/>
          <w:kern w:val="2"/>
          <w:sz w:val="16"/>
          <w:szCs w:val="24"/>
          <w:lang w:eastAsia="zh-CN"/>
        </w:rPr>
      </w:pPr>
      <w:r>
        <w:rPr>
          <w:rFonts w:hint="default" w:ascii="Times New Roman" w:hAnsi="Times New Roman" w:eastAsia="宋体"/>
          <w:b/>
          <w:bCs/>
          <w:i/>
          <w:kern w:val="2"/>
          <w:sz w:val="16"/>
          <w:szCs w:val="24"/>
          <w:lang w:val="en-US" w:eastAsia="zh-CN"/>
        </w:rPr>
        <w:t xml:space="preserve">Note. </w:t>
      </w:r>
      <w:r>
        <w:rPr>
          <w:rFonts w:hint="default" w:ascii="Times New Roman" w:hAnsi="Times New Roman" w:eastAsia="宋体"/>
          <w:i/>
          <w:kern w:val="2"/>
          <w:sz w:val="16"/>
          <w:szCs w:val="24"/>
          <w:lang w:eastAsia="zh-CN"/>
        </w:rPr>
        <w:t>Only two reviews met the prespecified quality restriction. A quality-restricted pooled estimate was therefore not calculated because between-review heterogeneity could not be estimated reliably with k = 2.</w:t>
      </w:r>
    </w:p>
    <w:p w14:paraId="5A6D27F5">
      <w:pPr>
        <w:pStyle w:val="4"/>
        <w:bidi w:val="0"/>
        <w:rPr>
          <w:rFonts w:ascii="Times New Roman" w:hAnsi="Times New Roman"/>
          <w:lang w:val="en-US" w:eastAsia="en-US"/>
        </w:rPr>
      </w:pPr>
      <w:bookmarkStart w:id="10" w:name="_Toc32137"/>
      <w:r>
        <w:rPr>
          <w:rFonts w:ascii="Times New Roman" w:hAnsi="Times New Roman"/>
          <w:lang w:val="en-US" w:eastAsia="en-US"/>
        </w:rPr>
        <w:t>Supplementary Table S10. Primary-RCT risk-of-bias evidence supporting the GRADE judgment for the strict primary outcome</w:t>
      </w:r>
      <w:bookmarkEnd w:id="10"/>
    </w:p>
    <w:tbl>
      <w:tblPr>
        <w:tblStyle w:val="35"/>
        <w:tblW w:w="0" w:type="auto"/>
        <w:jc w:val="center"/>
        <w:tblLayout w:type="autofit"/>
        <w:tblCellMar>
          <w:top w:w="0" w:type="dxa"/>
          <w:left w:w="108" w:type="dxa"/>
          <w:bottom w:w="0" w:type="dxa"/>
          <w:right w:w="108" w:type="dxa"/>
        </w:tblCellMar>
      </w:tblPr>
      <w:tblGrid>
        <w:gridCol w:w="1048"/>
        <w:gridCol w:w="2385"/>
        <w:gridCol w:w="3870"/>
        <w:gridCol w:w="3948"/>
        <w:gridCol w:w="1925"/>
      </w:tblGrid>
      <w:tr w14:paraId="44561A7A">
        <w:tblPrEx>
          <w:tblCellMar>
            <w:top w:w="0" w:type="dxa"/>
            <w:left w:w="108" w:type="dxa"/>
            <w:bottom w:w="0" w:type="dxa"/>
            <w:right w:w="108" w:type="dxa"/>
          </w:tblCellMar>
        </w:tblPrEx>
        <w:trPr>
          <w:cantSplit/>
          <w:tblHeader/>
          <w:jc w:val="center"/>
        </w:trPr>
        <w:tc>
          <w:tcPr>
            <w:tcW w:w="0" w:type="auto"/>
            <w:tcBorders>
              <w:top w:val="single" w:color="000000" w:sz="12" w:space="0"/>
              <w:left w:val="nil"/>
              <w:bottom w:val="single" w:color="000000" w:sz="8" w:space="0"/>
              <w:right w:val="nil"/>
              <w:insideH w:val="nil"/>
              <w:insideV w:val="nil"/>
            </w:tcBorders>
            <w:vAlign w:val="center"/>
          </w:tcPr>
          <w:p w14:paraId="78E7E514">
            <w:pPr>
              <w:spacing w:before="0" w:after="0" w:line="240" w:lineRule="auto"/>
              <w:jc w:val="center"/>
              <w:rPr>
                <w:rFonts w:hint="default" w:ascii="Times New Roman" w:hAnsi="Times New Roman" w:cs="Times New Roman"/>
                <w:b/>
                <w:bCs/>
                <w:sz w:val="16"/>
                <w:szCs w:val="16"/>
              </w:rPr>
            </w:pPr>
            <w:r>
              <w:rPr>
                <w:rFonts w:hint="default" w:ascii="Times New Roman" w:hAnsi="Times New Roman" w:cs="Times New Roman"/>
                <w:b/>
                <w:bCs/>
                <w:sz w:val="16"/>
                <w:szCs w:val="16"/>
              </w:rPr>
              <w:t>Source review</w:t>
            </w:r>
          </w:p>
        </w:tc>
        <w:tc>
          <w:tcPr>
            <w:tcW w:w="0" w:type="auto"/>
            <w:tcBorders>
              <w:top w:val="single" w:color="000000" w:sz="12" w:space="0"/>
              <w:left w:val="nil"/>
              <w:bottom w:val="single" w:color="000000" w:sz="8" w:space="0"/>
              <w:right w:val="nil"/>
              <w:insideH w:val="nil"/>
              <w:insideV w:val="nil"/>
            </w:tcBorders>
            <w:vAlign w:val="center"/>
          </w:tcPr>
          <w:p w14:paraId="5410C611">
            <w:pPr>
              <w:spacing w:before="0" w:after="0" w:line="240" w:lineRule="auto"/>
              <w:jc w:val="center"/>
              <w:rPr>
                <w:rFonts w:hint="default" w:ascii="Times New Roman" w:hAnsi="Times New Roman" w:cs="Times New Roman"/>
                <w:b/>
                <w:bCs/>
                <w:sz w:val="16"/>
                <w:szCs w:val="16"/>
              </w:rPr>
            </w:pPr>
            <w:r>
              <w:rPr>
                <w:rFonts w:hint="default" w:ascii="Times New Roman" w:hAnsi="Times New Roman" w:cs="Times New Roman"/>
                <w:b/>
                <w:bCs/>
                <w:sz w:val="16"/>
                <w:szCs w:val="16"/>
              </w:rPr>
              <w:t>RCT-level risk-of-bias evidence</w:t>
            </w:r>
          </w:p>
        </w:tc>
        <w:tc>
          <w:tcPr>
            <w:tcW w:w="0" w:type="auto"/>
            <w:tcBorders>
              <w:top w:val="single" w:color="000000" w:sz="12" w:space="0"/>
              <w:left w:val="nil"/>
              <w:bottom w:val="single" w:color="000000" w:sz="8" w:space="0"/>
              <w:right w:val="nil"/>
              <w:insideH w:val="nil"/>
              <w:insideV w:val="nil"/>
            </w:tcBorders>
            <w:vAlign w:val="center"/>
          </w:tcPr>
          <w:p w14:paraId="0EBFC72F">
            <w:pPr>
              <w:spacing w:before="0" w:after="0" w:line="240" w:lineRule="auto"/>
              <w:jc w:val="center"/>
              <w:rPr>
                <w:rFonts w:hint="default" w:ascii="Times New Roman" w:hAnsi="Times New Roman" w:cs="Times New Roman"/>
                <w:b/>
                <w:bCs/>
                <w:sz w:val="16"/>
                <w:szCs w:val="16"/>
              </w:rPr>
            </w:pPr>
            <w:r>
              <w:rPr>
                <w:rFonts w:hint="default" w:ascii="Times New Roman" w:hAnsi="Times New Roman" w:cs="Times New Roman"/>
                <w:b/>
                <w:bCs/>
                <w:sz w:val="16"/>
                <w:szCs w:val="16"/>
              </w:rPr>
              <w:t>Principal concerns</w:t>
            </w:r>
          </w:p>
        </w:tc>
        <w:tc>
          <w:tcPr>
            <w:tcW w:w="0" w:type="auto"/>
            <w:tcBorders>
              <w:top w:val="single" w:color="000000" w:sz="12" w:space="0"/>
              <w:left w:val="nil"/>
              <w:bottom w:val="single" w:color="000000" w:sz="8" w:space="0"/>
              <w:right w:val="nil"/>
              <w:insideH w:val="nil"/>
              <w:insideV w:val="nil"/>
            </w:tcBorders>
            <w:vAlign w:val="center"/>
          </w:tcPr>
          <w:p w14:paraId="6E2B9B84">
            <w:pPr>
              <w:spacing w:before="0" w:after="0" w:line="240" w:lineRule="auto"/>
              <w:jc w:val="center"/>
              <w:rPr>
                <w:rFonts w:hint="default" w:ascii="Times New Roman" w:hAnsi="Times New Roman" w:cs="Times New Roman"/>
                <w:b/>
                <w:bCs/>
                <w:sz w:val="16"/>
                <w:szCs w:val="16"/>
              </w:rPr>
            </w:pPr>
            <w:r>
              <w:rPr>
                <w:rFonts w:hint="default" w:ascii="Times New Roman" w:hAnsi="Times New Roman" w:cs="Times New Roman"/>
                <w:b/>
                <w:bCs/>
                <w:sz w:val="16"/>
                <w:szCs w:val="16"/>
              </w:rPr>
              <w:t>Robustness or mitigating evidence</w:t>
            </w:r>
          </w:p>
        </w:tc>
        <w:tc>
          <w:tcPr>
            <w:tcW w:w="0" w:type="auto"/>
            <w:tcBorders>
              <w:top w:val="single" w:color="000000" w:sz="12" w:space="0"/>
              <w:left w:val="nil"/>
              <w:bottom w:val="single" w:color="000000" w:sz="8" w:space="0"/>
              <w:right w:val="nil"/>
              <w:insideH w:val="nil"/>
              <w:insideV w:val="nil"/>
            </w:tcBorders>
            <w:vAlign w:val="center"/>
          </w:tcPr>
          <w:p w14:paraId="624B14ED">
            <w:pPr>
              <w:spacing w:before="0" w:after="0" w:line="240" w:lineRule="auto"/>
              <w:jc w:val="center"/>
              <w:rPr>
                <w:rFonts w:hint="default" w:ascii="Times New Roman" w:hAnsi="Times New Roman" w:cs="Times New Roman"/>
                <w:b/>
                <w:bCs/>
                <w:sz w:val="16"/>
                <w:szCs w:val="16"/>
              </w:rPr>
            </w:pPr>
            <w:r>
              <w:rPr>
                <w:rFonts w:hint="default" w:ascii="Times New Roman" w:hAnsi="Times New Roman" w:cs="Times New Roman"/>
                <w:b/>
                <w:bCs/>
                <w:sz w:val="16"/>
                <w:szCs w:val="16"/>
              </w:rPr>
              <w:t>Contribution to the GRADE judgment</w:t>
            </w:r>
          </w:p>
        </w:tc>
      </w:tr>
      <w:tr w14:paraId="70E98478">
        <w:tblPrEx>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vAlign w:val="center"/>
          </w:tcPr>
          <w:p w14:paraId="7032E2E4">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Thabrew et al. (2018)</w:t>
            </w:r>
          </w:p>
        </w:tc>
        <w:tc>
          <w:tcPr>
            <w:tcW w:w="0" w:type="auto"/>
            <w:tcBorders>
              <w:top w:val="nil"/>
              <w:left w:val="nil"/>
              <w:bottom w:val="nil"/>
              <w:right w:val="nil"/>
              <w:insideH w:val="nil"/>
              <w:insideV w:val="nil"/>
            </w:tcBorders>
            <w:vAlign w:val="center"/>
          </w:tcPr>
          <w:p w14:paraId="721C6ACF">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Cochrane study-level risk-of-bias assessment and Summary of Findings</w:t>
            </w:r>
          </w:p>
        </w:tc>
        <w:tc>
          <w:tcPr>
            <w:tcW w:w="0" w:type="auto"/>
            <w:tcBorders>
              <w:top w:val="nil"/>
              <w:left w:val="nil"/>
              <w:bottom w:val="nil"/>
              <w:right w:val="nil"/>
              <w:insideH w:val="nil"/>
              <w:insideV w:val="nil"/>
            </w:tcBorders>
            <w:vAlign w:val="center"/>
          </w:tcPr>
          <w:p w14:paraId="2A399C36">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The small evidence base included unclear or high-risk judgments in domains including blinding, incomplete outcome data and selective reporting. Sparse evidence also prevented several prespecified sensitivity analyses.</w:t>
            </w:r>
          </w:p>
        </w:tc>
        <w:tc>
          <w:tcPr>
            <w:tcW w:w="0" w:type="auto"/>
            <w:tcBorders>
              <w:top w:val="nil"/>
              <w:left w:val="nil"/>
              <w:bottom w:val="nil"/>
              <w:right w:val="nil"/>
              <w:insideH w:val="nil"/>
              <w:insideV w:val="nil"/>
            </w:tcBorders>
            <w:vAlign w:val="center"/>
          </w:tcPr>
          <w:p w14:paraId="0759C934">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The review incorporated study limitations into its GRADE assessment and interpreted the findings cautiously. The available evidence did not indicate that all contributing trials were at high risk across multiple critical domains.</w:t>
            </w:r>
          </w:p>
        </w:tc>
        <w:tc>
          <w:tcPr>
            <w:tcW w:w="0" w:type="auto"/>
            <w:tcBorders>
              <w:top w:val="nil"/>
              <w:left w:val="nil"/>
              <w:bottom w:val="nil"/>
              <w:right w:val="nil"/>
              <w:insideH w:val="nil"/>
              <w:insideV w:val="nil"/>
            </w:tcBorders>
            <w:vAlign w:val="center"/>
          </w:tcPr>
          <w:p w14:paraId="692C4F34">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Supports concern about risk of bias, but not a two-level downgrade by itself.</w:t>
            </w:r>
          </w:p>
        </w:tc>
      </w:tr>
      <w:tr w14:paraId="1C688CC9">
        <w:tblPrEx>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vAlign w:val="center"/>
          </w:tcPr>
          <w:p w14:paraId="5EF44239">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Pennant et al. (2015)</w:t>
            </w:r>
          </w:p>
        </w:tc>
        <w:tc>
          <w:tcPr>
            <w:tcW w:w="0" w:type="auto"/>
            <w:tcBorders>
              <w:top w:val="nil"/>
              <w:left w:val="nil"/>
              <w:bottom w:val="nil"/>
              <w:right w:val="nil"/>
              <w:insideH w:val="nil"/>
              <w:insideV w:val="nil"/>
            </w:tcBorders>
            <w:vAlign w:val="center"/>
          </w:tcPr>
          <w:p w14:paraId="4917A705">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Study-level methodological-quality and risk-of-bias assessment, with review-level GRADE judgments</w:t>
            </w:r>
          </w:p>
        </w:tc>
        <w:tc>
          <w:tcPr>
            <w:tcW w:w="0" w:type="auto"/>
            <w:tcBorders>
              <w:top w:val="nil"/>
              <w:left w:val="nil"/>
              <w:bottom w:val="nil"/>
              <w:right w:val="nil"/>
              <w:insideH w:val="nil"/>
              <w:insideV w:val="nil"/>
            </w:tcBorders>
            <w:vAlign w:val="center"/>
          </w:tcPr>
          <w:p w14:paraId="020CE47E">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Methodological limitations affected masking, attrition and outcome reporting in parts of the evidence base. Reporting was insufficient to reconstruct a uniformly defined low-risk subset for the strict-primary comparison.</w:t>
            </w:r>
          </w:p>
        </w:tc>
        <w:tc>
          <w:tcPr>
            <w:tcW w:w="0" w:type="auto"/>
            <w:tcBorders>
              <w:top w:val="nil"/>
              <w:left w:val="nil"/>
              <w:bottom w:val="nil"/>
              <w:right w:val="nil"/>
              <w:insideH w:val="nil"/>
              <w:insideV w:val="nil"/>
            </w:tcBorders>
            <w:vAlign w:val="center"/>
          </w:tcPr>
          <w:p w14:paraId="2F5BCC51">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The source review incorporated study limitations into its evidence assessment and interpretation.</w:t>
            </w:r>
          </w:p>
        </w:tc>
        <w:tc>
          <w:tcPr>
            <w:tcW w:w="0" w:type="auto"/>
            <w:tcBorders>
              <w:top w:val="nil"/>
              <w:left w:val="nil"/>
              <w:bottom w:val="nil"/>
              <w:right w:val="nil"/>
              <w:insideH w:val="nil"/>
              <w:insideV w:val="nil"/>
            </w:tcBorders>
            <w:vAlign w:val="center"/>
          </w:tcPr>
          <w:p w14:paraId="27223B56">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Contributes to the cumulative justification for a one-level downgrade.</w:t>
            </w:r>
          </w:p>
        </w:tc>
      </w:tr>
      <w:tr w14:paraId="7E0D0419">
        <w:tblPrEx>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vAlign w:val="center"/>
          </w:tcPr>
          <w:p w14:paraId="371EA7A9">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Ebert et al. (2015)</w:t>
            </w:r>
          </w:p>
        </w:tc>
        <w:tc>
          <w:tcPr>
            <w:tcW w:w="0" w:type="auto"/>
            <w:tcBorders>
              <w:top w:val="nil"/>
              <w:left w:val="nil"/>
              <w:bottom w:val="nil"/>
              <w:right w:val="nil"/>
              <w:insideH w:val="nil"/>
              <w:insideV w:val="nil"/>
            </w:tcBorders>
            <w:vAlign w:val="center"/>
          </w:tcPr>
          <w:p w14:paraId="2935C9DD">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Cochrane risk-of-bias domains and analyses examining study quality or risk of bias</w:t>
            </w:r>
          </w:p>
        </w:tc>
        <w:tc>
          <w:tcPr>
            <w:tcW w:w="0" w:type="auto"/>
            <w:tcBorders>
              <w:top w:val="nil"/>
              <w:left w:val="nil"/>
              <w:bottom w:val="nil"/>
              <w:right w:val="nil"/>
              <w:insideH w:val="nil"/>
              <w:insideV w:val="nil"/>
            </w:tcBorders>
            <w:vAlign w:val="center"/>
          </w:tcPr>
          <w:p w14:paraId="07EAFAB7">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Some trials had limitations involving allocation procedures, masking, incomplete outcome data or selective reporting.</w:t>
            </w:r>
          </w:p>
        </w:tc>
        <w:tc>
          <w:tcPr>
            <w:tcW w:w="0" w:type="auto"/>
            <w:tcBorders>
              <w:top w:val="nil"/>
              <w:left w:val="nil"/>
              <w:bottom w:val="nil"/>
              <w:right w:val="nil"/>
              <w:insideH w:val="nil"/>
              <w:insideV w:val="nil"/>
            </w:tcBorders>
            <w:vAlign w:val="center"/>
          </w:tcPr>
          <w:p w14:paraId="26F1B92C">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Effects remained evident in analyses restricted to studies judged to have lower risk of bias, reducing concern that the pooled effect was entirely attributable to biased trials.</w:t>
            </w:r>
          </w:p>
        </w:tc>
        <w:tc>
          <w:tcPr>
            <w:tcW w:w="0" w:type="auto"/>
            <w:tcBorders>
              <w:top w:val="nil"/>
              <w:left w:val="nil"/>
              <w:bottom w:val="nil"/>
              <w:right w:val="nil"/>
              <w:insideH w:val="nil"/>
              <w:insideV w:val="nil"/>
            </w:tcBorders>
            <w:vAlign w:val="center"/>
          </w:tcPr>
          <w:p w14:paraId="3360FF39">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Supports a one-level rather than a two-level downgrade.</w:t>
            </w:r>
          </w:p>
        </w:tc>
      </w:tr>
      <w:tr w14:paraId="31CE2ED6">
        <w:tblPrEx>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vAlign w:val="center"/>
          </w:tcPr>
          <w:p w14:paraId="18AFA4C1">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Harrer et al. (2019)</w:t>
            </w:r>
          </w:p>
        </w:tc>
        <w:tc>
          <w:tcPr>
            <w:tcW w:w="0" w:type="auto"/>
            <w:tcBorders>
              <w:top w:val="nil"/>
              <w:left w:val="nil"/>
              <w:bottom w:val="nil"/>
              <w:right w:val="nil"/>
              <w:insideH w:val="nil"/>
              <w:insideV w:val="nil"/>
            </w:tcBorders>
            <w:vAlign w:val="center"/>
          </w:tcPr>
          <w:p w14:paraId="41270BD2">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Study-level risk-of-bias profile and sensitivity analyses reported alongside the pooled models</w:t>
            </w:r>
          </w:p>
        </w:tc>
        <w:tc>
          <w:tcPr>
            <w:tcW w:w="0" w:type="auto"/>
            <w:tcBorders>
              <w:top w:val="nil"/>
              <w:left w:val="nil"/>
              <w:bottom w:val="nil"/>
              <w:right w:val="nil"/>
              <w:insideH w:val="nil"/>
              <w:insideV w:val="nil"/>
            </w:tcBorders>
            <w:vAlign w:val="center"/>
          </w:tcPr>
          <w:p w14:paraId="1A928831">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Several trials had unclear or elevated risk in one or more domains, particularly attrition and selective reporting; outcomes were commonly self-reported.</w:t>
            </w:r>
          </w:p>
        </w:tc>
        <w:tc>
          <w:tcPr>
            <w:tcW w:w="0" w:type="auto"/>
            <w:tcBorders>
              <w:top w:val="nil"/>
              <w:left w:val="nil"/>
              <w:bottom w:val="nil"/>
              <w:right w:val="nil"/>
              <w:insideH w:val="nil"/>
              <w:insideV w:val="nil"/>
            </w:tcBorders>
            <w:vAlign w:val="center"/>
          </w:tcPr>
          <w:p w14:paraId="3C61CFAD">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Sensitivity analyses did not show that the pooled estimate depended on a single study or on one clearly identified high-risk feature.</w:t>
            </w:r>
          </w:p>
        </w:tc>
        <w:tc>
          <w:tcPr>
            <w:tcW w:w="0" w:type="auto"/>
            <w:tcBorders>
              <w:top w:val="nil"/>
              <w:left w:val="nil"/>
              <w:bottom w:val="nil"/>
              <w:right w:val="nil"/>
              <w:insideH w:val="nil"/>
              <w:insideV w:val="nil"/>
            </w:tcBorders>
            <w:vAlign w:val="center"/>
          </w:tcPr>
          <w:p w14:paraId="1EE7343A">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Contributes to an overall judgment of serious risk of bias.</w:t>
            </w:r>
          </w:p>
        </w:tc>
      </w:tr>
      <w:tr w14:paraId="63936F53">
        <w:tblPrEx>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vAlign w:val="center"/>
          </w:tcPr>
          <w:p w14:paraId="481D0436">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Townsend et al. (2022)</w:t>
            </w:r>
          </w:p>
        </w:tc>
        <w:tc>
          <w:tcPr>
            <w:tcW w:w="0" w:type="auto"/>
            <w:tcBorders>
              <w:top w:val="nil"/>
              <w:left w:val="nil"/>
              <w:bottom w:val="nil"/>
              <w:right w:val="nil"/>
              <w:insideH w:val="nil"/>
              <w:insideV w:val="nil"/>
            </w:tcBorders>
            <w:vAlign w:val="center"/>
          </w:tcPr>
          <w:p w14:paraId="01A7C3A2">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Study-level RoB 2 judgments</w:t>
            </w:r>
          </w:p>
        </w:tc>
        <w:tc>
          <w:tcPr>
            <w:tcW w:w="0" w:type="auto"/>
            <w:tcBorders>
              <w:top w:val="nil"/>
              <w:left w:val="nil"/>
              <w:bottom w:val="nil"/>
              <w:right w:val="nil"/>
              <w:insideH w:val="nil"/>
              <w:insideV w:val="nil"/>
            </w:tcBorders>
            <w:vAlign w:val="center"/>
          </w:tcPr>
          <w:p w14:paraId="0B6A4BD8">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The evidence base included trials with some concerns or high-risk judgments, particularly for outcome measurement, missing outcome data and deviations from intended interventions.</w:t>
            </w:r>
          </w:p>
        </w:tc>
        <w:tc>
          <w:tcPr>
            <w:tcW w:w="0" w:type="auto"/>
            <w:tcBorders>
              <w:top w:val="nil"/>
              <w:left w:val="nil"/>
              <w:bottom w:val="nil"/>
              <w:right w:val="nil"/>
              <w:insideH w:val="nil"/>
              <w:insideV w:val="nil"/>
            </w:tcBorders>
            <w:vAlign w:val="center"/>
          </w:tcPr>
          <w:p w14:paraId="1D3C1A64">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No adequately powered pooled estimate restricted to low-risk trials was available for the exact strict-primary comparison.</w:t>
            </w:r>
          </w:p>
        </w:tc>
        <w:tc>
          <w:tcPr>
            <w:tcW w:w="0" w:type="auto"/>
            <w:tcBorders>
              <w:top w:val="nil"/>
              <w:left w:val="nil"/>
              <w:bottom w:val="nil"/>
              <w:right w:val="nil"/>
              <w:insideH w:val="nil"/>
              <w:insideV w:val="nil"/>
            </w:tcBorders>
            <w:vAlign w:val="center"/>
          </w:tcPr>
          <w:p w14:paraId="3BBC6927">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Adds to the cumulative justification for downgrading one level.</w:t>
            </w:r>
          </w:p>
        </w:tc>
      </w:tr>
      <w:tr w14:paraId="77C8EAFC">
        <w:tblPrEx>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vAlign w:val="center"/>
          </w:tcPr>
          <w:p w14:paraId="406791D4">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Garrido et al. (2019)</w:t>
            </w:r>
          </w:p>
        </w:tc>
        <w:tc>
          <w:tcPr>
            <w:tcW w:w="0" w:type="auto"/>
            <w:tcBorders>
              <w:top w:val="nil"/>
              <w:left w:val="nil"/>
              <w:bottom w:val="nil"/>
              <w:right w:val="nil"/>
              <w:insideH w:val="nil"/>
              <w:insideV w:val="nil"/>
            </w:tcBorders>
            <w:vAlign w:val="center"/>
          </w:tcPr>
          <w:p w14:paraId="1A92A08B">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Study-level risk-of-bias assessment and subgroup analysis by methodological quality</w:t>
            </w:r>
          </w:p>
        </w:tc>
        <w:tc>
          <w:tcPr>
            <w:tcW w:w="0" w:type="auto"/>
            <w:tcBorders>
              <w:top w:val="nil"/>
              <w:left w:val="nil"/>
              <w:bottom w:val="nil"/>
              <w:right w:val="nil"/>
              <w:insideH w:val="nil"/>
              <w:insideV w:val="nil"/>
            </w:tcBorders>
            <w:vAlign w:val="center"/>
          </w:tcPr>
          <w:p w14:paraId="40B6820F">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Concerns included attrition, self-reported outcomes and selective reporting.</w:t>
            </w:r>
          </w:p>
        </w:tc>
        <w:tc>
          <w:tcPr>
            <w:tcW w:w="0" w:type="auto"/>
            <w:tcBorders>
              <w:top w:val="nil"/>
              <w:left w:val="nil"/>
              <w:bottom w:val="nil"/>
              <w:right w:val="nil"/>
              <w:insideH w:val="nil"/>
              <w:insideV w:val="nil"/>
            </w:tcBorders>
            <w:vAlign w:val="center"/>
          </w:tcPr>
          <w:p w14:paraId="48C6FA3D">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The estimated effect was attenuated in the lower-risk subgroup, indicating that methodological limitations may have inflated the overall effect, although the evidence did not establish that the entire effect was bias-driven.</w:t>
            </w:r>
          </w:p>
        </w:tc>
        <w:tc>
          <w:tcPr>
            <w:tcW w:w="0" w:type="auto"/>
            <w:tcBorders>
              <w:top w:val="nil"/>
              <w:left w:val="nil"/>
              <w:bottom w:val="nil"/>
              <w:right w:val="nil"/>
              <w:insideH w:val="nil"/>
              <w:insideV w:val="nil"/>
            </w:tcBorders>
            <w:vAlign w:val="center"/>
          </w:tcPr>
          <w:p w14:paraId="2B4CB5BF">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Provides the clearest direct evidence supporting a one-level downgrade.</w:t>
            </w:r>
          </w:p>
        </w:tc>
      </w:tr>
      <w:tr w14:paraId="65336EBC">
        <w:tblPrEx>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vAlign w:val="center"/>
          </w:tcPr>
          <w:p w14:paraId="160CA2E8">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Lin et al. (2026)</w:t>
            </w:r>
          </w:p>
        </w:tc>
        <w:tc>
          <w:tcPr>
            <w:tcW w:w="0" w:type="auto"/>
            <w:tcBorders>
              <w:top w:val="nil"/>
              <w:left w:val="nil"/>
              <w:bottom w:val="nil"/>
              <w:right w:val="nil"/>
              <w:insideH w:val="nil"/>
              <w:insideV w:val="nil"/>
            </w:tcBorders>
            <w:vAlign w:val="center"/>
          </w:tcPr>
          <w:p w14:paraId="2534A2FE">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Cochrane RoB 2 study-level judgments</w:t>
            </w:r>
          </w:p>
        </w:tc>
        <w:tc>
          <w:tcPr>
            <w:tcW w:w="0" w:type="auto"/>
            <w:tcBorders>
              <w:top w:val="nil"/>
              <w:left w:val="nil"/>
              <w:bottom w:val="nil"/>
              <w:right w:val="nil"/>
              <w:insideH w:val="nil"/>
              <w:insideV w:val="nil"/>
            </w:tcBorders>
            <w:vAlign w:val="center"/>
          </w:tcPr>
          <w:p w14:paraId="03C6F554">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Some trials were judged as having some concerns, particularly for missing outcome data, outcome measurement and selection of the reported result.</w:t>
            </w:r>
          </w:p>
        </w:tc>
        <w:tc>
          <w:tcPr>
            <w:tcW w:w="0" w:type="auto"/>
            <w:tcBorders>
              <w:top w:val="nil"/>
              <w:left w:val="nil"/>
              <w:bottom w:val="nil"/>
              <w:right w:val="nil"/>
              <w:insideH w:val="nil"/>
              <w:insideV w:val="nil"/>
            </w:tcBorders>
            <w:vAlign w:val="center"/>
          </w:tcPr>
          <w:p w14:paraId="7115BC98">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The evidence did not consist predominantly of trials judged at high risk across multiple domains, and the review did not show that removal of all trials with concerns eliminated the depression effect.</w:t>
            </w:r>
          </w:p>
        </w:tc>
        <w:tc>
          <w:tcPr>
            <w:tcW w:w="0" w:type="auto"/>
            <w:tcBorders>
              <w:top w:val="nil"/>
              <w:left w:val="nil"/>
              <w:bottom w:val="nil"/>
              <w:right w:val="nil"/>
              <w:insideH w:val="nil"/>
              <w:insideV w:val="nil"/>
            </w:tcBorders>
            <w:vAlign w:val="center"/>
          </w:tcPr>
          <w:p w14:paraId="73BEE5BA">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Supports serious, but not very serious, risk-of-bias concerns.</w:t>
            </w:r>
          </w:p>
        </w:tc>
      </w:tr>
      <w:tr w14:paraId="78D0033B">
        <w:tblPrEx>
          <w:tblCellMar>
            <w:top w:w="0" w:type="dxa"/>
            <w:left w:w="108" w:type="dxa"/>
            <w:bottom w:w="0" w:type="dxa"/>
            <w:right w:w="108" w:type="dxa"/>
          </w:tblCellMar>
        </w:tblPrEx>
        <w:trPr>
          <w:cantSplit/>
          <w:jc w:val="center"/>
        </w:trPr>
        <w:tc>
          <w:tcPr>
            <w:tcW w:w="0" w:type="auto"/>
            <w:tcBorders>
              <w:top w:val="nil"/>
              <w:left w:val="nil"/>
              <w:bottom w:val="nil"/>
              <w:right w:val="nil"/>
              <w:insideH w:val="nil"/>
              <w:insideV w:val="nil"/>
            </w:tcBorders>
            <w:vAlign w:val="center"/>
          </w:tcPr>
          <w:p w14:paraId="74BADD05">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Tian et al. (2025)</w:t>
            </w:r>
          </w:p>
        </w:tc>
        <w:tc>
          <w:tcPr>
            <w:tcW w:w="0" w:type="auto"/>
            <w:tcBorders>
              <w:top w:val="nil"/>
              <w:left w:val="nil"/>
              <w:bottom w:val="nil"/>
              <w:right w:val="nil"/>
              <w:insideH w:val="nil"/>
              <w:insideV w:val="nil"/>
            </w:tcBorders>
            <w:vAlign w:val="center"/>
          </w:tcPr>
          <w:p w14:paraId="616E9DFE">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Study-level risk-of-bias assessment and discussion of methodological limitations</w:t>
            </w:r>
          </w:p>
        </w:tc>
        <w:tc>
          <w:tcPr>
            <w:tcW w:w="0" w:type="auto"/>
            <w:tcBorders>
              <w:top w:val="nil"/>
              <w:left w:val="nil"/>
              <w:bottom w:val="nil"/>
              <w:right w:val="nil"/>
              <w:insideH w:val="nil"/>
              <w:insideV w:val="nil"/>
            </w:tcBorders>
            <w:vAlign w:val="center"/>
          </w:tcPr>
          <w:p w14:paraId="46BDD204">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Concerns involved masking constraints, self-reported outcomes, attrition and selective reporting in parts of the evidence base.</w:t>
            </w:r>
          </w:p>
        </w:tc>
        <w:tc>
          <w:tcPr>
            <w:tcW w:w="0" w:type="auto"/>
            <w:tcBorders>
              <w:top w:val="nil"/>
              <w:left w:val="nil"/>
              <w:bottom w:val="nil"/>
              <w:right w:val="nil"/>
              <w:insideH w:val="nil"/>
              <w:insideV w:val="nil"/>
            </w:tcBorders>
            <w:vAlign w:val="center"/>
          </w:tcPr>
          <w:p w14:paraId="460D83B8">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The review did not show that the pooled depression effect was contributed exclusively by trials at high risk of bias.</w:t>
            </w:r>
          </w:p>
        </w:tc>
        <w:tc>
          <w:tcPr>
            <w:tcW w:w="0" w:type="auto"/>
            <w:tcBorders>
              <w:top w:val="nil"/>
              <w:left w:val="nil"/>
              <w:bottom w:val="nil"/>
              <w:right w:val="nil"/>
              <w:insideH w:val="nil"/>
              <w:insideV w:val="nil"/>
            </w:tcBorders>
            <w:vAlign w:val="center"/>
          </w:tcPr>
          <w:p w14:paraId="67AC1963">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Contributes to the cumulative one-level downgrade.</w:t>
            </w:r>
          </w:p>
        </w:tc>
      </w:tr>
      <w:tr w14:paraId="4312EB27">
        <w:tblPrEx>
          <w:tblCellMar>
            <w:top w:w="0" w:type="dxa"/>
            <w:left w:w="108" w:type="dxa"/>
            <w:bottom w:w="0" w:type="dxa"/>
            <w:right w:w="108" w:type="dxa"/>
          </w:tblCellMar>
        </w:tblPrEx>
        <w:trPr>
          <w:cantSplit/>
          <w:jc w:val="center"/>
        </w:trPr>
        <w:tc>
          <w:tcPr>
            <w:tcW w:w="0" w:type="auto"/>
            <w:tcBorders>
              <w:top w:val="nil"/>
              <w:left w:val="nil"/>
              <w:bottom w:val="single" w:color="000000" w:sz="12" w:space="0"/>
              <w:right w:val="nil"/>
              <w:insideH w:val="nil"/>
              <w:insideV w:val="nil"/>
            </w:tcBorders>
            <w:vAlign w:val="center"/>
          </w:tcPr>
          <w:p w14:paraId="43D21B95">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Christ et al. (2020)</w:t>
            </w:r>
          </w:p>
        </w:tc>
        <w:tc>
          <w:tcPr>
            <w:tcW w:w="0" w:type="auto"/>
            <w:tcBorders>
              <w:top w:val="nil"/>
              <w:left w:val="nil"/>
              <w:bottom w:val="single" w:color="000000" w:sz="12" w:space="0"/>
              <w:right w:val="nil"/>
              <w:insideH w:val="nil"/>
              <w:insideV w:val="nil"/>
            </w:tcBorders>
            <w:vAlign w:val="center"/>
          </w:tcPr>
          <w:p w14:paraId="2859B448">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Study-level Cochrane risk-of-bias judgments reported in the review and supplementary material</w:t>
            </w:r>
          </w:p>
        </w:tc>
        <w:tc>
          <w:tcPr>
            <w:tcW w:w="0" w:type="auto"/>
            <w:tcBorders>
              <w:top w:val="nil"/>
              <w:left w:val="nil"/>
              <w:bottom w:val="single" w:color="000000" w:sz="12" w:space="0"/>
              <w:right w:val="nil"/>
              <w:insideH w:val="nil"/>
              <w:insideV w:val="nil"/>
            </w:tcBorders>
            <w:vAlign w:val="center"/>
          </w:tcPr>
          <w:p w14:paraId="5F5A6845">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Several trials had unclear or elevated risk involving masking, incomplete outcome data, outcome measurement or selective reporting.</w:t>
            </w:r>
          </w:p>
        </w:tc>
        <w:tc>
          <w:tcPr>
            <w:tcW w:w="0" w:type="auto"/>
            <w:tcBorders>
              <w:top w:val="nil"/>
              <w:left w:val="nil"/>
              <w:bottom w:val="single" w:color="000000" w:sz="12" w:space="0"/>
              <w:right w:val="nil"/>
              <w:insideH w:val="nil"/>
              <w:insideV w:val="nil"/>
            </w:tcBorders>
            <w:vAlign w:val="center"/>
          </w:tcPr>
          <w:p w14:paraId="643135E0">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The review-level analyses and accompanying interpretation did not indicate that the observed effect was wholly attributable to trials at high risk of bias.</w:t>
            </w:r>
          </w:p>
        </w:tc>
        <w:tc>
          <w:tcPr>
            <w:tcW w:w="0" w:type="auto"/>
            <w:tcBorders>
              <w:top w:val="nil"/>
              <w:left w:val="nil"/>
              <w:bottom w:val="single" w:color="000000" w:sz="12" w:space="0"/>
              <w:right w:val="nil"/>
              <w:insideH w:val="nil"/>
              <w:insideV w:val="nil"/>
            </w:tcBorders>
            <w:vAlign w:val="center"/>
          </w:tcPr>
          <w:p w14:paraId="0455C1A3">
            <w:pPr>
              <w:spacing w:before="0" w:after="0" w:line="240" w:lineRule="auto"/>
              <w:jc w:val="left"/>
              <w:rPr>
                <w:rFonts w:hint="default" w:ascii="Times New Roman" w:hAnsi="Times New Roman" w:cs="Times New Roman"/>
                <w:sz w:val="16"/>
                <w:szCs w:val="16"/>
              </w:rPr>
            </w:pPr>
            <w:r>
              <w:rPr>
                <w:rFonts w:hint="default" w:ascii="Times New Roman" w:hAnsi="Times New Roman" w:cs="Times New Roman"/>
                <w:sz w:val="16"/>
                <w:szCs w:val="16"/>
              </w:rPr>
              <w:t>Supports a one-level downgrade while retaining moderate certainty.</w:t>
            </w:r>
          </w:p>
        </w:tc>
      </w:tr>
    </w:tbl>
    <w:p w14:paraId="484956D8">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rPr>
          <w:rFonts w:ascii="Times New Roman" w:hAnsi="Times New Roman" w:eastAsia="宋体"/>
          <w:i/>
          <w:kern w:val="2"/>
          <w:sz w:val="16"/>
          <w:szCs w:val="24"/>
          <w:lang w:eastAsia="zh-CN"/>
        </w:rPr>
      </w:pPr>
      <w:r>
        <w:rPr>
          <w:rFonts w:hint="default" w:ascii="Times New Roman" w:hAnsi="Times New Roman" w:eastAsia="宋体"/>
          <w:b/>
          <w:bCs/>
          <w:i/>
          <w:kern w:val="2"/>
          <w:sz w:val="16"/>
          <w:szCs w:val="24"/>
          <w:lang w:eastAsia="zh-CN"/>
        </w:rPr>
        <w:t>Note.</w:t>
      </w:r>
      <w:r>
        <w:rPr>
          <w:rFonts w:ascii="Times New Roman" w:hAnsi="Times New Roman" w:eastAsia="宋体"/>
          <w:i/>
          <w:kern w:val="2"/>
          <w:sz w:val="16"/>
          <w:szCs w:val="24"/>
          <w:lang w:eastAsia="zh-CN"/>
        </w:rPr>
        <w:t xml:space="preserve"> </w:t>
      </w:r>
      <w:r>
        <w:rPr>
          <w:rFonts w:hint="eastAsia" w:ascii="Times New Roman" w:hAnsi="Times New Roman" w:eastAsia="宋体"/>
          <w:i/>
          <w:kern w:val="2"/>
          <w:sz w:val="16"/>
          <w:szCs w:val="24"/>
          <w:lang w:eastAsia="zh-CN"/>
        </w:rPr>
        <w:t>The GRADE risk-of-bias judgment was based on primary-RCT assessments reported by the contributing reviews rather than on review-level AMSTAR 2 ratings. Collectively, the evidence supported a one-level downgrade for serious risk of bias; a two-level downgrade was not warranted because the evidence was not dominated by trials at high risk across multiple critical domains and available lower-risk or sensitivity analyses did not indicate that bias fully accounted for the pooled effect.</w:t>
      </w:r>
    </w:p>
    <w:p w14:paraId="24AA63B5">
      <w:pPr>
        <w:pStyle w:val="3"/>
        <w:rPr>
          <w:rFonts w:ascii="Times New Roman" w:hAnsi="Times New Roman"/>
        </w:rPr>
      </w:pPr>
      <w:bookmarkStart w:id="11" w:name="_Toc17974"/>
      <w:r>
        <w:rPr>
          <w:rFonts w:ascii="Times New Roman" w:hAnsi="Times New Roman" w:eastAsia="宋体"/>
          <w:b/>
          <w:i w:val="0"/>
          <w:sz w:val="20"/>
        </w:rPr>
        <w:t>Supplementary Figures and model diagnostics</w:t>
      </w:r>
      <w:bookmarkEnd w:id="11"/>
    </w:p>
    <w:p w14:paraId="11AD3D08">
      <w:pPr>
        <w:keepNext/>
        <w:jc w:val="center"/>
        <w:rPr>
          <w:rFonts w:hint="eastAsia" w:ascii="Times New Roman" w:hAnsi="Times New Roman" w:eastAsia="宋体"/>
          <w:lang w:eastAsia="zh-CN"/>
        </w:rPr>
      </w:pPr>
      <w:r>
        <w:rPr>
          <w:rFonts w:hint="eastAsia" w:ascii="Times New Roman" w:hAnsi="Times New Roman" w:eastAsia="宋体"/>
          <w:lang w:eastAsia="zh-CN"/>
        </w:rPr>
        <w:drawing>
          <wp:inline distT="0" distB="0" distL="114300" distR="114300">
            <wp:extent cx="5309235" cy="4815840"/>
            <wp:effectExtent l="0" t="0" r="5715" b="3810"/>
            <wp:docPr id="3" name="图片 3" descr="Figure_S1_pairwise_overlap_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_S1_pairwise_overlap_Nature"/>
                    <pic:cNvPicPr>
                      <a:picLocks noChangeAspect="1"/>
                    </pic:cNvPicPr>
                  </pic:nvPicPr>
                  <pic:blipFill>
                    <a:blip r:embed="rId8"/>
                    <a:srcRect l="5131" t="8189" r="7002"/>
                    <a:stretch>
                      <a:fillRect/>
                    </a:stretch>
                  </pic:blipFill>
                  <pic:spPr>
                    <a:xfrm>
                      <a:off x="0" y="0"/>
                      <a:ext cx="5309235" cy="4815840"/>
                    </a:xfrm>
                    <a:prstGeom prst="rect">
                      <a:avLst/>
                    </a:prstGeom>
                  </pic:spPr>
                </pic:pic>
              </a:graphicData>
            </a:graphic>
          </wp:inline>
        </w:drawing>
      </w:r>
    </w:p>
    <w:p w14:paraId="0195255D">
      <w:pPr>
        <w:pStyle w:val="5"/>
        <w:bidi w:val="0"/>
        <w:rPr>
          <w:rFonts w:hint="eastAsia" w:eastAsia="宋体"/>
          <w:lang w:val="en-US" w:eastAsia="zh-CN"/>
        </w:rPr>
      </w:pPr>
      <w:bookmarkStart w:id="12" w:name="_Toc6998"/>
      <w:r>
        <w:rPr>
          <w:rFonts w:ascii="Times New Roman" w:hAnsi="Times New Roman"/>
        </w:rPr>
        <w:t xml:space="preserve">Figure S1. </w:t>
      </w:r>
      <w:r>
        <w:rPr>
          <w:rFonts w:hint="eastAsia" w:ascii="Times New Roman" w:hAnsi="Times New Roman"/>
        </w:rPr>
        <w:t>Pairwise overlap of independent RCT clusters in the strict primary analysis</w:t>
      </w:r>
      <w:r>
        <w:rPr>
          <w:rFonts w:ascii="Times New Roman" w:hAnsi="Times New Roman"/>
        </w:rPr>
        <w:t>.</w:t>
      </w:r>
      <w:bookmarkEnd w:id="12"/>
      <w:r>
        <w:rPr>
          <w:rFonts w:hint="eastAsia" w:eastAsia="宋体"/>
          <w:lang w:val="en-US" w:eastAsia="zh-CN"/>
        </w:rPr>
        <w:t xml:space="preserve"> </w:t>
      </w:r>
    </w:p>
    <w:p w14:paraId="32A915D4">
      <w:pPr>
        <w:pStyle w:val="19"/>
        <w:bidi w:val="0"/>
        <w:rPr>
          <w:rFonts w:hint="default" w:eastAsia="宋体"/>
          <w:b w:val="0"/>
          <w:bCs/>
          <w:i/>
          <w:iCs/>
          <w:sz w:val="16"/>
          <w:szCs w:val="16"/>
          <w:lang w:val="en-US" w:eastAsia="zh-CN"/>
        </w:rPr>
      </w:pPr>
      <w:r>
        <w:rPr>
          <w:rFonts w:hint="eastAsia" w:eastAsia="宋体"/>
          <w:b w:val="0"/>
          <w:bCs/>
          <w:i/>
          <w:iCs/>
          <w:sz w:val="16"/>
          <w:szCs w:val="16"/>
          <w:lang w:val="en-US" w:eastAsia="zh-CN"/>
        </w:rPr>
        <w:t>Note. Diagonal cells show the number of independent RCT clusters contributing to each review-level effect; off-diagonal cells show the number shared by each pair of reviews. Darker shading indicates a larger number of RCT clusters. RCT, randomized controlled trial.</w:t>
      </w:r>
    </w:p>
    <w:p w14:paraId="414FF9B3">
      <w:pPr>
        <w:keepNext/>
        <w:jc w:val="center"/>
        <w:rPr>
          <w:rFonts w:hint="eastAsia" w:ascii="Times New Roman" w:hAnsi="Times New Roman" w:eastAsia="宋体"/>
          <w:lang w:eastAsia="zh-CN"/>
        </w:rPr>
      </w:pPr>
      <w:r>
        <w:rPr>
          <w:rFonts w:hint="eastAsia" w:ascii="Times New Roman" w:hAnsi="Times New Roman" w:eastAsia="宋体"/>
          <w:lang w:eastAsia="zh-CN"/>
        </w:rPr>
        <w:drawing>
          <wp:inline distT="0" distB="0" distL="114300" distR="114300">
            <wp:extent cx="6583680" cy="4709160"/>
            <wp:effectExtent l="0" t="0" r="7620" b="5715"/>
            <wp:docPr id="4" name="图片 4" descr="Figure_S2_AMSTAR2_item_profile_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_S2_AMSTAR2_item_profile_Nature"/>
                    <pic:cNvPicPr>
                      <a:picLocks noChangeAspect="1"/>
                    </pic:cNvPicPr>
                  </pic:nvPicPr>
                  <pic:blipFill>
                    <a:blip r:embed="rId9"/>
                    <a:stretch>
                      <a:fillRect/>
                    </a:stretch>
                  </pic:blipFill>
                  <pic:spPr>
                    <a:xfrm>
                      <a:off x="0" y="0"/>
                      <a:ext cx="6583680" cy="4709160"/>
                    </a:xfrm>
                    <a:prstGeom prst="rect">
                      <a:avLst/>
                    </a:prstGeom>
                  </pic:spPr>
                </pic:pic>
              </a:graphicData>
            </a:graphic>
          </wp:inline>
        </w:drawing>
      </w:r>
    </w:p>
    <w:p w14:paraId="50E75144">
      <w:pPr>
        <w:pStyle w:val="5"/>
        <w:bidi w:val="0"/>
        <w:rPr>
          <w:rFonts w:ascii="Times New Roman" w:hAnsi="Times New Roman"/>
          <w:b w:val="0"/>
        </w:rPr>
      </w:pPr>
      <w:bookmarkStart w:id="13" w:name="_Toc19246"/>
      <w:r>
        <w:rPr>
          <w:rFonts w:ascii="Times New Roman" w:hAnsi="Times New Roman"/>
          <w:b w:val="0"/>
        </w:rPr>
        <w:t xml:space="preserve">Figure S2. </w:t>
      </w:r>
      <w:r>
        <w:rPr>
          <w:rFonts w:hint="eastAsia" w:ascii="Times New Roman" w:hAnsi="Times New Roman"/>
          <w:b w:val="0"/>
        </w:rPr>
        <w:t>AMSTAR 2 item-level profile of the 33 included systematic reviews</w:t>
      </w:r>
      <w:r>
        <w:rPr>
          <w:rFonts w:ascii="Times New Roman" w:hAnsi="Times New Roman"/>
          <w:b w:val="0"/>
        </w:rPr>
        <w:t>.</w:t>
      </w:r>
      <w:bookmarkEnd w:id="13"/>
    </w:p>
    <w:p w14:paraId="7A397852">
      <w:pPr>
        <w:keepNext/>
        <w:jc w:val="center"/>
        <w:rPr>
          <w:rFonts w:hint="eastAsia" w:ascii="Times New Roman" w:hAnsi="Times New Roman" w:eastAsia="宋体"/>
          <w:lang w:eastAsia="zh-CN"/>
        </w:rPr>
      </w:pPr>
      <w:r>
        <w:rPr>
          <w:rFonts w:hint="eastAsia" w:ascii="Times New Roman" w:hAnsi="Times New Roman" w:eastAsia="宋体"/>
          <w:lang w:eastAsia="zh-CN"/>
        </w:rPr>
        <w:drawing>
          <wp:inline distT="0" distB="0" distL="114300" distR="114300">
            <wp:extent cx="6583680" cy="4616450"/>
            <wp:effectExtent l="0" t="0" r="0" b="0"/>
            <wp:docPr id="5" name="图片 5" descr="Figure_S3_change_score_sensitivity_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ure_S3_change_score_sensitivity_Nature"/>
                    <pic:cNvPicPr>
                      <a:picLocks noChangeAspect="1"/>
                    </pic:cNvPicPr>
                  </pic:nvPicPr>
                  <pic:blipFill>
                    <a:blip r:embed="rId10"/>
                    <a:srcRect b="2911"/>
                    <a:stretch>
                      <a:fillRect/>
                    </a:stretch>
                  </pic:blipFill>
                  <pic:spPr>
                    <a:xfrm>
                      <a:off x="0" y="0"/>
                      <a:ext cx="6583680" cy="4616450"/>
                    </a:xfrm>
                    <a:prstGeom prst="rect">
                      <a:avLst/>
                    </a:prstGeom>
                  </pic:spPr>
                </pic:pic>
              </a:graphicData>
            </a:graphic>
          </wp:inline>
        </w:drawing>
      </w:r>
    </w:p>
    <w:p w14:paraId="25BDFDDD">
      <w:pPr>
        <w:pStyle w:val="5"/>
        <w:bidi w:val="0"/>
        <w:rPr>
          <w:rFonts w:hint="eastAsia" w:eastAsia="宋体"/>
          <w:b w:val="0"/>
          <w:lang w:val="en-US" w:eastAsia="zh-CN"/>
        </w:rPr>
      </w:pPr>
      <w:bookmarkStart w:id="14" w:name="_Toc14314"/>
      <w:r>
        <w:rPr>
          <w:rFonts w:ascii="Times New Roman" w:hAnsi="Times New Roman"/>
          <w:b w:val="0"/>
        </w:rPr>
        <w:t>Figure S3. Change-score sensitivity analysis.</w:t>
      </w:r>
      <w:bookmarkEnd w:id="14"/>
      <w:r>
        <w:rPr>
          <w:rFonts w:hint="eastAsia" w:eastAsia="宋体"/>
          <w:b w:val="0"/>
          <w:lang w:val="en-US" w:eastAsia="zh-CN"/>
        </w:rPr>
        <w:t xml:space="preserve"> </w:t>
      </w:r>
    </w:p>
    <w:p w14:paraId="554BB3E5">
      <w:pPr>
        <w:pStyle w:val="19"/>
        <w:bidi w:val="0"/>
        <w:rPr>
          <w:rFonts w:hint="default" w:eastAsia="宋体"/>
          <w:b w:val="0"/>
          <w:bCs/>
          <w:i/>
          <w:iCs/>
          <w:sz w:val="16"/>
          <w:szCs w:val="16"/>
          <w:lang w:val="en-US" w:eastAsia="zh-CN"/>
        </w:rPr>
      </w:pPr>
      <w:r>
        <w:rPr>
          <w:rFonts w:hint="eastAsia" w:eastAsia="宋体"/>
          <w:b w:val="0"/>
          <w:bCs/>
          <w:i/>
          <w:iCs/>
          <w:sz w:val="16"/>
          <w:szCs w:val="16"/>
          <w:lang w:val="en-US" w:eastAsia="zh-CN"/>
        </w:rPr>
        <w:t>Note. This sensitivity analysis added the standardized between-group change-score effect reported by Noh and Kim (2023) to the strict primary model. Negative SMD values favour digital psychological interventions. Squares represent review-level effects, with their sizes proportional to inverse-variance weights; horizontal lines represent 95% confidence intervals. The diamond represents the pooled random-effects estimate obtained using restricted maximum-likelihood estimation and Knapp–Hartung adjustment. CI, confidence interval; CCA, corrected covered area; PI, prediction interval; SMD, standardized mean difference.</w:t>
      </w:r>
    </w:p>
    <w:p w14:paraId="4ABCF09F">
      <w:pPr>
        <w:keepNext/>
        <w:jc w:val="center"/>
        <w:rPr>
          <w:rFonts w:hint="eastAsia" w:ascii="Times New Roman" w:hAnsi="Times New Roman" w:eastAsia="宋体"/>
          <w:lang w:eastAsia="zh-CN"/>
        </w:rPr>
      </w:pPr>
      <w:r>
        <w:rPr>
          <w:rFonts w:hint="eastAsia" w:ascii="Times New Roman" w:hAnsi="Times New Roman" w:eastAsia="宋体"/>
          <w:lang w:eastAsia="zh-CN"/>
        </w:rPr>
        <w:drawing>
          <wp:inline distT="0" distB="0" distL="114300" distR="114300">
            <wp:extent cx="6583680" cy="3977640"/>
            <wp:effectExtent l="0" t="0" r="7620" b="3810"/>
            <wp:docPr id="6" name="图片 6" descr="Figure_S4_leave_one_review_out_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ure_S4_leave_one_review_out_Nature"/>
                    <pic:cNvPicPr>
                      <a:picLocks noChangeAspect="1"/>
                    </pic:cNvPicPr>
                  </pic:nvPicPr>
                  <pic:blipFill>
                    <a:blip r:embed="rId11"/>
                    <a:stretch>
                      <a:fillRect/>
                    </a:stretch>
                  </pic:blipFill>
                  <pic:spPr>
                    <a:xfrm>
                      <a:off x="0" y="0"/>
                      <a:ext cx="6583680" cy="3977640"/>
                    </a:xfrm>
                    <a:prstGeom prst="rect">
                      <a:avLst/>
                    </a:prstGeom>
                  </pic:spPr>
                </pic:pic>
              </a:graphicData>
            </a:graphic>
          </wp:inline>
        </w:drawing>
      </w:r>
    </w:p>
    <w:p w14:paraId="041D7D5E">
      <w:pPr>
        <w:pStyle w:val="5"/>
        <w:bidi w:val="0"/>
        <w:rPr>
          <w:rFonts w:hint="eastAsia" w:ascii="Times New Roman" w:hAnsi="Times New Roman"/>
          <w:b w:val="0"/>
          <w:lang w:val="en-US" w:eastAsia="zh-CN"/>
        </w:rPr>
      </w:pPr>
      <w:bookmarkStart w:id="15" w:name="_Toc7966"/>
      <w:r>
        <w:rPr>
          <w:rFonts w:ascii="Times New Roman" w:hAnsi="Times New Roman"/>
          <w:b w:val="0"/>
        </w:rPr>
        <w:t xml:space="preserve">Figure S4. </w:t>
      </w:r>
      <w:r>
        <w:rPr>
          <w:rFonts w:hint="eastAsia" w:ascii="Times New Roman" w:hAnsi="Times New Roman"/>
          <w:b w:val="0"/>
        </w:rPr>
        <w:t>Leave-one-review-out analysis for the strict primary model</w:t>
      </w:r>
      <w:r>
        <w:rPr>
          <w:rFonts w:hint="eastAsia" w:ascii="Times New Roman" w:hAnsi="Times New Roman"/>
          <w:b w:val="0"/>
          <w:lang w:val="en-US" w:eastAsia="zh-CN"/>
        </w:rPr>
        <w:t>.</w:t>
      </w:r>
      <w:bookmarkEnd w:id="15"/>
      <w:r>
        <w:rPr>
          <w:rFonts w:hint="eastAsia" w:ascii="Times New Roman" w:hAnsi="Times New Roman"/>
          <w:b w:val="0"/>
          <w:lang w:val="en-US" w:eastAsia="zh-CN"/>
        </w:rPr>
        <w:t xml:space="preserve"> </w:t>
      </w:r>
    </w:p>
    <w:p w14:paraId="1A6D756B">
      <w:pPr>
        <w:pStyle w:val="19"/>
        <w:bidi w:val="0"/>
        <w:rPr>
          <w:rFonts w:hint="default" w:eastAsia="宋体"/>
          <w:b w:val="0"/>
          <w:bCs/>
          <w:i/>
          <w:iCs/>
          <w:sz w:val="16"/>
          <w:szCs w:val="16"/>
          <w:lang w:val="en-US" w:eastAsia="zh-CN"/>
        </w:rPr>
      </w:pPr>
      <w:r>
        <w:rPr>
          <w:rFonts w:hint="eastAsia" w:eastAsia="宋体"/>
          <w:b w:val="0"/>
          <w:bCs/>
          <w:i/>
          <w:iCs/>
          <w:sz w:val="16"/>
          <w:szCs w:val="16"/>
          <w:lang w:val="en-US" w:eastAsia="zh-CN"/>
        </w:rPr>
        <w:t>Note. Each row shows the pooled strict-primary estimate after omission of the indicated review. Squares represent the re-estimated pooled SMDs, and horizontal lines represent 95% confidence intervals. Negative values favour digital psychological interventions. CI, confidence interval; SMD, standardized mean difference.</w:t>
      </w:r>
    </w:p>
    <w:p w14:paraId="4248D3A8">
      <w:pPr>
        <w:keepNext/>
        <w:jc w:val="center"/>
        <w:rPr>
          <w:rFonts w:hint="eastAsia" w:ascii="Times New Roman" w:hAnsi="Times New Roman" w:eastAsia="宋体"/>
          <w:lang w:eastAsia="zh-CN"/>
        </w:rPr>
      </w:pPr>
      <w:r>
        <w:rPr>
          <w:rFonts w:hint="eastAsia" w:ascii="Times New Roman" w:hAnsi="Times New Roman" w:eastAsia="宋体"/>
          <w:lang w:eastAsia="zh-CN"/>
        </w:rPr>
        <w:drawing>
          <wp:inline distT="0" distB="0" distL="114300" distR="114300">
            <wp:extent cx="6583680" cy="3063240"/>
            <wp:effectExtent l="0" t="0" r="7620" b="3810"/>
            <wp:docPr id="7" name="图片 7" descr="Figure_S5_active_control_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ure_S5_active_control_Nature"/>
                    <pic:cNvPicPr>
                      <a:picLocks noChangeAspect="1"/>
                    </pic:cNvPicPr>
                  </pic:nvPicPr>
                  <pic:blipFill>
                    <a:blip r:embed="rId12"/>
                    <a:stretch>
                      <a:fillRect/>
                    </a:stretch>
                  </pic:blipFill>
                  <pic:spPr>
                    <a:xfrm>
                      <a:off x="0" y="0"/>
                      <a:ext cx="6583680" cy="3063240"/>
                    </a:xfrm>
                    <a:prstGeom prst="rect">
                      <a:avLst/>
                    </a:prstGeom>
                  </pic:spPr>
                </pic:pic>
              </a:graphicData>
            </a:graphic>
          </wp:inline>
        </w:drawing>
      </w:r>
    </w:p>
    <w:p w14:paraId="36F97328">
      <w:pPr>
        <w:pStyle w:val="5"/>
        <w:bidi w:val="0"/>
        <w:rPr>
          <w:rFonts w:hint="eastAsia" w:eastAsia="宋体"/>
          <w:b w:val="0"/>
          <w:lang w:val="en-US" w:eastAsia="zh-CN"/>
        </w:rPr>
      </w:pPr>
      <w:bookmarkStart w:id="16" w:name="_Toc15033"/>
      <w:r>
        <w:rPr>
          <w:rFonts w:ascii="Times New Roman" w:hAnsi="Times New Roman"/>
          <w:b w:val="0"/>
        </w:rPr>
        <w:t xml:space="preserve">Figure S5. </w:t>
      </w:r>
      <w:r>
        <w:rPr>
          <w:rFonts w:hint="eastAsia" w:ascii="Times New Roman" w:hAnsi="Times New Roman"/>
          <w:b w:val="0"/>
        </w:rPr>
        <w:t>Active-control subgroup analysis</w:t>
      </w:r>
      <w:r>
        <w:rPr>
          <w:rFonts w:ascii="Times New Roman" w:hAnsi="Times New Roman"/>
          <w:b w:val="0"/>
        </w:rPr>
        <w:t>.</w:t>
      </w:r>
      <w:bookmarkEnd w:id="16"/>
      <w:r>
        <w:rPr>
          <w:rFonts w:hint="eastAsia" w:eastAsia="宋体"/>
          <w:b w:val="0"/>
          <w:lang w:val="en-US" w:eastAsia="zh-CN"/>
        </w:rPr>
        <w:t xml:space="preserve"> </w:t>
      </w:r>
    </w:p>
    <w:p w14:paraId="23CFD97F">
      <w:pPr>
        <w:pStyle w:val="19"/>
        <w:bidi w:val="0"/>
        <w:rPr>
          <w:rFonts w:hint="default" w:eastAsia="宋体"/>
          <w:b w:val="0"/>
          <w:bCs/>
          <w:i/>
          <w:iCs/>
          <w:sz w:val="16"/>
          <w:szCs w:val="16"/>
          <w:lang w:val="en-US" w:eastAsia="zh-CN"/>
        </w:rPr>
      </w:pPr>
      <w:r>
        <w:rPr>
          <w:rFonts w:hint="eastAsia" w:eastAsia="宋体"/>
          <w:b w:val="0"/>
          <w:bCs/>
          <w:i/>
          <w:iCs/>
          <w:sz w:val="16"/>
          <w:szCs w:val="16"/>
          <w:lang w:val="en-US" w:eastAsia="zh-CN"/>
        </w:rPr>
        <w:t>Note. Review-level effects compare digital psychological interventions with active therapeutic or attention-matched control conditions at post-intervention. Negative SMD values favour digital psychological interventions. Squares represent review-level effects, with their sizes proportional to inverse-variance weights; horizontal lines represent 95% confidence intervals. The diamond represents the pooled random-effects estimate. A prediction interval was not calculated because the model included fewer than five review-level effects. CI, confidence interval; CCA, corrected covered area; SMD, standardized mean difference.</w:t>
      </w:r>
    </w:p>
    <w:p w14:paraId="7CB267B0">
      <w:pPr>
        <w:keepNext/>
        <w:jc w:val="center"/>
        <w:rPr>
          <w:rFonts w:hint="eastAsia" w:ascii="Times New Roman" w:hAnsi="Times New Roman" w:eastAsia="宋体"/>
          <w:lang w:eastAsia="zh-CN"/>
        </w:rPr>
      </w:pPr>
      <w:r>
        <w:rPr>
          <w:rFonts w:hint="eastAsia" w:ascii="Times New Roman" w:hAnsi="Times New Roman" w:eastAsia="宋体"/>
          <w:lang w:eastAsia="zh-CN"/>
        </w:rPr>
        <w:drawing>
          <wp:inline distT="0" distB="0" distL="114300" distR="114300">
            <wp:extent cx="6583680" cy="3063240"/>
            <wp:effectExtent l="0" t="0" r="7620" b="3810"/>
            <wp:docPr id="9" name="图片 9" descr="Figure_S6_follow_up_windows_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igure_S6_follow_up_windows_Nature"/>
                    <pic:cNvPicPr>
                      <a:picLocks noChangeAspect="1"/>
                    </pic:cNvPicPr>
                  </pic:nvPicPr>
                  <pic:blipFill>
                    <a:blip r:embed="rId13"/>
                    <a:stretch>
                      <a:fillRect/>
                    </a:stretch>
                  </pic:blipFill>
                  <pic:spPr>
                    <a:xfrm>
                      <a:off x="0" y="0"/>
                      <a:ext cx="6583680" cy="3063240"/>
                    </a:xfrm>
                    <a:prstGeom prst="rect">
                      <a:avLst/>
                    </a:prstGeom>
                  </pic:spPr>
                </pic:pic>
              </a:graphicData>
            </a:graphic>
          </wp:inline>
        </w:drawing>
      </w:r>
    </w:p>
    <w:p w14:paraId="39209CF7">
      <w:pPr>
        <w:pStyle w:val="5"/>
        <w:bidi w:val="0"/>
        <w:rPr>
          <w:rFonts w:hint="eastAsia" w:eastAsia="宋体"/>
          <w:b w:val="0"/>
          <w:lang w:val="en-US" w:eastAsia="zh-CN"/>
        </w:rPr>
      </w:pPr>
      <w:bookmarkStart w:id="17" w:name="_Toc10221"/>
      <w:r>
        <w:rPr>
          <w:rFonts w:ascii="Times New Roman" w:hAnsi="Times New Roman"/>
          <w:b w:val="0"/>
        </w:rPr>
        <w:t xml:space="preserve">Figure S6. </w:t>
      </w:r>
      <w:r>
        <w:rPr>
          <w:rFonts w:hint="eastAsia" w:ascii="Times New Roman" w:hAnsi="Times New Roman"/>
          <w:b w:val="0"/>
        </w:rPr>
        <w:t>Follow-up effects by prespecified time window</w:t>
      </w:r>
      <w:r>
        <w:rPr>
          <w:rFonts w:ascii="Times New Roman" w:hAnsi="Times New Roman"/>
          <w:b w:val="0"/>
        </w:rPr>
        <w:t>.</w:t>
      </w:r>
      <w:bookmarkEnd w:id="17"/>
      <w:r>
        <w:rPr>
          <w:rFonts w:hint="eastAsia" w:eastAsia="宋体"/>
          <w:b w:val="0"/>
          <w:lang w:val="en-US" w:eastAsia="zh-CN"/>
        </w:rPr>
        <w:t xml:space="preserve"> </w:t>
      </w:r>
    </w:p>
    <w:p w14:paraId="07B0A09B">
      <w:pPr>
        <w:pStyle w:val="19"/>
        <w:bidi w:val="0"/>
        <w:rPr>
          <w:rFonts w:hint="default" w:eastAsia="宋体"/>
          <w:b w:val="0"/>
          <w:bCs/>
          <w:i/>
          <w:iCs/>
          <w:sz w:val="16"/>
          <w:szCs w:val="16"/>
          <w:lang w:val="en-US" w:eastAsia="zh-CN"/>
        </w:rPr>
      </w:pPr>
      <w:r>
        <w:rPr>
          <w:rFonts w:hint="eastAsia" w:eastAsia="宋体"/>
          <w:b w:val="0"/>
          <w:bCs/>
          <w:i/>
          <w:iCs/>
          <w:sz w:val="16"/>
          <w:szCs w:val="16"/>
          <w:lang w:val="en-US" w:eastAsia="zh-CN"/>
        </w:rPr>
        <w:t>Note. Review-specific follow-up effects are grouped according to the prespecified 1–3-month, &gt;3–6-month, and &gt;6–12-month time windows. Negative SMD values favour digital psychological interventions. Squares represent review-level effect estimates, and horizontal lines represent 95% confidence intervals. No cross-review pooled estimate was calculated because comparator definitions and follow-up assessments were insufficiently comparable across reviews. Results spanning more than one prespecified time window, or lacking a complete numerical effect estimate and confidence interval, were not plotted. CI, confidence interval; SMD, standardized mean difference.</w:t>
      </w:r>
    </w:p>
    <w:p w14:paraId="03F5E535">
      <w:pPr>
        <w:keepNext/>
        <w:jc w:val="center"/>
        <w:rPr>
          <w:rFonts w:hint="eastAsia" w:ascii="Times New Roman" w:hAnsi="Times New Roman" w:eastAsia="宋体"/>
          <w:lang w:eastAsia="zh-CN"/>
        </w:rPr>
      </w:pPr>
      <w:r>
        <w:rPr>
          <w:rFonts w:hint="eastAsia" w:ascii="Times New Roman" w:hAnsi="Times New Roman" w:eastAsia="宋体"/>
          <w:lang w:eastAsia="zh-CN"/>
        </w:rPr>
        <w:drawing>
          <wp:inline distT="0" distB="0" distL="114300" distR="114300">
            <wp:extent cx="6583680" cy="3337560"/>
            <wp:effectExtent l="0" t="0" r="7620" b="5715"/>
            <wp:docPr id="10" name="图片 10" descr="Figure_S7_network_meta_analysis_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igure_S7_network_meta_analysis_Nature"/>
                    <pic:cNvPicPr>
                      <a:picLocks noChangeAspect="1"/>
                    </pic:cNvPicPr>
                  </pic:nvPicPr>
                  <pic:blipFill>
                    <a:blip r:embed="rId14"/>
                    <a:stretch>
                      <a:fillRect/>
                    </a:stretch>
                  </pic:blipFill>
                  <pic:spPr>
                    <a:xfrm>
                      <a:off x="0" y="0"/>
                      <a:ext cx="6583680" cy="3337560"/>
                    </a:xfrm>
                    <a:prstGeom prst="rect">
                      <a:avLst/>
                    </a:prstGeom>
                  </pic:spPr>
                </pic:pic>
              </a:graphicData>
            </a:graphic>
          </wp:inline>
        </w:drawing>
      </w:r>
    </w:p>
    <w:p w14:paraId="30C745CD">
      <w:pPr>
        <w:pStyle w:val="5"/>
        <w:bidi w:val="0"/>
        <w:rPr>
          <w:rFonts w:ascii="Times New Roman" w:hAnsi="Times New Roman"/>
          <w:b w:val="0"/>
        </w:rPr>
      </w:pPr>
      <w:bookmarkStart w:id="18" w:name="_Toc17716"/>
      <w:r>
        <w:rPr>
          <w:rFonts w:ascii="Times New Roman" w:hAnsi="Times New Roman"/>
          <w:b w:val="0"/>
        </w:rPr>
        <w:t xml:space="preserve">Figure S7. </w:t>
      </w:r>
      <w:r>
        <w:rPr>
          <w:rFonts w:hint="eastAsia" w:ascii="Times New Roman" w:hAnsi="Times New Roman"/>
          <w:b w:val="0"/>
        </w:rPr>
        <w:t>Network meta-analysis estimates for eligible digital psychological interventions</w:t>
      </w:r>
      <w:r>
        <w:rPr>
          <w:rFonts w:ascii="Times New Roman" w:hAnsi="Times New Roman"/>
          <w:b w:val="0"/>
        </w:rPr>
        <w:t>.</w:t>
      </w:r>
      <w:bookmarkEnd w:id="18"/>
    </w:p>
    <w:p w14:paraId="759DC744">
      <w:pPr>
        <w:rPr>
          <w:rFonts w:hint="eastAsia" w:ascii="Times New Roman" w:hAnsi="Times New Roman" w:eastAsia="宋体" w:cstheme="minorBidi"/>
          <w:b w:val="0"/>
          <w:bCs/>
          <w:i/>
          <w:iCs/>
          <w:sz w:val="16"/>
          <w:szCs w:val="16"/>
          <w:lang w:val="en-US" w:eastAsia="zh-CN" w:bidi="ar-SA"/>
        </w:rPr>
      </w:pPr>
      <w:r>
        <w:rPr>
          <w:rFonts w:hint="eastAsia" w:ascii="Times New Roman" w:hAnsi="Times New Roman" w:eastAsia="宋体" w:cstheme="minorBidi"/>
          <w:b w:val="0"/>
          <w:bCs/>
          <w:i/>
          <w:iCs/>
          <w:sz w:val="16"/>
          <w:szCs w:val="16"/>
          <w:lang w:val="en-US" w:eastAsia="zh-CN" w:bidi="ar-SA"/>
        </w:rPr>
        <w:t>Note. Squares show review-specific SMD estimates, and horizontal lines show 95% credible intervals (CrIs). Negative values favour digital psychological interventions. The two panels use different horizontal-axis ranges. Estimates were not pooled across reviews, and no cross-review treatment ranking was derived. CrI, credible interval; SMD, standardized mean difference.</w:t>
      </w:r>
    </w:p>
    <w:p w14:paraId="710CD727">
      <w:pPr>
        <w:keepLines/>
        <w:spacing w:before="60" w:after="180"/>
        <w:jc w:val="center"/>
      </w:pPr>
    </w:p>
    <w:sectPr>
      <w:footerReference r:id="rId6" w:type="default"/>
      <w:pgSz w:w="15840" w:h="12240" w:orient="landscape"/>
      <w:pgMar w:top="1440" w:right="1440" w:bottom="1440" w:left="1440" w:header="709" w:footer="709" w:gutter="0"/>
      <w:pgBorders>
        <w:top w:val="none" w:sz="0" w:space="0"/>
        <w:left w:val="none" w:sz="0" w:space="0"/>
        <w:bottom w:val="none" w:sz="0" w:space="0"/>
        <w:right w:val="none" w:sz="0" w:space="0"/>
      </w:pgBorders>
      <w:pgNumType w:fmt="decimal"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Cambria">
    <w:panose1 w:val="02040503050406030204"/>
    <w:charset w:val="00"/>
    <w:family w:val="auto"/>
    <w:pitch w:val="default"/>
    <w:sig w:usb0="E00006FF" w:usb1="420024FF" w:usb2="02000000" w:usb3="00000000" w:csb0="2000019F" w:csb1="00000000"/>
  </w:font>
  <w:font w:name="ＭＳ 明朝">
    <w:altName w:val="Liberation Mono"/>
    <w:panose1 w:val="00000000000000000000"/>
    <w:charset w:val="00"/>
    <w:family w:val="auto"/>
    <w:pitch w:val="default"/>
    <w:sig w:usb0="00000000" w:usb1="00000000" w:usb2="00000000" w:usb3="00000000" w:csb0="00000000" w:csb1="00000000"/>
  </w:font>
  <w:font w:name="Liberation Mono">
    <w:panose1 w:val="02070409020205020404"/>
    <w:charset w:val="00"/>
    <w:family w:val="auto"/>
    <w:pitch w:val="default"/>
    <w:sig w:usb0="E0000AFF" w:usb1="400078FF" w:usb2="00000001" w:usb3="00000000" w:csb0="6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0765B">
    <w:pPr>
      <w:pStyle w:val="25"/>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989814">
                          <w:pPr>
                            <w:pStyle w:val="2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1989814">
                    <w:pPr>
                      <w:pStyle w:val="2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22396">
    <w:pPr>
      <w:pStyle w:val="25"/>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5F3A36">
                          <w:pPr>
                            <w:pStyle w:val="2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F5F3A36">
                    <w:pPr>
                      <w:pStyle w:val="2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DD7308"/>
    <w:rsid w:val="00FC693F"/>
    <w:rsid w:val="011253ED"/>
    <w:rsid w:val="055C73C7"/>
    <w:rsid w:val="058A2920"/>
    <w:rsid w:val="061E4EE4"/>
    <w:rsid w:val="08B65E83"/>
    <w:rsid w:val="0A545055"/>
    <w:rsid w:val="0D527A7F"/>
    <w:rsid w:val="116110CF"/>
    <w:rsid w:val="123738A6"/>
    <w:rsid w:val="136C0975"/>
    <w:rsid w:val="172A349E"/>
    <w:rsid w:val="1F150E58"/>
    <w:rsid w:val="210767B1"/>
    <w:rsid w:val="22372AAE"/>
    <w:rsid w:val="22E565CE"/>
    <w:rsid w:val="26E013F5"/>
    <w:rsid w:val="2A751B2E"/>
    <w:rsid w:val="2B621749"/>
    <w:rsid w:val="2C057C62"/>
    <w:rsid w:val="2EC4391B"/>
    <w:rsid w:val="37461371"/>
    <w:rsid w:val="38583B8B"/>
    <w:rsid w:val="3F784090"/>
    <w:rsid w:val="40DA2F44"/>
    <w:rsid w:val="42140000"/>
    <w:rsid w:val="45CE5353"/>
    <w:rsid w:val="45DD2A05"/>
    <w:rsid w:val="47FC721F"/>
    <w:rsid w:val="4A9565F8"/>
    <w:rsid w:val="4AAB55ED"/>
    <w:rsid w:val="4AF06893"/>
    <w:rsid w:val="4FF66288"/>
    <w:rsid w:val="5018027F"/>
    <w:rsid w:val="5AD26C3A"/>
    <w:rsid w:val="5CC2758B"/>
    <w:rsid w:val="5D3168CB"/>
    <w:rsid w:val="684C7C87"/>
    <w:rsid w:val="6CC16DF8"/>
    <w:rsid w:val="6DD84989"/>
    <w:rsid w:val="6E252A7A"/>
    <w:rsid w:val="6F5217D9"/>
    <w:rsid w:val="6F874AE6"/>
    <w:rsid w:val="73D21314"/>
    <w:rsid w:val="7AC5601E"/>
    <w:rsid w:val="7B472BDF"/>
    <w:rsid w:val="7B7C2518"/>
    <w:rsid w:val="7BE60D47"/>
    <w:rsid w:val="7D5E0064"/>
    <w:rsid w:val="7D753296"/>
    <w:rsid w:val="7F9E2999"/>
    <w:rsid w:val="7FBD7A3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0" w:line="360" w:lineRule="auto"/>
    </w:pPr>
    <w:rPr>
      <w:rFonts w:ascii="Times New Roman" w:hAnsi="Times New Roman" w:eastAsia="宋体" w:cstheme="minorBidi"/>
      <w:sz w:val="20"/>
      <w:szCs w:val="22"/>
      <w:lang w:val="en-US" w:eastAsia="en-US" w:bidi="ar-SA"/>
    </w:rPr>
  </w:style>
  <w:style w:type="paragraph" w:styleId="3">
    <w:name w:val="heading 1"/>
    <w:basedOn w:val="1"/>
    <w:next w:val="1"/>
    <w:link w:val="142"/>
    <w:qFormat/>
    <w:uiPriority w:val="9"/>
    <w:pPr>
      <w:keepNext/>
      <w:keepLines/>
      <w:spacing w:before="240" w:after="120"/>
      <w:outlineLvl w:val="0"/>
    </w:pPr>
    <w:rPr>
      <w:rFonts w:asciiTheme="majorHAnsi" w:hAnsiTheme="majorHAnsi" w:eastAsiaTheme="majorEastAsia" w:cstheme="majorBidi"/>
      <w:b/>
      <w:bCs/>
      <w:sz w:val="28"/>
      <w:szCs w:val="28"/>
    </w:rPr>
  </w:style>
  <w:style w:type="paragraph" w:styleId="4">
    <w:name w:val="heading 2"/>
    <w:basedOn w:val="1"/>
    <w:next w:val="1"/>
    <w:link w:val="143"/>
    <w:unhideWhenUsed/>
    <w:qFormat/>
    <w:uiPriority w:val="9"/>
    <w:pPr>
      <w:keepNext/>
      <w:keepLines/>
      <w:spacing w:before="240" w:after="120"/>
      <w:outlineLvl w:val="1"/>
    </w:pPr>
    <w:rPr>
      <w:rFonts w:ascii="Times New Roman" w:hAnsi="Times New Roman" w:eastAsiaTheme="majorEastAsia" w:cstheme="majorBidi"/>
      <w:b/>
      <w:bCs/>
      <w:i/>
      <w:szCs w:val="26"/>
    </w:rPr>
  </w:style>
  <w:style w:type="paragraph" w:styleId="5">
    <w:name w:val="heading 3"/>
    <w:basedOn w:val="1"/>
    <w:next w:val="1"/>
    <w:link w:val="144"/>
    <w:unhideWhenUsed/>
    <w:qFormat/>
    <w:uiPriority w:val="9"/>
    <w:pPr>
      <w:keepNext/>
      <w:keepLines/>
      <w:spacing w:before="240" w:after="120"/>
      <w:jc w:val="center"/>
      <w:outlineLvl w:val="2"/>
    </w:pPr>
    <w:rPr>
      <w:rFonts w:eastAsiaTheme="majorEastAsia" w:cstheme="majorBidi"/>
      <w:bCs/>
    </w:rPr>
  </w:style>
  <w:style w:type="paragraph" w:styleId="6">
    <w:name w:val="heading 4"/>
    <w:basedOn w:val="1"/>
    <w:next w:val="1"/>
    <w:link w:val="154"/>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5"/>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6"/>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7"/>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8"/>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9"/>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5">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2">
    <w:name w:val="macro"/>
    <w:link w:val="151"/>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50"/>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8"/>
    <w:unhideWhenUsed/>
    <w:qFormat/>
    <w:uiPriority w:val="99"/>
    <w:pPr>
      <w:spacing w:after="0" w:line="360" w:lineRule="auto"/>
    </w:pPr>
    <w:rPr>
      <w:rFonts w:ascii="Times New Roman" w:hAnsi="Times New Roman" w:eastAsia="宋体"/>
      <w:sz w:val="20"/>
    </w:r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toc 3"/>
    <w:basedOn w:val="1"/>
    <w:next w:val="1"/>
    <w:semiHidden/>
    <w:unhideWhenUsed/>
    <w:qFormat/>
    <w:uiPriority w:val="39"/>
    <w:pPr>
      <w:ind w:left="840" w:leftChars="400"/>
    </w:pPr>
  </w:style>
  <w:style w:type="paragraph" w:styleId="25">
    <w:name w:val="footer"/>
    <w:basedOn w:val="1"/>
    <w:link w:val="140"/>
    <w:unhideWhenUsed/>
    <w:qFormat/>
    <w:uiPriority w:val="99"/>
    <w:pPr>
      <w:tabs>
        <w:tab w:val="center" w:pos="4680"/>
        <w:tab w:val="right" w:pos="9360"/>
      </w:tabs>
      <w:spacing w:after="0" w:line="240" w:lineRule="auto"/>
    </w:pPr>
  </w:style>
  <w:style w:type="paragraph" w:styleId="26">
    <w:name w:val="header"/>
    <w:basedOn w:val="1"/>
    <w:link w:val="139"/>
    <w:unhideWhenUsed/>
    <w:qFormat/>
    <w:uiPriority w:val="99"/>
    <w:pPr>
      <w:tabs>
        <w:tab w:val="center" w:pos="4680"/>
        <w:tab w:val="right" w:pos="9360"/>
      </w:tabs>
      <w:spacing w:after="0" w:line="240" w:lineRule="auto"/>
    </w:pPr>
  </w:style>
  <w:style w:type="paragraph" w:styleId="27">
    <w:name w:val="toc 1"/>
    <w:basedOn w:val="1"/>
    <w:next w:val="1"/>
    <w:semiHidden/>
    <w:unhideWhenUsed/>
    <w:qFormat/>
    <w:uiPriority w:val="39"/>
  </w:style>
  <w:style w:type="paragraph" w:styleId="28">
    <w:name w:val="Subtitle"/>
    <w:basedOn w:val="1"/>
    <w:next w:val="1"/>
    <w:link w:val="14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9">
    <w:name w:val="List"/>
    <w:basedOn w:val="1"/>
    <w:unhideWhenUsed/>
    <w:qFormat/>
    <w:uiPriority w:val="99"/>
    <w:pPr>
      <w:ind w:left="360" w:hanging="360"/>
      <w:contextualSpacing/>
    </w:pPr>
  </w:style>
  <w:style w:type="paragraph" w:styleId="30">
    <w:name w:val="toc 2"/>
    <w:basedOn w:val="1"/>
    <w:next w:val="1"/>
    <w:semiHidden/>
    <w:unhideWhenUsed/>
    <w:qFormat/>
    <w:uiPriority w:val="39"/>
    <w:pPr>
      <w:ind w:left="420" w:leftChars="200"/>
    </w:pPr>
  </w:style>
  <w:style w:type="paragraph" w:styleId="31">
    <w:name w:val="Body Text 2"/>
    <w:basedOn w:val="1"/>
    <w:link w:val="149"/>
    <w:unhideWhenUsed/>
    <w:qFormat/>
    <w:uiPriority w:val="99"/>
    <w:pPr>
      <w:spacing w:after="120" w:line="480" w:lineRule="auto"/>
    </w:pPr>
  </w:style>
  <w:style w:type="paragraph" w:styleId="32">
    <w:name w:val="List Continue 2"/>
    <w:basedOn w:val="1"/>
    <w:unhideWhenUsed/>
    <w:qFormat/>
    <w:uiPriority w:val="99"/>
    <w:pPr>
      <w:spacing w:after="120"/>
      <w:ind w:left="720"/>
      <w:contextualSpacing/>
    </w:pPr>
  </w:style>
  <w:style w:type="paragraph" w:styleId="33">
    <w:name w:val="List Continue 3"/>
    <w:basedOn w:val="1"/>
    <w:unhideWhenUsed/>
    <w:qFormat/>
    <w:uiPriority w:val="99"/>
    <w:pPr>
      <w:spacing w:after="120"/>
      <w:ind w:left="1080"/>
      <w:contextualSpacing/>
    </w:pPr>
  </w:style>
  <w:style w:type="paragraph" w:styleId="34">
    <w:name w:val="Title"/>
    <w:basedOn w:val="1"/>
    <w:next w:val="1"/>
    <w:link w:val="145"/>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6">
    <w:name w:val="Table Grid"/>
    <w:basedOn w:val="3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7">
    <w:name w:val="Light Shading"/>
    <w:basedOn w:val="35"/>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35"/>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35"/>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35"/>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35"/>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35"/>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35"/>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35"/>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35"/>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35"/>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35"/>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35"/>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35"/>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35"/>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35"/>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35"/>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35"/>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35"/>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35"/>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35"/>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35"/>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35"/>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35"/>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35"/>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35"/>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35"/>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35"/>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35"/>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35"/>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35"/>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35"/>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35"/>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35"/>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35"/>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35"/>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35"/>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35"/>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35"/>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35"/>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35"/>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35"/>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35"/>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35"/>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35"/>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35"/>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35"/>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35"/>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35"/>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35"/>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6">
    <w:name w:val="Strong"/>
    <w:basedOn w:val="135"/>
    <w:qFormat/>
    <w:uiPriority w:val="22"/>
    <w:rPr>
      <w:b/>
      <w:bCs/>
    </w:rPr>
  </w:style>
  <w:style w:type="character" w:styleId="137">
    <w:name w:val="Emphasis"/>
    <w:basedOn w:val="135"/>
    <w:qFormat/>
    <w:uiPriority w:val="20"/>
    <w:rPr>
      <w:i/>
      <w:iCs/>
    </w:rPr>
  </w:style>
  <w:style w:type="character" w:styleId="138">
    <w:name w:val="HTML Code"/>
    <w:basedOn w:val="135"/>
    <w:semiHidden/>
    <w:unhideWhenUsed/>
    <w:qFormat/>
    <w:uiPriority w:val="99"/>
    <w:rPr>
      <w:rFonts w:ascii="Courier New" w:hAnsi="Courier New"/>
      <w:sz w:val="20"/>
    </w:rPr>
  </w:style>
  <w:style w:type="character" w:customStyle="1" w:styleId="139">
    <w:name w:val="Header Char"/>
    <w:basedOn w:val="135"/>
    <w:link w:val="26"/>
    <w:qFormat/>
    <w:uiPriority w:val="99"/>
  </w:style>
  <w:style w:type="character" w:customStyle="1" w:styleId="140">
    <w:name w:val="Footer Char"/>
    <w:basedOn w:val="135"/>
    <w:link w:val="25"/>
    <w:qFormat/>
    <w:uiPriority w:val="99"/>
  </w:style>
  <w:style w:type="paragraph" w:styleId="141">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2">
    <w:name w:val="Heading 1 Char"/>
    <w:basedOn w:val="135"/>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3">
    <w:name w:val="Heading 2 Char"/>
    <w:basedOn w:val="135"/>
    <w:link w:val="4"/>
    <w:qFormat/>
    <w:uiPriority w:val="9"/>
    <w:rPr>
      <w:rFonts w:ascii="Times New Roman" w:hAnsi="Times New Roman" w:eastAsiaTheme="majorEastAsia" w:cstheme="majorBidi"/>
      <w:b/>
      <w:bCs/>
      <w:i/>
      <w:color w:val="4F81BD" w:themeColor="accent1"/>
      <w:sz w:val="20"/>
      <w:szCs w:val="26"/>
      <w14:textFill>
        <w14:solidFill>
          <w14:schemeClr w14:val="accent1"/>
        </w14:solidFill>
      </w14:textFill>
    </w:rPr>
  </w:style>
  <w:style w:type="character" w:customStyle="1" w:styleId="144">
    <w:name w:val="Heading 3 Char"/>
    <w:basedOn w:val="135"/>
    <w:link w:val="5"/>
    <w:qFormat/>
    <w:uiPriority w:val="9"/>
    <w:rPr>
      <w:rFonts w:ascii="Times New Roman" w:hAnsi="Times New Roman" w:eastAsiaTheme="majorEastAsia" w:cstheme="majorBidi"/>
      <w:bCs/>
      <w:color w:val="4F81BD" w:themeColor="accent1"/>
      <w:sz w:val="20"/>
      <w14:textFill>
        <w14:solidFill>
          <w14:schemeClr w14:val="accent1"/>
        </w14:solidFill>
      </w14:textFill>
    </w:rPr>
  </w:style>
  <w:style w:type="character" w:customStyle="1" w:styleId="145">
    <w:name w:val="Title Char"/>
    <w:basedOn w:val="135"/>
    <w:link w:val="34"/>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6">
    <w:name w:val="Subtitle Char"/>
    <w:basedOn w:val="135"/>
    <w:link w:val="28"/>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7">
    <w:name w:val="List Paragraph"/>
    <w:basedOn w:val="1"/>
    <w:qFormat/>
    <w:uiPriority w:val="34"/>
    <w:pPr>
      <w:ind w:left="720"/>
      <w:contextualSpacing/>
    </w:pPr>
  </w:style>
  <w:style w:type="character" w:customStyle="1" w:styleId="148">
    <w:name w:val="Body Text Char"/>
    <w:basedOn w:val="135"/>
    <w:link w:val="19"/>
    <w:qFormat/>
    <w:uiPriority w:val="99"/>
  </w:style>
  <w:style w:type="character" w:customStyle="1" w:styleId="149">
    <w:name w:val="Body Text 2 Char"/>
    <w:basedOn w:val="135"/>
    <w:link w:val="31"/>
    <w:qFormat/>
    <w:uiPriority w:val="99"/>
  </w:style>
  <w:style w:type="character" w:customStyle="1" w:styleId="150">
    <w:name w:val="Body Text 3 Char"/>
    <w:basedOn w:val="135"/>
    <w:link w:val="17"/>
    <w:qFormat/>
    <w:uiPriority w:val="99"/>
    <w:rPr>
      <w:sz w:val="16"/>
      <w:szCs w:val="16"/>
    </w:rPr>
  </w:style>
  <w:style w:type="character" w:customStyle="1" w:styleId="151">
    <w:name w:val="Macro Text Char"/>
    <w:basedOn w:val="135"/>
    <w:link w:val="2"/>
    <w:qFormat/>
    <w:uiPriority w:val="99"/>
    <w:rPr>
      <w:rFonts w:ascii="Courier" w:hAnsi="Courier"/>
      <w:sz w:val="20"/>
      <w:szCs w:val="20"/>
    </w:rPr>
  </w:style>
  <w:style w:type="paragraph" w:styleId="152">
    <w:name w:val="Quote"/>
    <w:basedOn w:val="1"/>
    <w:next w:val="1"/>
    <w:link w:val="153"/>
    <w:qFormat/>
    <w:uiPriority w:val="29"/>
    <w:rPr>
      <w:i/>
      <w:iCs/>
      <w:color w:val="000000" w:themeColor="text1"/>
      <w14:textFill>
        <w14:solidFill>
          <w14:schemeClr w14:val="tx1"/>
        </w14:solidFill>
      </w14:textFill>
    </w:rPr>
  </w:style>
  <w:style w:type="character" w:customStyle="1" w:styleId="153">
    <w:name w:val="Quote Char"/>
    <w:basedOn w:val="135"/>
    <w:link w:val="152"/>
    <w:qFormat/>
    <w:uiPriority w:val="29"/>
    <w:rPr>
      <w:i/>
      <w:iCs/>
      <w:color w:val="000000" w:themeColor="text1"/>
      <w14:textFill>
        <w14:solidFill>
          <w14:schemeClr w14:val="tx1"/>
        </w14:solidFill>
      </w14:textFill>
    </w:rPr>
  </w:style>
  <w:style w:type="character" w:customStyle="1" w:styleId="154">
    <w:name w:val="Heading 4 Char"/>
    <w:basedOn w:val="135"/>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5">
    <w:name w:val="Heading 5 Char"/>
    <w:basedOn w:val="135"/>
    <w:link w:val="7"/>
    <w:semiHidden/>
    <w:qFormat/>
    <w:uiPriority w:val="9"/>
    <w:rPr>
      <w:rFonts w:asciiTheme="majorHAnsi" w:hAnsiTheme="majorHAnsi" w:eastAsiaTheme="majorEastAsia" w:cstheme="majorBidi"/>
      <w:color w:val="254061" w:themeColor="accent1" w:themeShade="80"/>
    </w:rPr>
  </w:style>
  <w:style w:type="character" w:customStyle="1" w:styleId="156">
    <w:name w:val="Heading 6 Char"/>
    <w:basedOn w:val="135"/>
    <w:link w:val="8"/>
    <w:semiHidden/>
    <w:qFormat/>
    <w:uiPriority w:val="9"/>
    <w:rPr>
      <w:rFonts w:asciiTheme="majorHAnsi" w:hAnsiTheme="majorHAnsi" w:eastAsiaTheme="majorEastAsia" w:cstheme="majorBidi"/>
      <w:i/>
      <w:iCs/>
      <w:color w:val="254061" w:themeColor="accent1" w:themeShade="80"/>
    </w:rPr>
  </w:style>
  <w:style w:type="character" w:customStyle="1" w:styleId="157">
    <w:name w:val="Heading 7 Char"/>
    <w:basedOn w:val="135"/>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8">
    <w:name w:val="Heading 8 Char"/>
    <w:basedOn w:val="135"/>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9">
    <w:name w:val="Heading 9 Char"/>
    <w:basedOn w:val="135"/>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60">
    <w:name w:val="Intense Quote"/>
    <w:basedOn w:val="1"/>
    <w:next w:val="1"/>
    <w:link w:val="161"/>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1">
    <w:name w:val="Intense Quote Char"/>
    <w:basedOn w:val="135"/>
    <w:link w:val="160"/>
    <w:qFormat/>
    <w:uiPriority w:val="30"/>
    <w:rPr>
      <w:b/>
      <w:bCs/>
      <w:i/>
      <w:iCs/>
      <w:color w:val="4F81BD" w:themeColor="accent1"/>
      <w14:textFill>
        <w14:solidFill>
          <w14:schemeClr w14:val="accent1"/>
        </w14:solidFill>
      </w14:textFill>
    </w:rPr>
  </w:style>
  <w:style w:type="character" w:customStyle="1" w:styleId="162">
    <w:name w:val="Subtle Emphasis"/>
    <w:basedOn w:val="135"/>
    <w:qFormat/>
    <w:uiPriority w:val="19"/>
    <w:rPr>
      <w:i/>
      <w:iCs/>
      <w:color w:val="808080" w:themeColor="text1" w:themeTint="80"/>
      <w14:textFill>
        <w14:solidFill>
          <w14:schemeClr w14:val="tx1">
            <w14:lumMod w14:val="50000"/>
            <w14:lumOff w14:val="50000"/>
          </w14:schemeClr>
        </w14:solidFill>
      </w14:textFill>
    </w:rPr>
  </w:style>
  <w:style w:type="character" w:customStyle="1" w:styleId="163">
    <w:name w:val="Intense Emphasis"/>
    <w:basedOn w:val="135"/>
    <w:qFormat/>
    <w:uiPriority w:val="21"/>
    <w:rPr>
      <w:b/>
      <w:bCs/>
      <w:i/>
      <w:iCs/>
      <w:color w:val="4F81BD" w:themeColor="accent1"/>
      <w14:textFill>
        <w14:solidFill>
          <w14:schemeClr w14:val="accent1"/>
        </w14:solidFill>
      </w14:textFill>
    </w:rPr>
  </w:style>
  <w:style w:type="character" w:customStyle="1" w:styleId="164">
    <w:name w:val="Subtle Reference"/>
    <w:basedOn w:val="135"/>
    <w:qFormat/>
    <w:uiPriority w:val="31"/>
    <w:rPr>
      <w:smallCaps/>
      <w:color w:val="C0504D" w:themeColor="accent2"/>
      <w:u w:val="single"/>
      <w14:textFill>
        <w14:solidFill>
          <w14:schemeClr w14:val="accent2"/>
        </w14:solidFill>
      </w14:textFill>
    </w:rPr>
  </w:style>
  <w:style w:type="character" w:customStyle="1" w:styleId="165">
    <w:name w:val="Intense Reference"/>
    <w:basedOn w:val="135"/>
    <w:qFormat/>
    <w:uiPriority w:val="32"/>
    <w:rPr>
      <w:b/>
      <w:bCs/>
      <w:smallCaps/>
      <w:color w:val="C0504D" w:themeColor="accent2"/>
      <w:spacing w:val="5"/>
      <w:u w:val="single"/>
      <w14:textFill>
        <w14:solidFill>
          <w14:schemeClr w14:val="accent2"/>
        </w14:solidFill>
      </w14:textFill>
    </w:rPr>
  </w:style>
  <w:style w:type="character" w:customStyle="1" w:styleId="166">
    <w:name w:val="Book Title"/>
    <w:basedOn w:val="135"/>
    <w:qFormat/>
    <w:uiPriority w:val="33"/>
    <w:rPr>
      <w:b/>
      <w:bCs/>
      <w:smallCaps/>
      <w:spacing w:val="5"/>
    </w:rPr>
  </w:style>
  <w:style w:type="paragraph" w:customStyle="1" w:styleId="167">
    <w:name w:val="TOC Heading"/>
    <w:basedOn w:val="3"/>
    <w:next w:val="1"/>
    <w:semiHidden/>
    <w:unhideWhenUsed/>
    <w:qFormat/>
    <w:uiPriority w:val="39"/>
    <w:pPr>
      <w:outlineLvl w:val="9"/>
    </w:pPr>
  </w:style>
  <w:style w:type="table" w:customStyle="1" w:styleId="168">
    <w:name w:val="Table Grid1"/>
    <w:basedOn w:val="35"/>
    <w:qFormat/>
    <w:uiPriority w:val="39"/>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40</Pages>
  <Words>180</Words>
  <Characters>1240</Characters>
  <Lines>0</Lines>
  <Paragraphs>0</Paragraphs>
  <TotalTime>1190</TotalTime>
  <ScaleCrop>false</ScaleCrop>
  <LinksUpToDate>false</LinksUpToDate>
  <CharactersWithSpaces>1437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青风</cp:lastModifiedBy>
  <dcterms:modified xsi:type="dcterms:W3CDTF">2026-09-22T02:51:50Z</dcterms:modified>
  <dc:subject>最终补充附录：新增严格主要结局RCT偏倚风险-GRADE证据表</dc:subject>
  <dc:title>Supplementary Results and Appendices</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eyJoZGlkIjoiNWYzODA1Mzg5YTE3MGJlNjBjN2IyYTU0M2NiNjc5NWYiLCJ1c2VySWQiOiIyMzg3NzU5NjQifQ==</vt:lpwstr>
  </property>
  <property fmtid="{D5CDD505-2E9C-101B-9397-08002B2CF9AE}" pid="3" name="KSOProductBuildVer">
    <vt:lpwstr>2052-12.1.0.28505</vt:lpwstr>
  </property>
  <property fmtid="{D5CDD505-2E9C-101B-9397-08002B2CF9AE}" pid="4" name="ICV">
    <vt:lpwstr>A6827059DE4744029329788891B00A99_13</vt:lpwstr>
  </property>
</Properties>
</file>