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5E82B" w14:textId="269ABBF2" w:rsidR="00A47E93" w:rsidRDefault="00A47E93" w:rsidP="000F4E38">
      <w:pPr>
        <w:jc w:val="center"/>
        <w:rPr>
          <w:rFonts w:ascii="Times New Roman" w:hAnsi="Times New Roman" w:cs="Times New Roman"/>
          <w:b/>
          <w:bCs/>
          <w:sz w:val="24"/>
          <w:szCs w:val="24"/>
          <w:u w:val="single"/>
        </w:rPr>
      </w:pPr>
      <w:r w:rsidRPr="000F4E38">
        <w:rPr>
          <w:rFonts w:ascii="Times New Roman" w:hAnsi="Times New Roman" w:cs="Times New Roman"/>
          <w:b/>
          <w:bCs/>
          <w:sz w:val="24"/>
          <w:szCs w:val="24"/>
          <w:u w:val="single"/>
        </w:rPr>
        <w:t>Supplementary material</w:t>
      </w:r>
    </w:p>
    <w:p w14:paraId="549C33A6" w14:textId="77777777" w:rsidR="000F4E38" w:rsidRPr="000F4E38" w:rsidRDefault="000F4E38" w:rsidP="000F4E38">
      <w:pPr>
        <w:jc w:val="center"/>
        <w:rPr>
          <w:rFonts w:ascii="Times New Roman" w:hAnsi="Times New Roman" w:cs="Times New Roman"/>
          <w:sz w:val="24"/>
          <w:szCs w:val="24"/>
        </w:rPr>
      </w:pPr>
    </w:p>
    <w:p w14:paraId="3A7EAF9E" w14:textId="6A6B552A" w:rsidR="000F4E38" w:rsidRDefault="00A47E93" w:rsidP="000F4E38">
      <w:pPr>
        <w:numPr>
          <w:ilvl w:val="0"/>
          <w:numId w:val="1"/>
        </w:numPr>
        <w:rPr>
          <w:rFonts w:ascii="Times New Roman" w:hAnsi="Times New Roman" w:cs="Times New Roman"/>
          <w:b/>
          <w:bCs/>
        </w:rPr>
      </w:pPr>
      <w:r w:rsidRPr="000F4E38">
        <w:rPr>
          <w:rFonts w:ascii="Times New Roman" w:hAnsi="Times New Roman" w:cs="Times New Roman"/>
          <w:b/>
          <w:bCs/>
        </w:rPr>
        <w:t>Codebook with coding structure for the Qualitative Content Analysis</w:t>
      </w:r>
    </w:p>
    <w:p w14:paraId="03FC0B8B" w14:textId="77539834" w:rsidR="000F4E38" w:rsidRPr="000F4E38" w:rsidRDefault="000F4E38" w:rsidP="000F4E38">
      <w:pPr>
        <w:rPr>
          <w:rFonts w:ascii="Times New Roman" w:hAnsi="Times New Roman" w:cs="Times New Roman"/>
          <w:b/>
          <w:bCs/>
        </w:rPr>
      </w:pPr>
      <w:r w:rsidRPr="000F4E38">
        <w:rPr>
          <w:rFonts w:ascii="Times New Roman" w:hAnsi="Times New Roman" w:cs="Times New Roman"/>
        </w:rPr>
        <w:t>Figure 4 presents the coding structure used in qualitative content analysis, including the main code categories, pre-established deductive codes, and inductive sub-codes. </w:t>
      </w:r>
    </w:p>
    <w:p w14:paraId="07980795" w14:textId="77777777" w:rsidR="0010304B" w:rsidRDefault="0010304B" w:rsidP="00A47E93">
      <w:pPr>
        <w:rPr>
          <w:rFonts w:ascii="Times New Roman" w:hAnsi="Times New Roman" w:cs="Times New Roman"/>
          <w:noProof/>
        </w:rPr>
      </w:pPr>
    </w:p>
    <w:p w14:paraId="5A65405E" w14:textId="77777777" w:rsidR="0010304B" w:rsidRDefault="00A47E93" w:rsidP="0010304B">
      <w:pPr>
        <w:keepNext/>
      </w:pPr>
      <w:r w:rsidRPr="000F4E38">
        <w:rPr>
          <w:rFonts w:ascii="Times New Roman" w:hAnsi="Times New Roman" w:cs="Times New Roman"/>
          <w:noProof/>
        </w:rPr>
        <w:drawing>
          <wp:inline distT="0" distB="0" distL="0" distR="0" wp14:anchorId="28B5EC3D" wp14:editId="073BA781">
            <wp:extent cx="5731510" cy="3806439"/>
            <wp:effectExtent l="0" t="0" r="2540" b="3810"/>
            <wp:docPr id="1360040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40949" name="Picture 1360040949"/>
                    <pic:cNvPicPr/>
                  </pic:nvPicPr>
                  <pic:blipFill rotWithShape="1">
                    <a:blip r:embed="rId6" cstate="print">
                      <a:extLst>
                        <a:ext uri="{28A0092B-C50C-407E-A947-70E740481C1C}">
                          <a14:useLocalDpi xmlns:a14="http://schemas.microsoft.com/office/drawing/2010/main" val="0"/>
                        </a:ext>
                      </a:extLst>
                    </a:blip>
                    <a:srcRect t="13388"/>
                    <a:stretch>
                      <a:fillRect/>
                    </a:stretch>
                  </pic:blipFill>
                  <pic:spPr bwMode="auto">
                    <a:xfrm>
                      <a:off x="0" y="0"/>
                      <a:ext cx="5731510" cy="3806439"/>
                    </a:xfrm>
                    <a:prstGeom prst="rect">
                      <a:avLst/>
                    </a:prstGeom>
                    <a:ln>
                      <a:noFill/>
                    </a:ln>
                    <a:extLst>
                      <a:ext uri="{53640926-AAD7-44D8-BBD7-CCE9431645EC}">
                        <a14:shadowObscured xmlns:a14="http://schemas.microsoft.com/office/drawing/2010/main"/>
                      </a:ext>
                    </a:extLst>
                  </pic:spPr>
                </pic:pic>
              </a:graphicData>
            </a:graphic>
          </wp:inline>
        </w:drawing>
      </w:r>
    </w:p>
    <w:p w14:paraId="61659AD1" w14:textId="23EF7D6E" w:rsidR="000F4E38" w:rsidRDefault="0010304B" w:rsidP="0010304B">
      <w:pPr>
        <w:pStyle w:val="Caption"/>
      </w:pPr>
      <w:r>
        <w:t xml:space="preserve">Figure </w:t>
      </w:r>
      <w:fldSimple w:instr=" SEQ Figure \* ARABIC ">
        <w:r>
          <w:rPr>
            <w:noProof/>
          </w:rPr>
          <w:t>1</w:t>
        </w:r>
      </w:fldSimple>
      <w:r>
        <w:t xml:space="preserve"> Codebook for qualitative content analysis</w:t>
      </w:r>
    </w:p>
    <w:p w14:paraId="301E5EC3" w14:textId="77777777" w:rsidR="00F3205D" w:rsidRPr="00F3205D" w:rsidRDefault="00F3205D" w:rsidP="00F3205D"/>
    <w:p w14:paraId="38F95C40" w14:textId="08CC94A9" w:rsidR="00A47E93" w:rsidRPr="00F3205D" w:rsidRDefault="00A47E93" w:rsidP="00F3205D">
      <w:pPr>
        <w:pStyle w:val="ListParagraph"/>
        <w:numPr>
          <w:ilvl w:val="0"/>
          <w:numId w:val="1"/>
        </w:numPr>
        <w:rPr>
          <w:rFonts w:ascii="Times New Roman" w:hAnsi="Times New Roman" w:cs="Times New Roman"/>
          <w:b/>
          <w:bCs/>
        </w:rPr>
      </w:pPr>
      <w:r w:rsidRPr="00F3205D">
        <w:rPr>
          <w:rFonts w:ascii="Times New Roman" w:hAnsi="Times New Roman" w:cs="Times New Roman"/>
          <w:b/>
          <w:bCs/>
        </w:rPr>
        <w:t>Table 2 Barriers and enablers of EWEA in Dadaab Refugee Complex</w:t>
      </w:r>
    </w:p>
    <w:p w14:paraId="3C7F51E3" w14:textId="04FC0B9D" w:rsidR="00A47E93" w:rsidRPr="000F4E38" w:rsidRDefault="00A47E93" w:rsidP="00A47E93">
      <w:pPr>
        <w:rPr>
          <w:rFonts w:ascii="Times New Roman" w:hAnsi="Times New Roman" w:cs="Times New Roman"/>
        </w:rPr>
      </w:pPr>
      <w:r w:rsidRPr="000F4E38">
        <w:rPr>
          <w:rFonts w:ascii="Times New Roman" w:hAnsi="Times New Roman" w:cs="Times New Roman"/>
        </w:rPr>
        <w:t>Table 2 summarizes the identified barriers and enablers (section 4.2), with illustrative qualitative data from stakeholder engagement, alongside the four components of EWEA: Disaster Risk Knowledge; monitoring, forecasting, analysis, warning dissemination and communication; and response preparedness.</w:t>
      </w:r>
    </w:p>
    <w:p w14:paraId="1370D74C" w14:textId="1ED5A3DD" w:rsidR="000F4E38" w:rsidRDefault="000F4E38" w:rsidP="000F4E38">
      <w:pPr>
        <w:pStyle w:val="Caption"/>
        <w:keepNext/>
      </w:pPr>
      <w:r>
        <w:t xml:space="preserve">Table </w:t>
      </w:r>
      <w:fldSimple w:instr=" SEQ Table \* ARABIC ">
        <w:r>
          <w:rPr>
            <w:noProof/>
          </w:rPr>
          <w:t>2</w:t>
        </w:r>
      </w:fldSimple>
      <w:r>
        <w:t xml:space="preserve"> </w:t>
      </w:r>
      <w:r w:rsidRPr="003C6C63">
        <w:t>Barriers and enablers of EWEA in Dadaab Refugee Complex</w:t>
      </w:r>
    </w:p>
    <w:tbl>
      <w:tblPr>
        <w:tblW w:w="0" w:type="auto"/>
        <w:tblCellMar>
          <w:top w:w="15" w:type="dxa"/>
          <w:left w:w="15" w:type="dxa"/>
          <w:bottom w:w="15" w:type="dxa"/>
          <w:right w:w="15" w:type="dxa"/>
        </w:tblCellMar>
        <w:tblLook w:val="04A0" w:firstRow="1" w:lastRow="0" w:firstColumn="1" w:lastColumn="0" w:noHBand="0" w:noVBand="1"/>
      </w:tblPr>
      <w:tblGrid>
        <w:gridCol w:w="1026"/>
        <w:gridCol w:w="2860"/>
        <w:gridCol w:w="4005"/>
        <w:gridCol w:w="1135"/>
      </w:tblGrid>
      <w:tr w:rsidR="00A47E93" w:rsidRPr="000F4E38" w14:paraId="29DECD5D" w14:textId="77777777">
        <w:trPr>
          <w:trHeight w:val="761"/>
        </w:trPr>
        <w:tc>
          <w:tcPr>
            <w:tcW w:w="0" w:type="auto"/>
            <w:tcBorders>
              <w:top w:val="single" w:sz="8" w:space="0" w:color="000000"/>
              <w:bottom w:val="single" w:sz="8" w:space="0" w:color="000000"/>
            </w:tcBorders>
            <w:tcMar>
              <w:top w:w="0" w:type="dxa"/>
              <w:left w:w="100" w:type="dxa"/>
              <w:bottom w:w="0" w:type="dxa"/>
              <w:right w:w="100" w:type="dxa"/>
            </w:tcMar>
            <w:hideMark/>
          </w:tcPr>
          <w:p w14:paraId="7B753C17"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Barrier/ enabler</w:t>
            </w:r>
          </w:p>
        </w:tc>
        <w:tc>
          <w:tcPr>
            <w:tcW w:w="0" w:type="auto"/>
            <w:tcBorders>
              <w:top w:val="single" w:sz="8" w:space="0" w:color="000000"/>
              <w:bottom w:val="single" w:sz="8" w:space="0" w:color="000000"/>
            </w:tcBorders>
            <w:tcMar>
              <w:top w:w="0" w:type="dxa"/>
              <w:left w:w="100" w:type="dxa"/>
              <w:bottom w:w="0" w:type="dxa"/>
              <w:right w:w="100" w:type="dxa"/>
            </w:tcMar>
            <w:hideMark/>
          </w:tcPr>
          <w:p w14:paraId="5B8F3B42"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Early Warning Early Action component</w:t>
            </w:r>
          </w:p>
        </w:tc>
        <w:tc>
          <w:tcPr>
            <w:tcW w:w="0" w:type="auto"/>
            <w:tcBorders>
              <w:top w:val="single" w:sz="8" w:space="0" w:color="000000"/>
              <w:bottom w:val="single" w:sz="8" w:space="0" w:color="000000"/>
            </w:tcBorders>
            <w:tcMar>
              <w:top w:w="0" w:type="dxa"/>
              <w:left w:w="100" w:type="dxa"/>
              <w:bottom w:w="0" w:type="dxa"/>
              <w:right w:w="100" w:type="dxa"/>
            </w:tcMar>
            <w:hideMark/>
          </w:tcPr>
          <w:p w14:paraId="20E14B63"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Illustrative insights from stakeholder engagement</w:t>
            </w:r>
          </w:p>
        </w:tc>
        <w:tc>
          <w:tcPr>
            <w:tcW w:w="0" w:type="auto"/>
            <w:tcBorders>
              <w:top w:val="single" w:sz="8" w:space="0" w:color="000000"/>
              <w:bottom w:val="single" w:sz="8" w:space="0" w:color="000000"/>
            </w:tcBorders>
            <w:tcMar>
              <w:top w:w="0" w:type="dxa"/>
              <w:left w:w="100" w:type="dxa"/>
              <w:bottom w:w="0" w:type="dxa"/>
              <w:right w:w="100" w:type="dxa"/>
            </w:tcMar>
            <w:hideMark/>
          </w:tcPr>
          <w:p w14:paraId="7E15EAD4"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Source</w:t>
            </w:r>
          </w:p>
        </w:tc>
      </w:tr>
      <w:tr w:rsidR="00A47E93" w:rsidRPr="000F4E38" w14:paraId="3C2C1AC0" w14:textId="77777777">
        <w:trPr>
          <w:trHeight w:val="225"/>
        </w:trPr>
        <w:tc>
          <w:tcPr>
            <w:tcW w:w="0" w:type="auto"/>
            <w:gridSpan w:val="4"/>
            <w:tcBorders>
              <w:top w:val="single" w:sz="8" w:space="0" w:color="000000"/>
              <w:bottom w:val="single" w:sz="8" w:space="0" w:color="7F7F7F"/>
            </w:tcBorders>
            <w:shd w:val="clear" w:color="auto" w:fill="FFFFFF"/>
            <w:tcMar>
              <w:top w:w="0" w:type="dxa"/>
              <w:left w:w="100" w:type="dxa"/>
              <w:bottom w:w="0" w:type="dxa"/>
              <w:right w:w="100" w:type="dxa"/>
            </w:tcMar>
            <w:hideMark/>
          </w:tcPr>
          <w:p w14:paraId="6379367C"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Disaster Risk Knowledge</w:t>
            </w:r>
          </w:p>
        </w:tc>
      </w:tr>
      <w:tr w:rsidR="00A47E93" w:rsidRPr="000F4E38" w14:paraId="263D6926" w14:textId="77777777">
        <w:trPr>
          <w:trHeight w:val="945"/>
        </w:trPr>
        <w:tc>
          <w:tcPr>
            <w:tcW w:w="0" w:type="auto"/>
            <w:tcBorders>
              <w:top w:val="single" w:sz="8" w:space="0" w:color="7F7F7F"/>
              <w:bottom w:val="single" w:sz="8" w:space="0" w:color="7F7F7F"/>
            </w:tcBorders>
            <w:tcMar>
              <w:top w:w="0" w:type="dxa"/>
              <w:left w:w="100" w:type="dxa"/>
              <w:bottom w:w="0" w:type="dxa"/>
              <w:right w:w="100" w:type="dxa"/>
            </w:tcMar>
            <w:hideMark/>
          </w:tcPr>
          <w:p w14:paraId="030AFA3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w:t>
            </w:r>
          </w:p>
        </w:tc>
        <w:tc>
          <w:tcPr>
            <w:tcW w:w="0" w:type="auto"/>
            <w:tcBorders>
              <w:top w:val="single" w:sz="8" w:space="0" w:color="7F7F7F"/>
              <w:bottom w:val="single" w:sz="8" w:space="0" w:color="7F7F7F"/>
            </w:tcBorders>
            <w:tcMar>
              <w:top w:w="0" w:type="dxa"/>
              <w:left w:w="100" w:type="dxa"/>
              <w:bottom w:w="0" w:type="dxa"/>
              <w:right w:w="100" w:type="dxa"/>
            </w:tcMar>
            <w:hideMark/>
          </w:tcPr>
          <w:p w14:paraId="572DC7E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Fragmented risk knowledge across humanitarian sector clusters</w:t>
            </w:r>
          </w:p>
        </w:tc>
        <w:tc>
          <w:tcPr>
            <w:tcW w:w="0" w:type="auto"/>
            <w:tcBorders>
              <w:top w:val="single" w:sz="8" w:space="0" w:color="7F7F7F"/>
              <w:bottom w:val="single" w:sz="8" w:space="0" w:color="7F7F7F"/>
            </w:tcBorders>
            <w:tcMar>
              <w:top w:w="0" w:type="dxa"/>
              <w:left w:w="100" w:type="dxa"/>
              <w:bottom w:w="0" w:type="dxa"/>
              <w:right w:w="100" w:type="dxa"/>
            </w:tcMar>
            <w:hideMark/>
          </w:tcPr>
          <w:p w14:paraId="1259C98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 xml:space="preserve">“Also, data collection is usually done for sector-specific purposes, such as health, </w:t>
            </w:r>
            <w:r w:rsidRPr="000F4E38">
              <w:rPr>
                <w:rFonts w:ascii="Times New Roman" w:hAnsi="Times New Roman" w:cs="Times New Roman"/>
              </w:rPr>
              <w:lastRenderedPageBreak/>
              <w:t>WASH, protection, and not for identifying vulnerability data for flood impacts”</w:t>
            </w:r>
          </w:p>
        </w:tc>
        <w:tc>
          <w:tcPr>
            <w:tcW w:w="0" w:type="auto"/>
            <w:tcBorders>
              <w:top w:val="single" w:sz="8" w:space="0" w:color="7F7F7F"/>
              <w:bottom w:val="single" w:sz="8" w:space="0" w:color="7F7F7F"/>
            </w:tcBorders>
            <w:tcMar>
              <w:top w:w="0" w:type="dxa"/>
              <w:left w:w="100" w:type="dxa"/>
              <w:bottom w:w="0" w:type="dxa"/>
              <w:right w:w="100" w:type="dxa"/>
            </w:tcMar>
            <w:hideMark/>
          </w:tcPr>
          <w:p w14:paraId="1995E34B"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lastRenderedPageBreak/>
              <w:t>KII</w:t>
            </w:r>
          </w:p>
        </w:tc>
      </w:tr>
      <w:tr w:rsidR="00A47E93" w:rsidRPr="000F4E38" w14:paraId="34B5CEA6" w14:textId="77777777">
        <w:trPr>
          <w:trHeight w:val="2175"/>
        </w:trPr>
        <w:tc>
          <w:tcPr>
            <w:tcW w:w="0" w:type="auto"/>
            <w:tcBorders>
              <w:top w:val="single" w:sz="8" w:space="0" w:color="7F7F7F"/>
              <w:bottom w:val="single" w:sz="8" w:space="0" w:color="7F7F7F"/>
            </w:tcBorders>
            <w:tcMar>
              <w:top w:w="0" w:type="dxa"/>
              <w:left w:w="100" w:type="dxa"/>
              <w:bottom w:w="0" w:type="dxa"/>
              <w:right w:w="100" w:type="dxa"/>
            </w:tcMar>
            <w:hideMark/>
          </w:tcPr>
          <w:p w14:paraId="1CF7936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 </w:t>
            </w:r>
          </w:p>
        </w:tc>
        <w:tc>
          <w:tcPr>
            <w:tcW w:w="0" w:type="auto"/>
            <w:tcBorders>
              <w:top w:val="single" w:sz="8" w:space="0" w:color="7F7F7F"/>
              <w:bottom w:val="single" w:sz="8" w:space="0" w:color="7F7F7F"/>
            </w:tcBorders>
            <w:tcMar>
              <w:top w:w="0" w:type="dxa"/>
              <w:left w:w="100" w:type="dxa"/>
              <w:bottom w:w="0" w:type="dxa"/>
              <w:right w:w="100" w:type="dxa"/>
            </w:tcMar>
            <w:hideMark/>
          </w:tcPr>
          <w:p w14:paraId="60DF6E0C"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Link from disaster risk knowledge to action </w:t>
            </w:r>
          </w:p>
        </w:tc>
        <w:tc>
          <w:tcPr>
            <w:tcW w:w="0" w:type="auto"/>
            <w:tcBorders>
              <w:top w:val="single" w:sz="8" w:space="0" w:color="7F7F7F"/>
              <w:bottom w:val="single" w:sz="8" w:space="0" w:color="7F7F7F"/>
            </w:tcBorders>
            <w:tcMar>
              <w:top w:w="0" w:type="dxa"/>
              <w:left w:w="100" w:type="dxa"/>
              <w:bottom w:w="0" w:type="dxa"/>
              <w:right w:w="100" w:type="dxa"/>
            </w:tcMar>
            <w:hideMark/>
          </w:tcPr>
          <w:p w14:paraId="768DBE1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"The camps have also been mapped - we know the highlands and the flood-prone zones, we know where people are vulnerable. That's why I said, it's not about knowing, it's about doing something with that knowledge. Moving from knowledge to action is the missing link. That's the real gap: knowing is not the problem; the problem is acting on it." (KII, Dadaab)</w:t>
            </w:r>
          </w:p>
        </w:tc>
        <w:tc>
          <w:tcPr>
            <w:tcW w:w="0" w:type="auto"/>
            <w:tcBorders>
              <w:top w:val="single" w:sz="8" w:space="0" w:color="7F7F7F"/>
              <w:bottom w:val="single" w:sz="8" w:space="0" w:color="7F7F7F"/>
            </w:tcBorders>
            <w:tcMar>
              <w:top w:w="0" w:type="dxa"/>
              <w:left w:w="100" w:type="dxa"/>
              <w:bottom w:w="0" w:type="dxa"/>
              <w:right w:w="100" w:type="dxa"/>
            </w:tcMar>
            <w:hideMark/>
          </w:tcPr>
          <w:p w14:paraId="36C167BF"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KII</w:t>
            </w:r>
          </w:p>
        </w:tc>
      </w:tr>
      <w:tr w:rsidR="00A47E93" w:rsidRPr="000F4E38" w14:paraId="23BB91A6" w14:textId="77777777">
        <w:trPr>
          <w:trHeight w:val="945"/>
        </w:trPr>
        <w:tc>
          <w:tcPr>
            <w:tcW w:w="0" w:type="auto"/>
            <w:tcBorders>
              <w:top w:val="single" w:sz="8" w:space="0" w:color="7F7F7F"/>
              <w:bottom w:val="single" w:sz="8" w:space="0" w:color="7F7F7F"/>
            </w:tcBorders>
            <w:tcMar>
              <w:top w:w="0" w:type="dxa"/>
              <w:left w:w="100" w:type="dxa"/>
              <w:bottom w:w="0" w:type="dxa"/>
              <w:right w:w="100" w:type="dxa"/>
            </w:tcMar>
            <w:hideMark/>
          </w:tcPr>
          <w:p w14:paraId="3DC57BF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w:t>
            </w:r>
          </w:p>
        </w:tc>
        <w:tc>
          <w:tcPr>
            <w:tcW w:w="0" w:type="auto"/>
            <w:tcBorders>
              <w:top w:val="single" w:sz="8" w:space="0" w:color="7F7F7F"/>
              <w:bottom w:val="single" w:sz="8" w:space="0" w:color="7F7F7F"/>
            </w:tcBorders>
            <w:tcMar>
              <w:top w:w="0" w:type="dxa"/>
              <w:left w:w="100" w:type="dxa"/>
              <w:bottom w:w="0" w:type="dxa"/>
              <w:right w:w="100" w:type="dxa"/>
            </w:tcMar>
            <w:hideMark/>
          </w:tcPr>
          <w:p w14:paraId="5C326FE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Lack of a dedicated interagency working group </w:t>
            </w:r>
          </w:p>
        </w:tc>
        <w:tc>
          <w:tcPr>
            <w:tcW w:w="0" w:type="auto"/>
            <w:tcBorders>
              <w:top w:val="single" w:sz="8" w:space="0" w:color="7F7F7F"/>
              <w:bottom w:val="single" w:sz="8" w:space="0" w:color="7F7F7F"/>
            </w:tcBorders>
            <w:tcMar>
              <w:top w:w="0" w:type="dxa"/>
              <w:left w:w="100" w:type="dxa"/>
              <w:bottom w:w="0" w:type="dxa"/>
              <w:right w:w="100" w:type="dxa"/>
            </w:tcMar>
            <w:hideMark/>
          </w:tcPr>
          <w:p w14:paraId="15FBC65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“Coordination between the different sectors in terms of DRM is too little, especially for using risk knowledge for rapid preparedness; there are gaps we need to fill”</w:t>
            </w:r>
          </w:p>
        </w:tc>
        <w:tc>
          <w:tcPr>
            <w:tcW w:w="0" w:type="auto"/>
            <w:tcBorders>
              <w:top w:val="single" w:sz="8" w:space="0" w:color="7F7F7F"/>
              <w:bottom w:val="single" w:sz="8" w:space="0" w:color="7F7F7F"/>
            </w:tcBorders>
            <w:tcMar>
              <w:top w:w="0" w:type="dxa"/>
              <w:left w:w="100" w:type="dxa"/>
              <w:bottom w:w="0" w:type="dxa"/>
              <w:right w:w="100" w:type="dxa"/>
            </w:tcMar>
            <w:hideMark/>
          </w:tcPr>
          <w:p w14:paraId="76F4ADC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FGD</w:t>
            </w:r>
          </w:p>
        </w:tc>
      </w:tr>
      <w:tr w:rsidR="00A47E93" w:rsidRPr="000F4E38" w14:paraId="6B5B5560" w14:textId="77777777">
        <w:trPr>
          <w:trHeight w:val="1305"/>
        </w:trPr>
        <w:tc>
          <w:tcPr>
            <w:tcW w:w="0" w:type="auto"/>
            <w:tcBorders>
              <w:top w:val="single" w:sz="8" w:space="0" w:color="7F7F7F"/>
              <w:bottom w:val="single" w:sz="8" w:space="0" w:color="7F7F7F"/>
            </w:tcBorders>
            <w:tcMar>
              <w:top w:w="0" w:type="dxa"/>
              <w:left w:w="100" w:type="dxa"/>
              <w:bottom w:w="0" w:type="dxa"/>
              <w:right w:w="100" w:type="dxa"/>
            </w:tcMar>
            <w:hideMark/>
          </w:tcPr>
          <w:p w14:paraId="6DCF4593"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 </w:t>
            </w:r>
          </w:p>
        </w:tc>
        <w:tc>
          <w:tcPr>
            <w:tcW w:w="0" w:type="auto"/>
            <w:tcBorders>
              <w:top w:val="single" w:sz="8" w:space="0" w:color="7F7F7F"/>
              <w:bottom w:val="single" w:sz="8" w:space="0" w:color="7F7F7F"/>
            </w:tcBorders>
            <w:tcMar>
              <w:top w:w="0" w:type="dxa"/>
              <w:left w:w="100" w:type="dxa"/>
              <w:bottom w:w="0" w:type="dxa"/>
              <w:right w:w="100" w:type="dxa"/>
            </w:tcMar>
            <w:hideMark/>
          </w:tcPr>
          <w:p w14:paraId="43AD020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Field staff and established structures of refugee representatives can utilize community-based disaster risk assessments to build disaster risk knowledge. </w:t>
            </w:r>
          </w:p>
        </w:tc>
        <w:tc>
          <w:tcPr>
            <w:tcW w:w="0" w:type="auto"/>
            <w:tcBorders>
              <w:top w:val="single" w:sz="8" w:space="0" w:color="7F7F7F"/>
              <w:bottom w:val="single" w:sz="8" w:space="0" w:color="7F7F7F"/>
            </w:tcBorders>
            <w:tcMar>
              <w:top w:w="0" w:type="dxa"/>
              <w:left w:w="100" w:type="dxa"/>
              <w:bottom w:w="0" w:type="dxa"/>
              <w:right w:w="100" w:type="dxa"/>
            </w:tcMar>
            <w:hideMark/>
          </w:tcPr>
          <w:p w14:paraId="5F348B0E"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Youth Refugee representatives identified the main flood impacts and anticipatory actions for the camp block maps, including the most affected blocks, evacuation routes, and the most vulnerable households in IFO II. </w:t>
            </w:r>
          </w:p>
        </w:tc>
        <w:tc>
          <w:tcPr>
            <w:tcW w:w="0" w:type="auto"/>
            <w:tcBorders>
              <w:top w:val="single" w:sz="8" w:space="0" w:color="7F7F7F"/>
              <w:bottom w:val="single" w:sz="8" w:space="0" w:color="7F7F7F"/>
            </w:tcBorders>
            <w:tcMar>
              <w:top w:w="0" w:type="dxa"/>
              <w:left w:w="100" w:type="dxa"/>
              <w:bottom w:w="0" w:type="dxa"/>
              <w:right w:w="100" w:type="dxa"/>
            </w:tcMar>
            <w:hideMark/>
          </w:tcPr>
          <w:p w14:paraId="7DC78C3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Workshop</w:t>
            </w:r>
          </w:p>
        </w:tc>
      </w:tr>
      <w:tr w:rsidR="00A47E93" w:rsidRPr="000F4E38" w14:paraId="585F5640" w14:textId="77777777">
        <w:trPr>
          <w:trHeight w:val="1725"/>
        </w:trPr>
        <w:tc>
          <w:tcPr>
            <w:tcW w:w="0" w:type="auto"/>
            <w:tcBorders>
              <w:top w:val="single" w:sz="8" w:space="0" w:color="7F7F7F"/>
              <w:bottom w:val="single" w:sz="8" w:space="0" w:color="7F7F7F"/>
            </w:tcBorders>
            <w:tcMar>
              <w:top w:w="0" w:type="dxa"/>
              <w:left w:w="100" w:type="dxa"/>
              <w:bottom w:w="0" w:type="dxa"/>
              <w:right w:w="100" w:type="dxa"/>
            </w:tcMar>
            <w:hideMark/>
          </w:tcPr>
          <w:p w14:paraId="29E728A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w:t>
            </w:r>
          </w:p>
        </w:tc>
        <w:tc>
          <w:tcPr>
            <w:tcW w:w="0" w:type="auto"/>
            <w:tcBorders>
              <w:top w:val="single" w:sz="8" w:space="0" w:color="7F7F7F"/>
              <w:bottom w:val="single" w:sz="8" w:space="0" w:color="7F7F7F"/>
            </w:tcBorders>
            <w:tcMar>
              <w:top w:w="0" w:type="dxa"/>
              <w:left w:w="100" w:type="dxa"/>
              <w:bottom w:w="0" w:type="dxa"/>
              <w:right w:w="100" w:type="dxa"/>
            </w:tcMar>
            <w:hideMark/>
          </w:tcPr>
          <w:p w14:paraId="240F745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Conducting post-disaster risk assessments, mapping areas, and collecting data specifically for the purpose of disaster risks, facilitating storytelling and participatory sessions for documenting lived experiences </w:t>
            </w:r>
          </w:p>
        </w:tc>
        <w:tc>
          <w:tcPr>
            <w:tcW w:w="0" w:type="auto"/>
            <w:tcBorders>
              <w:top w:val="single" w:sz="8" w:space="0" w:color="7F7F7F"/>
              <w:bottom w:val="single" w:sz="8" w:space="0" w:color="7F7F7F"/>
            </w:tcBorders>
            <w:tcMar>
              <w:top w:w="0" w:type="dxa"/>
              <w:left w:w="100" w:type="dxa"/>
              <w:bottom w:w="0" w:type="dxa"/>
              <w:right w:w="100" w:type="dxa"/>
            </w:tcMar>
            <w:hideMark/>
          </w:tcPr>
          <w:p w14:paraId="7FEF407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Solid documentation of data from past events and maps of the most affected areas exist; REACH did extensive mapping of the area, which helps with planning. Also, the stories of how disasters have historically impacted people can be documented to improve coordination. </w:t>
            </w:r>
          </w:p>
        </w:tc>
        <w:tc>
          <w:tcPr>
            <w:tcW w:w="0" w:type="auto"/>
            <w:tcBorders>
              <w:top w:val="single" w:sz="8" w:space="0" w:color="7F7F7F"/>
              <w:bottom w:val="single" w:sz="8" w:space="0" w:color="7F7F7F"/>
            </w:tcBorders>
            <w:tcMar>
              <w:top w:w="0" w:type="dxa"/>
              <w:left w:w="100" w:type="dxa"/>
              <w:bottom w:w="0" w:type="dxa"/>
              <w:right w:w="100" w:type="dxa"/>
            </w:tcMar>
            <w:hideMark/>
          </w:tcPr>
          <w:p w14:paraId="1888EFAC"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KII</w:t>
            </w:r>
          </w:p>
        </w:tc>
      </w:tr>
      <w:tr w:rsidR="00A47E93" w:rsidRPr="000F4E38" w14:paraId="381EE277" w14:textId="77777777">
        <w:trPr>
          <w:trHeight w:val="225"/>
        </w:trPr>
        <w:tc>
          <w:tcPr>
            <w:tcW w:w="0" w:type="auto"/>
            <w:gridSpan w:val="4"/>
            <w:tcBorders>
              <w:top w:val="single" w:sz="8" w:space="0" w:color="7F7F7F"/>
              <w:bottom w:val="single" w:sz="8" w:space="0" w:color="7F7F7F"/>
            </w:tcBorders>
            <w:tcMar>
              <w:top w:w="0" w:type="dxa"/>
              <w:left w:w="100" w:type="dxa"/>
              <w:bottom w:w="0" w:type="dxa"/>
              <w:right w:w="100" w:type="dxa"/>
            </w:tcMar>
            <w:hideMark/>
          </w:tcPr>
          <w:p w14:paraId="5C7CBB00"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Forecast, Monitoring and Analysis</w:t>
            </w:r>
          </w:p>
        </w:tc>
      </w:tr>
      <w:tr w:rsidR="00A47E93" w:rsidRPr="000F4E38" w14:paraId="3F1EE9CB" w14:textId="77777777">
        <w:trPr>
          <w:trHeight w:val="1515"/>
        </w:trPr>
        <w:tc>
          <w:tcPr>
            <w:tcW w:w="0" w:type="auto"/>
            <w:tcBorders>
              <w:top w:val="single" w:sz="8" w:space="0" w:color="7F7F7F"/>
              <w:bottom w:val="single" w:sz="8" w:space="0" w:color="7F7F7F"/>
            </w:tcBorders>
            <w:tcMar>
              <w:top w:w="0" w:type="dxa"/>
              <w:left w:w="100" w:type="dxa"/>
              <w:bottom w:w="0" w:type="dxa"/>
              <w:right w:w="100" w:type="dxa"/>
            </w:tcMar>
            <w:hideMark/>
          </w:tcPr>
          <w:p w14:paraId="13E2C58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 </w:t>
            </w:r>
          </w:p>
        </w:tc>
        <w:tc>
          <w:tcPr>
            <w:tcW w:w="0" w:type="auto"/>
            <w:tcBorders>
              <w:top w:val="single" w:sz="8" w:space="0" w:color="7F7F7F"/>
              <w:bottom w:val="single" w:sz="8" w:space="0" w:color="7F7F7F"/>
            </w:tcBorders>
            <w:tcMar>
              <w:top w:w="0" w:type="dxa"/>
              <w:left w:w="100" w:type="dxa"/>
              <w:bottom w:w="0" w:type="dxa"/>
              <w:right w:w="100" w:type="dxa"/>
            </w:tcMar>
            <w:hideMark/>
          </w:tcPr>
          <w:p w14:paraId="7DC16F4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Data gaps </w:t>
            </w:r>
          </w:p>
        </w:tc>
        <w:tc>
          <w:tcPr>
            <w:tcW w:w="0" w:type="auto"/>
            <w:tcBorders>
              <w:top w:val="single" w:sz="8" w:space="0" w:color="7F7F7F"/>
              <w:bottom w:val="single" w:sz="8" w:space="0" w:color="7F7F7F"/>
            </w:tcBorders>
            <w:tcMar>
              <w:top w:w="0" w:type="dxa"/>
              <w:left w:w="100" w:type="dxa"/>
              <w:bottom w:w="0" w:type="dxa"/>
              <w:right w:w="100" w:type="dxa"/>
            </w:tcMar>
            <w:hideMark/>
          </w:tcPr>
          <w:p w14:paraId="00D7452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“Data mainly comes from the sectors specifically (e.g. health impacts) but is not streamlined in one place for the purpose of EWEA. Also, we usually do that more for sector purposes and not for identifying vulnerability data for flood impacts.”</w:t>
            </w:r>
          </w:p>
        </w:tc>
        <w:tc>
          <w:tcPr>
            <w:tcW w:w="0" w:type="auto"/>
            <w:tcBorders>
              <w:top w:val="single" w:sz="8" w:space="0" w:color="7F7F7F"/>
              <w:bottom w:val="single" w:sz="8" w:space="0" w:color="7F7F7F"/>
            </w:tcBorders>
            <w:tcMar>
              <w:top w:w="0" w:type="dxa"/>
              <w:left w:w="100" w:type="dxa"/>
              <w:bottom w:w="0" w:type="dxa"/>
              <w:right w:w="100" w:type="dxa"/>
            </w:tcMar>
            <w:hideMark/>
          </w:tcPr>
          <w:p w14:paraId="5D847F92"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KIIs</w:t>
            </w:r>
            <w:proofErr w:type="spellEnd"/>
          </w:p>
        </w:tc>
      </w:tr>
      <w:tr w:rsidR="00A47E93" w:rsidRPr="000F4E38" w14:paraId="5572DFE3" w14:textId="77777777">
        <w:trPr>
          <w:trHeight w:val="1305"/>
        </w:trPr>
        <w:tc>
          <w:tcPr>
            <w:tcW w:w="0" w:type="auto"/>
            <w:tcBorders>
              <w:top w:val="single" w:sz="8" w:space="0" w:color="7F7F7F"/>
              <w:bottom w:val="single" w:sz="8" w:space="0" w:color="7F7F7F"/>
            </w:tcBorders>
            <w:tcMar>
              <w:top w:w="0" w:type="dxa"/>
              <w:left w:w="100" w:type="dxa"/>
              <w:bottom w:w="0" w:type="dxa"/>
              <w:right w:w="100" w:type="dxa"/>
            </w:tcMar>
            <w:hideMark/>
          </w:tcPr>
          <w:p w14:paraId="1FFBE95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w:t>
            </w:r>
          </w:p>
        </w:tc>
        <w:tc>
          <w:tcPr>
            <w:tcW w:w="0" w:type="auto"/>
            <w:tcBorders>
              <w:top w:val="single" w:sz="8" w:space="0" w:color="7F7F7F"/>
              <w:bottom w:val="single" w:sz="8" w:space="0" w:color="7F7F7F"/>
            </w:tcBorders>
            <w:tcMar>
              <w:top w:w="0" w:type="dxa"/>
              <w:left w:w="100" w:type="dxa"/>
              <w:bottom w:w="0" w:type="dxa"/>
              <w:right w:w="100" w:type="dxa"/>
            </w:tcMar>
            <w:hideMark/>
          </w:tcPr>
          <w:p w14:paraId="1E32705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Cross-border observation and monitoring </w:t>
            </w:r>
          </w:p>
        </w:tc>
        <w:tc>
          <w:tcPr>
            <w:tcW w:w="0" w:type="auto"/>
            <w:tcBorders>
              <w:top w:val="single" w:sz="8" w:space="0" w:color="7F7F7F"/>
              <w:bottom w:val="single" w:sz="8" w:space="0" w:color="7F7F7F"/>
            </w:tcBorders>
            <w:tcMar>
              <w:top w:w="0" w:type="dxa"/>
              <w:left w:w="100" w:type="dxa"/>
              <w:bottom w:w="0" w:type="dxa"/>
              <w:right w:w="100" w:type="dxa"/>
            </w:tcMar>
            <w:hideMark/>
          </w:tcPr>
          <w:p w14:paraId="100D7282"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Regional outlooks and advisories exist; however, gaps in linking them to humanitarian implications, such as food insecurity and the influx of new refugees due to transboundary issues, remain. </w:t>
            </w:r>
          </w:p>
        </w:tc>
        <w:tc>
          <w:tcPr>
            <w:tcW w:w="0" w:type="auto"/>
            <w:tcBorders>
              <w:top w:val="single" w:sz="8" w:space="0" w:color="7F7F7F"/>
              <w:bottom w:val="single" w:sz="8" w:space="0" w:color="7F7F7F"/>
            </w:tcBorders>
            <w:tcMar>
              <w:top w:w="0" w:type="dxa"/>
              <w:left w:w="100" w:type="dxa"/>
              <w:bottom w:w="0" w:type="dxa"/>
              <w:right w:w="100" w:type="dxa"/>
            </w:tcMar>
            <w:hideMark/>
          </w:tcPr>
          <w:p w14:paraId="6EEEAD15"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KIIs</w:t>
            </w:r>
            <w:proofErr w:type="spellEnd"/>
          </w:p>
        </w:tc>
      </w:tr>
      <w:tr w:rsidR="00A47E93" w:rsidRPr="000F4E38" w14:paraId="76040A92" w14:textId="77777777">
        <w:trPr>
          <w:trHeight w:val="1095"/>
        </w:trPr>
        <w:tc>
          <w:tcPr>
            <w:tcW w:w="0" w:type="auto"/>
            <w:tcBorders>
              <w:top w:val="single" w:sz="8" w:space="0" w:color="7F7F7F"/>
              <w:bottom w:val="single" w:sz="8" w:space="0" w:color="7F7F7F"/>
            </w:tcBorders>
            <w:tcMar>
              <w:top w:w="0" w:type="dxa"/>
              <w:left w:w="100" w:type="dxa"/>
              <w:bottom w:w="0" w:type="dxa"/>
              <w:right w:w="100" w:type="dxa"/>
            </w:tcMar>
            <w:hideMark/>
          </w:tcPr>
          <w:p w14:paraId="3303D89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lastRenderedPageBreak/>
              <w:t>Enabler </w:t>
            </w:r>
          </w:p>
        </w:tc>
        <w:tc>
          <w:tcPr>
            <w:tcW w:w="0" w:type="auto"/>
            <w:tcBorders>
              <w:top w:val="single" w:sz="8" w:space="0" w:color="7F7F7F"/>
              <w:bottom w:val="single" w:sz="8" w:space="0" w:color="7F7F7F"/>
            </w:tcBorders>
            <w:tcMar>
              <w:top w:w="0" w:type="dxa"/>
              <w:left w:w="100" w:type="dxa"/>
              <w:bottom w:w="0" w:type="dxa"/>
              <w:right w:w="100" w:type="dxa"/>
            </w:tcMar>
            <w:hideMark/>
          </w:tcPr>
          <w:p w14:paraId="3599CE03"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Impact-based forecasts</w:t>
            </w:r>
          </w:p>
        </w:tc>
        <w:tc>
          <w:tcPr>
            <w:tcW w:w="0" w:type="auto"/>
            <w:tcBorders>
              <w:top w:val="single" w:sz="8" w:space="0" w:color="7F7F7F"/>
              <w:bottom w:val="single" w:sz="8" w:space="0" w:color="7F7F7F"/>
            </w:tcBorders>
            <w:tcMar>
              <w:top w:w="0" w:type="dxa"/>
              <w:left w:w="100" w:type="dxa"/>
              <w:bottom w:w="0" w:type="dxa"/>
              <w:right w:w="100" w:type="dxa"/>
            </w:tcMar>
            <w:hideMark/>
          </w:tcPr>
          <w:p w14:paraId="68810DCC"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Complementing hazard forecasts with exposure and vulnerability data at a camp-relevant spatial resolution to advance usability for camp coordination of EWEA. </w:t>
            </w:r>
          </w:p>
        </w:tc>
        <w:tc>
          <w:tcPr>
            <w:tcW w:w="0" w:type="auto"/>
            <w:tcBorders>
              <w:top w:val="single" w:sz="8" w:space="0" w:color="7F7F7F"/>
              <w:bottom w:val="single" w:sz="8" w:space="0" w:color="7F7F7F"/>
            </w:tcBorders>
            <w:tcMar>
              <w:top w:w="0" w:type="dxa"/>
              <w:left w:w="100" w:type="dxa"/>
              <w:bottom w:w="0" w:type="dxa"/>
              <w:right w:w="100" w:type="dxa"/>
            </w:tcMar>
            <w:hideMark/>
          </w:tcPr>
          <w:p w14:paraId="39FB3A9A"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KIIs</w:t>
            </w:r>
            <w:proofErr w:type="spellEnd"/>
          </w:p>
        </w:tc>
      </w:tr>
      <w:tr w:rsidR="00A47E93" w:rsidRPr="000F4E38" w14:paraId="3E625719" w14:textId="77777777">
        <w:trPr>
          <w:trHeight w:val="225"/>
        </w:trPr>
        <w:tc>
          <w:tcPr>
            <w:tcW w:w="0" w:type="auto"/>
            <w:gridSpan w:val="4"/>
            <w:tcBorders>
              <w:top w:val="single" w:sz="8" w:space="0" w:color="7F7F7F"/>
              <w:bottom w:val="single" w:sz="8" w:space="0" w:color="7F7F7F"/>
            </w:tcBorders>
            <w:tcMar>
              <w:top w:w="0" w:type="dxa"/>
              <w:left w:w="100" w:type="dxa"/>
              <w:bottom w:w="0" w:type="dxa"/>
              <w:right w:w="100" w:type="dxa"/>
            </w:tcMar>
            <w:hideMark/>
          </w:tcPr>
          <w:p w14:paraId="14168112"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Warning Communication and Dissemination</w:t>
            </w:r>
          </w:p>
        </w:tc>
      </w:tr>
      <w:tr w:rsidR="00A47E93" w:rsidRPr="000F4E38" w14:paraId="2350FAA3" w14:textId="77777777">
        <w:trPr>
          <w:trHeight w:val="1095"/>
        </w:trPr>
        <w:tc>
          <w:tcPr>
            <w:tcW w:w="0" w:type="auto"/>
            <w:tcBorders>
              <w:top w:val="single" w:sz="8" w:space="0" w:color="7F7F7F"/>
              <w:bottom w:val="single" w:sz="8" w:space="0" w:color="7F7F7F"/>
            </w:tcBorders>
            <w:tcMar>
              <w:top w:w="0" w:type="dxa"/>
              <w:left w:w="100" w:type="dxa"/>
              <w:bottom w:w="0" w:type="dxa"/>
              <w:right w:w="100" w:type="dxa"/>
            </w:tcMar>
            <w:hideMark/>
          </w:tcPr>
          <w:p w14:paraId="5DB41F7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w:t>
            </w:r>
          </w:p>
        </w:tc>
        <w:tc>
          <w:tcPr>
            <w:tcW w:w="0" w:type="auto"/>
            <w:tcBorders>
              <w:top w:val="single" w:sz="8" w:space="0" w:color="7F7F7F"/>
              <w:bottom w:val="single" w:sz="8" w:space="0" w:color="7F7F7F"/>
            </w:tcBorders>
            <w:tcMar>
              <w:top w:w="0" w:type="dxa"/>
              <w:left w:w="100" w:type="dxa"/>
              <w:bottom w:w="0" w:type="dxa"/>
              <w:right w:w="100" w:type="dxa"/>
            </w:tcMar>
            <w:hideMark/>
          </w:tcPr>
          <w:p w14:paraId="6227F9B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Local communication channels</w:t>
            </w:r>
          </w:p>
        </w:tc>
        <w:tc>
          <w:tcPr>
            <w:tcW w:w="0" w:type="auto"/>
            <w:tcBorders>
              <w:top w:val="single" w:sz="8" w:space="0" w:color="7F7F7F"/>
              <w:bottom w:val="single" w:sz="8" w:space="0" w:color="7F7F7F"/>
            </w:tcBorders>
            <w:tcMar>
              <w:top w:w="0" w:type="dxa"/>
              <w:left w:w="100" w:type="dxa"/>
              <w:bottom w:w="0" w:type="dxa"/>
              <w:right w:w="100" w:type="dxa"/>
            </w:tcMar>
            <w:hideMark/>
          </w:tcPr>
          <w:p w14:paraId="32A3A105"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Connection of youth networks and self-organizing groups report a tight communication network and information flow across blocks and with humanitarian field staff</w:t>
            </w:r>
          </w:p>
        </w:tc>
        <w:tc>
          <w:tcPr>
            <w:tcW w:w="0" w:type="auto"/>
            <w:tcBorders>
              <w:top w:val="single" w:sz="8" w:space="0" w:color="7F7F7F"/>
              <w:bottom w:val="single" w:sz="8" w:space="0" w:color="7F7F7F"/>
            </w:tcBorders>
            <w:tcMar>
              <w:top w:w="0" w:type="dxa"/>
              <w:left w:w="100" w:type="dxa"/>
              <w:bottom w:w="0" w:type="dxa"/>
              <w:right w:w="100" w:type="dxa"/>
            </w:tcMar>
            <w:hideMark/>
          </w:tcPr>
          <w:p w14:paraId="4A6517DB"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FDGS</w:t>
            </w:r>
          </w:p>
        </w:tc>
      </w:tr>
      <w:tr w:rsidR="00A47E93" w:rsidRPr="000F4E38" w14:paraId="68AEC11F" w14:textId="77777777">
        <w:trPr>
          <w:trHeight w:val="1095"/>
        </w:trPr>
        <w:tc>
          <w:tcPr>
            <w:tcW w:w="0" w:type="auto"/>
            <w:tcBorders>
              <w:top w:val="single" w:sz="8" w:space="0" w:color="7F7F7F"/>
              <w:bottom w:val="single" w:sz="8" w:space="0" w:color="7F7F7F"/>
            </w:tcBorders>
            <w:tcMar>
              <w:top w:w="0" w:type="dxa"/>
              <w:left w:w="100" w:type="dxa"/>
              <w:bottom w:w="0" w:type="dxa"/>
              <w:right w:w="100" w:type="dxa"/>
            </w:tcMar>
            <w:hideMark/>
          </w:tcPr>
          <w:p w14:paraId="74ABFD0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w:t>
            </w:r>
          </w:p>
        </w:tc>
        <w:tc>
          <w:tcPr>
            <w:tcW w:w="0" w:type="auto"/>
            <w:tcBorders>
              <w:top w:val="single" w:sz="8" w:space="0" w:color="7F7F7F"/>
              <w:bottom w:val="single" w:sz="8" w:space="0" w:color="7F7F7F"/>
            </w:tcBorders>
            <w:tcMar>
              <w:top w:w="0" w:type="dxa"/>
              <w:left w:w="100" w:type="dxa"/>
              <w:bottom w:w="0" w:type="dxa"/>
              <w:right w:w="100" w:type="dxa"/>
            </w:tcMar>
            <w:hideMark/>
          </w:tcPr>
          <w:p w14:paraId="0516F021"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Established structures from ongoing humanitarian operations</w:t>
            </w:r>
          </w:p>
        </w:tc>
        <w:tc>
          <w:tcPr>
            <w:tcW w:w="0" w:type="auto"/>
            <w:tcBorders>
              <w:top w:val="single" w:sz="8" w:space="0" w:color="7F7F7F"/>
              <w:bottom w:val="single" w:sz="8" w:space="0" w:color="7F7F7F"/>
            </w:tcBorders>
            <w:tcMar>
              <w:top w:w="0" w:type="dxa"/>
              <w:left w:w="100" w:type="dxa"/>
              <w:bottom w:w="0" w:type="dxa"/>
              <w:right w:w="100" w:type="dxa"/>
            </w:tcMar>
            <w:hideMark/>
          </w:tcPr>
          <w:p w14:paraId="5C06DBC2"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Sectoral cluster groups have channels through WhatsApp, SMS messenger, phone calls, and direct focal points in the different blocks, which are utilized for warning communication </w:t>
            </w:r>
          </w:p>
        </w:tc>
        <w:tc>
          <w:tcPr>
            <w:tcW w:w="0" w:type="auto"/>
            <w:tcBorders>
              <w:top w:val="single" w:sz="8" w:space="0" w:color="7F7F7F"/>
              <w:bottom w:val="single" w:sz="8" w:space="0" w:color="7F7F7F"/>
            </w:tcBorders>
            <w:tcMar>
              <w:top w:w="0" w:type="dxa"/>
              <w:left w:w="100" w:type="dxa"/>
              <w:bottom w:w="0" w:type="dxa"/>
              <w:right w:w="100" w:type="dxa"/>
            </w:tcMar>
            <w:hideMark/>
          </w:tcPr>
          <w:p w14:paraId="0E297D0B"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KIIs</w:t>
            </w:r>
            <w:proofErr w:type="spellEnd"/>
            <w:r w:rsidRPr="000F4E38">
              <w:rPr>
                <w:rFonts w:ascii="Times New Roman" w:hAnsi="Times New Roman" w:cs="Times New Roman"/>
              </w:rPr>
              <w:t>, Workshop</w:t>
            </w:r>
          </w:p>
        </w:tc>
      </w:tr>
      <w:tr w:rsidR="00A47E93" w:rsidRPr="000F4E38" w14:paraId="6E0426B5" w14:textId="77777777">
        <w:trPr>
          <w:trHeight w:val="1305"/>
        </w:trPr>
        <w:tc>
          <w:tcPr>
            <w:tcW w:w="0" w:type="auto"/>
            <w:tcBorders>
              <w:top w:val="single" w:sz="8" w:space="0" w:color="7F7F7F"/>
              <w:bottom w:val="single" w:sz="8" w:space="0" w:color="7F7F7F"/>
            </w:tcBorders>
            <w:tcMar>
              <w:top w:w="0" w:type="dxa"/>
              <w:left w:w="100" w:type="dxa"/>
              <w:bottom w:w="0" w:type="dxa"/>
              <w:right w:w="100" w:type="dxa"/>
            </w:tcMar>
            <w:hideMark/>
          </w:tcPr>
          <w:p w14:paraId="1333AFF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Barriers </w:t>
            </w:r>
          </w:p>
        </w:tc>
        <w:tc>
          <w:tcPr>
            <w:tcW w:w="0" w:type="auto"/>
            <w:tcBorders>
              <w:top w:val="single" w:sz="8" w:space="0" w:color="7F7F7F"/>
              <w:bottom w:val="single" w:sz="8" w:space="0" w:color="7F7F7F"/>
            </w:tcBorders>
            <w:tcMar>
              <w:top w:w="0" w:type="dxa"/>
              <w:left w:w="100" w:type="dxa"/>
              <w:bottom w:w="0" w:type="dxa"/>
              <w:right w:w="100" w:type="dxa"/>
            </w:tcMar>
            <w:hideMark/>
          </w:tcPr>
          <w:p w14:paraId="40F220D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Inter-agency communication </w:t>
            </w:r>
          </w:p>
        </w:tc>
        <w:tc>
          <w:tcPr>
            <w:tcW w:w="0" w:type="auto"/>
            <w:tcBorders>
              <w:top w:val="single" w:sz="8" w:space="0" w:color="7F7F7F"/>
              <w:bottom w:val="single" w:sz="8" w:space="0" w:color="7F7F7F"/>
            </w:tcBorders>
            <w:tcMar>
              <w:top w:w="0" w:type="dxa"/>
              <w:left w:w="100" w:type="dxa"/>
              <w:bottom w:w="0" w:type="dxa"/>
              <w:right w:w="100" w:type="dxa"/>
            </w:tcMar>
            <w:hideMark/>
          </w:tcPr>
          <w:p w14:paraId="23E2EC51"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Despite working groups across sectors, the protocols for warning communication and dissemination, from camp coordination to field staff, are highly dynamic and constrained by the timeliness of information and available resources. </w:t>
            </w:r>
          </w:p>
        </w:tc>
        <w:tc>
          <w:tcPr>
            <w:tcW w:w="0" w:type="auto"/>
            <w:tcBorders>
              <w:top w:val="single" w:sz="8" w:space="0" w:color="7F7F7F"/>
              <w:bottom w:val="single" w:sz="8" w:space="0" w:color="7F7F7F"/>
            </w:tcBorders>
            <w:tcMar>
              <w:top w:w="0" w:type="dxa"/>
              <w:left w:w="100" w:type="dxa"/>
              <w:bottom w:w="0" w:type="dxa"/>
              <w:right w:w="100" w:type="dxa"/>
            </w:tcMar>
            <w:hideMark/>
          </w:tcPr>
          <w:p w14:paraId="53909DD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Workshop</w:t>
            </w:r>
          </w:p>
        </w:tc>
      </w:tr>
      <w:tr w:rsidR="00A47E93" w:rsidRPr="000F4E38" w14:paraId="6771F78E" w14:textId="77777777">
        <w:trPr>
          <w:trHeight w:val="1865"/>
        </w:trPr>
        <w:tc>
          <w:tcPr>
            <w:tcW w:w="0" w:type="auto"/>
            <w:tcBorders>
              <w:top w:val="single" w:sz="8" w:space="0" w:color="7F7F7F"/>
              <w:bottom w:val="single" w:sz="8" w:space="0" w:color="7F7F7F"/>
            </w:tcBorders>
            <w:tcMar>
              <w:top w:w="0" w:type="dxa"/>
              <w:left w:w="100" w:type="dxa"/>
              <w:bottom w:w="0" w:type="dxa"/>
              <w:right w:w="100" w:type="dxa"/>
            </w:tcMar>
            <w:hideMark/>
          </w:tcPr>
          <w:p w14:paraId="304DD34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Barriers</w:t>
            </w:r>
          </w:p>
        </w:tc>
        <w:tc>
          <w:tcPr>
            <w:tcW w:w="0" w:type="auto"/>
            <w:tcBorders>
              <w:top w:val="single" w:sz="8" w:space="0" w:color="7F7F7F"/>
              <w:bottom w:val="single" w:sz="8" w:space="0" w:color="7F7F7F"/>
            </w:tcBorders>
            <w:tcMar>
              <w:top w:w="0" w:type="dxa"/>
              <w:left w:w="100" w:type="dxa"/>
              <w:bottom w:w="0" w:type="dxa"/>
              <w:right w:w="100" w:type="dxa"/>
            </w:tcMar>
            <w:hideMark/>
          </w:tcPr>
          <w:p w14:paraId="34AF4FCB"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Multilingual, multi-literacy camp population makes single-channel or single-language information underreach </w:t>
            </w:r>
          </w:p>
        </w:tc>
        <w:tc>
          <w:tcPr>
            <w:tcW w:w="0" w:type="auto"/>
            <w:tcBorders>
              <w:top w:val="single" w:sz="8" w:space="0" w:color="7F7F7F"/>
              <w:bottom w:val="single" w:sz="8" w:space="0" w:color="7F7F7F"/>
            </w:tcBorders>
            <w:tcMar>
              <w:top w:w="0" w:type="dxa"/>
              <w:left w:w="100" w:type="dxa"/>
              <w:bottom w:w="0" w:type="dxa"/>
              <w:right w:w="100" w:type="dxa"/>
            </w:tcMar>
            <w:hideMark/>
          </w:tcPr>
          <w:p w14:paraId="4494E20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New arrivals and women-headed households do not always have access to phones, and alert messages sometimes do not reach them. </w:t>
            </w:r>
          </w:p>
        </w:tc>
        <w:tc>
          <w:tcPr>
            <w:tcW w:w="0" w:type="auto"/>
            <w:tcBorders>
              <w:top w:val="single" w:sz="8" w:space="0" w:color="7F7F7F"/>
              <w:bottom w:val="single" w:sz="8" w:space="0" w:color="7F7F7F"/>
            </w:tcBorders>
            <w:tcMar>
              <w:top w:w="0" w:type="dxa"/>
              <w:left w:w="100" w:type="dxa"/>
              <w:bottom w:w="0" w:type="dxa"/>
              <w:right w:w="100" w:type="dxa"/>
            </w:tcMar>
            <w:hideMark/>
          </w:tcPr>
          <w:p w14:paraId="1EB02B18"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FGDs</w:t>
            </w:r>
            <w:proofErr w:type="spellEnd"/>
          </w:p>
        </w:tc>
      </w:tr>
      <w:tr w:rsidR="00A47E93" w:rsidRPr="000F4E38" w14:paraId="027089DC" w14:textId="77777777">
        <w:trPr>
          <w:trHeight w:val="885"/>
        </w:trPr>
        <w:tc>
          <w:tcPr>
            <w:tcW w:w="0" w:type="auto"/>
            <w:tcBorders>
              <w:top w:val="single" w:sz="8" w:space="0" w:color="7F7F7F"/>
              <w:bottom w:val="single" w:sz="8" w:space="0" w:color="7F7F7F"/>
            </w:tcBorders>
            <w:tcMar>
              <w:top w:w="0" w:type="dxa"/>
              <w:left w:w="100" w:type="dxa"/>
              <w:bottom w:w="0" w:type="dxa"/>
              <w:right w:w="100" w:type="dxa"/>
            </w:tcMar>
            <w:hideMark/>
          </w:tcPr>
          <w:p w14:paraId="1A32F98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Barriers </w:t>
            </w:r>
          </w:p>
        </w:tc>
        <w:tc>
          <w:tcPr>
            <w:tcW w:w="0" w:type="auto"/>
            <w:tcBorders>
              <w:top w:val="single" w:sz="8" w:space="0" w:color="7F7F7F"/>
              <w:bottom w:val="single" w:sz="8" w:space="0" w:color="7F7F7F"/>
            </w:tcBorders>
            <w:tcMar>
              <w:top w:w="0" w:type="dxa"/>
              <w:left w:w="100" w:type="dxa"/>
              <w:bottom w:w="0" w:type="dxa"/>
              <w:right w:w="100" w:type="dxa"/>
            </w:tcMar>
            <w:hideMark/>
          </w:tcPr>
          <w:p w14:paraId="309A611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Dependency on humanitarian actors</w:t>
            </w:r>
          </w:p>
        </w:tc>
        <w:tc>
          <w:tcPr>
            <w:tcW w:w="0" w:type="auto"/>
            <w:tcBorders>
              <w:top w:val="single" w:sz="8" w:space="0" w:color="7F7F7F"/>
              <w:bottom w:val="single" w:sz="8" w:space="0" w:color="7F7F7F"/>
            </w:tcBorders>
            <w:tcMar>
              <w:top w:w="0" w:type="dxa"/>
              <w:left w:w="100" w:type="dxa"/>
              <w:bottom w:w="0" w:type="dxa"/>
              <w:right w:w="100" w:type="dxa"/>
            </w:tcMar>
            <w:hideMark/>
          </w:tcPr>
          <w:p w14:paraId="2D8B950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“Official authorities, there is a strong dependency on humanitarian field staff for spreading official information.”</w:t>
            </w:r>
          </w:p>
        </w:tc>
        <w:tc>
          <w:tcPr>
            <w:tcW w:w="0" w:type="auto"/>
            <w:tcBorders>
              <w:top w:val="single" w:sz="8" w:space="0" w:color="7F7F7F"/>
              <w:bottom w:val="single" w:sz="8" w:space="0" w:color="7F7F7F"/>
            </w:tcBorders>
            <w:tcMar>
              <w:top w:w="0" w:type="dxa"/>
              <w:left w:w="100" w:type="dxa"/>
              <w:bottom w:w="0" w:type="dxa"/>
              <w:right w:w="100" w:type="dxa"/>
            </w:tcMar>
            <w:hideMark/>
          </w:tcPr>
          <w:p w14:paraId="5EE14067"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KIIs</w:t>
            </w:r>
            <w:proofErr w:type="spellEnd"/>
          </w:p>
        </w:tc>
      </w:tr>
      <w:tr w:rsidR="00A47E93" w:rsidRPr="000F4E38" w14:paraId="79F75AD2" w14:textId="77777777">
        <w:trPr>
          <w:trHeight w:val="225"/>
        </w:trPr>
        <w:tc>
          <w:tcPr>
            <w:tcW w:w="0" w:type="auto"/>
            <w:gridSpan w:val="4"/>
            <w:tcBorders>
              <w:top w:val="single" w:sz="8" w:space="0" w:color="7F7F7F"/>
              <w:bottom w:val="single" w:sz="8" w:space="0" w:color="7F7F7F"/>
            </w:tcBorders>
            <w:tcMar>
              <w:top w:w="0" w:type="dxa"/>
              <w:left w:w="100" w:type="dxa"/>
              <w:bottom w:w="0" w:type="dxa"/>
              <w:right w:w="100" w:type="dxa"/>
            </w:tcMar>
            <w:hideMark/>
          </w:tcPr>
          <w:p w14:paraId="3265799D" w14:textId="77777777" w:rsidR="00A47E93" w:rsidRPr="000F4E38" w:rsidRDefault="00A47E93" w:rsidP="00A47E93">
            <w:pPr>
              <w:rPr>
                <w:rFonts w:ascii="Times New Roman" w:hAnsi="Times New Roman" w:cs="Times New Roman"/>
              </w:rPr>
            </w:pPr>
            <w:r w:rsidRPr="000F4E38">
              <w:rPr>
                <w:rFonts w:ascii="Times New Roman" w:hAnsi="Times New Roman" w:cs="Times New Roman"/>
                <w:b/>
                <w:bCs/>
              </w:rPr>
              <w:t>Response capacities and preparedness</w:t>
            </w:r>
          </w:p>
        </w:tc>
      </w:tr>
      <w:tr w:rsidR="00A47E93" w:rsidRPr="000F4E38" w14:paraId="4932CBB0" w14:textId="77777777">
        <w:trPr>
          <w:trHeight w:val="1095"/>
        </w:trPr>
        <w:tc>
          <w:tcPr>
            <w:tcW w:w="0" w:type="auto"/>
            <w:tcBorders>
              <w:top w:val="single" w:sz="8" w:space="0" w:color="7F7F7F"/>
              <w:bottom w:val="single" w:sz="8" w:space="0" w:color="7F7F7F"/>
            </w:tcBorders>
            <w:tcMar>
              <w:top w:w="0" w:type="dxa"/>
              <w:left w:w="100" w:type="dxa"/>
              <w:bottom w:w="0" w:type="dxa"/>
              <w:right w:w="100" w:type="dxa"/>
            </w:tcMar>
            <w:hideMark/>
          </w:tcPr>
          <w:p w14:paraId="21641284"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w:t>
            </w:r>
          </w:p>
        </w:tc>
        <w:tc>
          <w:tcPr>
            <w:tcW w:w="0" w:type="auto"/>
            <w:tcBorders>
              <w:top w:val="single" w:sz="8" w:space="0" w:color="7F7F7F"/>
              <w:bottom w:val="single" w:sz="8" w:space="0" w:color="7F7F7F"/>
            </w:tcBorders>
            <w:tcMar>
              <w:top w:w="0" w:type="dxa"/>
              <w:left w:w="100" w:type="dxa"/>
              <w:bottom w:w="0" w:type="dxa"/>
              <w:right w:w="100" w:type="dxa"/>
            </w:tcMar>
            <w:hideMark/>
          </w:tcPr>
          <w:p w14:paraId="17271EE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Fragmented response capacities </w:t>
            </w:r>
          </w:p>
        </w:tc>
        <w:tc>
          <w:tcPr>
            <w:tcW w:w="0" w:type="auto"/>
            <w:tcBorders>
              <w:top w:val="single" w:sz="8" w:space="0" w:color="7F7F7F"/>
              <w:bottom w:val="single" w:sz="8" w:space="0" w:color="7F7F7F"/>
            </w:tcBorders>
            <w:tcMar>
              <w:top w:w="0" w:type="dxa"/>
              <w:left w:w="100" w:type="dxa"/>
              <w:bottom w:w="0" w:type="dxa"/>
              <w:right w:w="100" w:type="dxa"/>
            </w:tcMar>
            <w:hideMark/>
          </w:tcPr>
          <w:p w14:paraId="52D972A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Across humanitarian clusters (WASH, health, shelter) there is a need for a more streamlined end-to-end responsibility for implementation of SOPs and EAPs </w:t>
            </w:r>
          </w:p>
        </w:tc>
        <w:tc>
          <w:tcPr>
            <w:tcW w:w="0" w:type="auto"/>
            <w:tcBorders>
              <w:top w:val="single" w:sz="8" w:space="0" w:color="7F7F7F"/>
              <w:bottom w:val="single" w:sz="8" w:space="0" w:color="7F7F7F"/>
            </w:tcBorders>
            <w:tcMar>
              <w:top w:w="0" w:type="dxa"/>
              <w:left w:w="100" w:type="dxa"/>
              <w:bottom w:w="0" w:type="dxa"/>
              <w:right w:w="100" w:type="dxa"/>
            </w:tcMar>
            <w:hideMark/>
          </w:tcPr>
          <w:p w14:paraId="7B10A91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Workshop</w:t>
            </w:r>
          </w:p>
        </w:tc>
      </w:tr>
      <w:tr w:rsidR="00A47E93" w:rsidRPr="000F4E38" w14:paraId="7AC931DD" w14:textId="77777777">
        <w:trPr>
          <w:trHeight w:val="1095"/>
        </w:trPr>
        <w:tc>
          <w:tcPr>
            <w:tcW w:w="0" w:type="auto"/>
            <w:tcBorders>
              <w:top w:val="single" w:sz="8" w:space="0" w:color="7F7F7F"/>
              <w:bottom w:val="single" w:sz="8" w:space="0" w:color="7F7F7F"/>
            </w:tcBorders>
            <w:tcMar>
              <w:top w:w="0" w:type="dxa"/>
              <w:left w:w="100" w:type="dxa"/>
              <w:bottom w:w="0" w:type="dxa"/>
              <w:right w:w="100" w:type="dxa"/>
            </w:tcMar>
            <w:hideMark/>
          </w:tcPr>
          <w:p w14:paraId="3CBD08F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w:t>
            </w:r>
          </w:p>
        </w:tc>
        <w:tc>
          <w:tcPr>
            <w:tcW w:w="0" w:type="auto"/>
            <w:tcBorders>
              <w:top w:val="single" w:sz="8" w:space="0" w:color="7F7F7F"/>
              <w:bottom w:val="single" w:sz="8" w:space="0" w:color="7F7F7F"/>
            </w:tcBorders>
            <w:tcMar>
              <w:top w:w="0" w:type="dxa"/>
              <w:left w:w="100" w:type="dxa"/>
              <w:bottom w:w="0" w:type="dxa"/>
              <w:right w:w="100" w:type="dxa"/>
            </w:tcMar>
            <w:hideMark/>
          </w:tcPr>
          <w:p w14:paraId="3B0DA00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Lack of funding for preparedness</w:t>
            </w:r>
          </w:p>
        </w:tc>
        <w:tc>
          <w:tcPr>
            <w:tcW w:w="0" w:type="auto"/>
            <w:tcBorders>
              <w:top w:val="single" w:sz="8" w:space="0" w:color="7F7F7F"/>
              <w:bottom w:val="single" w:sz="8" w:space="0" w:color="7F7F7F"/>
            </w:tcBorders>
            <w:tcMar>
              <w:top w:w="0" w:type="dxa"/>
              <w:left w:w="100" w:type="dxa"/>
              <w:bottom w:w="0" w:type="dxa"/>
              <w:right w:w="100" w:type="dxa"/>
            </w:tcMar>
            <w:hideMark/>
          </w:tcPr>
          <w:p w14:paraId="14C12482"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Anticipatory action financing is typically short-term and project-bound, undermining the sustained institutional commitment for building response mechanisms.</w:t>
            </w:r>
          </w:p>
        </w:tc>
        <w:tc>
          <w:tcPr>
            <w:tcW w:w="0" w:type="auto"/>
            <w:tcBorders>
              <w:top w:val="single" w:sz="8" w:space="0" w:color="7F7F7F"/>
              <w:bottom w:val="single" w:sz="8" w:space="0" w:color="7F7F7F"/>
            </w:tcBorders>
            <w:tcMar>
              <w:top w:w="0" w:type="dxa"/>
              <w:left w:w="100" w:type="dxa"/>
              <w:bottom w:w="0" w:type="dxa"/>
              <w:right w:w="100" w:type="dxa"/>
            </w:tcMar>
            <w:hideMark/>
          </w:tcPr>
          <w:p w14:paraId="50A23B49" w14:textId="77777777" w:rsidR="00A47E93" w:rsidRPr="000F4E38" w:rsidRDefault="00A47E93" w:rsidP="00A47E93">
            <w:pPr>
              <w:rPr>
                <w:rFonts w:ascii="Times New Roman" w:hAnsi="Times New Roman" w:cs="Times New Roman"/>
              </w:rPr>
            </w:pPr>
            <w:proofErr w:type="spellStart"/>
            <w:r w:rsidRPr="000F4E38">
              <w:rPr>
                <w:rFonts w:ascii="Times New Roman" w:hAnsi="Times New Roman" w:cs="Times New Roman"/>
              </w:rPr>
              <w:t>KIIs</w:t>
            </w:r>
            <w:proofErr w:type="spellEnd"/>
          </w:p>
        </w:tc>
      </w:tr>
      <w:tr w:rsidR="00A47E93" w:rsidRPr="000F4E38" w14:paraId="66F41CF0" w14:textId="77777777">
        <w:trPr>
          <w:trHeight w:val="1515"/>
        </w:trPr>
        <w:tc>
          <w:tcPr>
            <w:tcW w:w="0" w:type="auto"/>
            <w:tcBorders>
              <w:top w:val="single" w:sz="8" w:space="0" w:color="7F7F7F"/>
              <w:bottom w:val="single" w:sz="8" w:space="0" w:color="7F7F7F"/>
            </w:tcBorders>
            <w:tcMar>
              <w:top w:w="0" w:type="dxa"/>
              <w:left w:w="100" w:type="dxa"/>
              <w:bottom w:w="0" w:type="dxa"/>
              <w:right w:w="100" w:type="dxa"/>
            </w:tcMar>
            <w:hideMark/>
          </w:tcPr>
          <w:p w14:paraId="138ADD0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lastRenderedPageBreak/>
              <w:t>Barrier</w:t>
            </w:r>
          </w:p>
        </w:tc>
        <w:tc>
          <w:tcPr>
            <w:tcW w:w="0" w:type="auto"/>
            <w:tcBorders>
              <w:top w:val="single" w:sz="8" w:space="0" w:color="7F7F7F"/>
              <w:bottom w:val="single" w:sz="8" w:space="0" w:color="7F7F7F"/>
            </w:tcBorders>
            <w:tcMar>
              <w:top w:w="0" w:type="dxa"/>
              <w:left w:w="100" w:type="dxa"/>
              <w:bottom w:w="0" w:type="dxa"/>
              <w:right w:w="100" w:type="dxa"/>
            </w:tcMar>
            <w:hideMark/>
          </w:tcPr>
          <w:p w14:paraId="514E2531"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Compounding threats </w:t>
            </w:r>
          </w:p>
        </w:tc>
        <w:tc>
          <w:tcPr>
            <w:tcW w:w="0" w:type="auto"/>
            <w:tcBorders>
              <w:top w:val="single" w:sz="8" w:space="0" w:color="7F7F7F"/>
              <w:bottom w:val="single" w:sz="8" w:space="0" w:color="7F7F7F"/>
            </w:tcBorders>
            <w:tcMar>
              <w:top w:w="0" w:type="dxa"/>
              <w:left w:w="100" w:type="dxa"/>
              <w:bottom w:w="0" w:type="dxa"/>
              <w:right w:w="100" w:type="dxa"/>
            </w:tcMar>
            <w:hideMark/>
          </w:tcPr>
          <w:p w14:paraId="3DF5A5DD"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Preparedness capacity is constrained by the structural limits of camp life itself, such as restricted mobility, security issues, compounding threats, and dependency on humanitarian assistance, which limit the response options. </w:t>
            </w:r>
          </w:p>
        </w:tc>
        <w:tc>
          <w:tcPr>
            <w:tcW w:w="0" w:type="auto"/>
            <w:tcBorders>
              <w:top w:val="single" w:sz="8" w:space="0" w:color="7F7F7F"/>
              <w:bottom w:val="single" w:sz="8" w:space="0" w:color="7F7F7F"/>
            </w:tcBorders>
            <w:tcMar>
              <w:top w:w="0" w:type="dxa"/>
              <w:left w:w="100" w:type="dxa"/>
              <w:bottom w:w="0" w:type="dxa"/>
              <w:right w:w="100" w:type="dxa"/>
            </w:tcMar>
            <w:hideMark/>
          </w:tcPr>
          <w:p w14:paraId="13E8D9B1"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Transect walk </w:t>
            </w:r>
          </w:p>
        </w:tc>
      </w:tr>
      <w:tr w:rsidR="00A47E93" w:rsidRPr="000F4E38" w14:paraId="6DE92C8D" w14:textId="77777777">
        <w:trPr>
          <w:trHeight w:val="1935"/>
        </w:trPr>
        <w:tc>
          <w:tcPr>
            <w:tcW w:w="0" w:type="auto"/>
            <w:tcBorders>
              <w:top w:val="single" w:sz="8" w:space="0" w:color="7F7F7F"/>
            </w:tcBorders>
            <w:tcMar>
              <w:top w:w="0" w:type="dxa"/>
              <w:left w:w="100" w:type="dxa"/>
              <w:bottom w:w="0" w:type="dxa"/>
              <w:right w:w="100" w:type="dxa"/>
            </w:tcMar>
            <w:hideMark/>
          </w:tcPr>
          <w:p w14:paraId="3E07018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 </w:t>
            </w:r>
          </w:p>
        </w:tc>
        <w:tc>
          <w:tcPr>
            <w:tcW w:w="0" w:type="auto"/>
            <w:tcBorders>
              <w:top w:val="single" w:sz="8" w:space="0" w:color="7F7F7F"/>
            </w:tcBorders>
            <w:tcMar>
              <w:top w:w="0" w:type="dxa"/>
              <w:left w:w="100" w:type="dxa"/>
              <w:bottom w:w="0" w:type="dxa"/>
              <w:right w:w="100" w:type="dxa"/>
            </w:tcMar>
            <w:hideMark/>
          </w:tcPr>
          <w:p w14:paraId="2DD23F75"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Translating risk knowledge into concrete response actions</w:t>
            </w:r>
          </w:p>
        </w:tc>
        <w:tc>
          <w:tcPr>
            <w:tcW w:w="0" w:type="auto"/>
            <w:tcBorders>
              <w:top w:val="single" w:sz="8" w:space="0" w:color="7F7F7F"/>
            </w:tcBorders>
            <w:tcMar>
              <w:top w:w="0" w:type="dxa"/>
              <w:left w:w="100" w:type="dxa"/>
              <w:bottom w:w="0" w:type="dxa"/>
              <w:right w:w="100" w:type="dxa"/>
            </w:tcMar>
            <w:hideMark/>
          </w:tcPr>
          <w:p w14:paraId="75D933CF"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 xml:space="preserve">“After every drought or heavy rain, we carry out assessments with recommendations; carry out post-disaster needs assessment, give report to stakeholders; most actions are not followed up; only emerge in the next season; too late …once these assessments are </w:t>
            </w:r>
            <w:proofErr w:type="gramStart"/>
            <w:r w:rsidRPr="000F4E38">
              <w:rPr>
                <w:rFonts w:ascii="Times New Roman" w:hAnsi="Times New Roman" w:cs="Times New Roman"/>
              </w:rPr>
              <w:t>done</w:t>
            </w:r>
            <w:proofErr w:type="gramEnd"/>
            <w:r w:rsidRPr="000F4E38">
              <w:rPr>
                <w:rFonts w:ascii="Times New Roman" w:hAnsi="Times New Roman" w:cs="Times New Roman"/>
              </w:rPr>
              <w:t xml:space="preserve"> they should be prioritized; immediately follow up on these action points”</w:t>
            </w:r>
          </w:p>
        </w:tc>
        <w:tc>
          <w:tcPr>
            <w:tcW w:w="0" w:type="auto"/>
            <w:tcBorders>
              <w:top w:val="single" w:sz="8" w:space="0" w:color="7F7F7F"/>
            </w:tcBorders>
            <w:tcMar>
              <w:top w:w="0" w:type="dxa"/>
              <w:left w:w="100" w:type="dxa"/>
              <w:bottom w:w="0" w:type="dxa"/>
              <w:right w:w="100" w:type="dxa"/>
            </w:tcMar>
            <w:hideMark/>
          </w:tcPr>
          <w:p w14:paraId="28A570E8"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KII</w:t>
            </w:r>
          </w:p>
        </w:tc>
      </w:tr>
      <w:tr w:rsidR="00A47E93" w:rsidRPr="000F4E38" w14:paraId="3F6D9606" w14:textId="77777777">
        <w:trPr>
          <w:trHeight w:val="1080"/>
        </w:trPr>
        <w:tc>
          <w:tcPr>
            <w:tcW w:w="0" w:type="auto"/>
            <w:tcMar>
              <w:top w:w="0" w:type="dxa"/>
              <w:left w:w="100" w:type="dxa"/>
              <w:bottom w:w="0" w:type="dxa"/>
              <w:right w:w="100" w:type="dxa"/>
            </w:tcMar>
            <w:hideMark/>
          </w:tcPr>
          <w:p w14:paraId="255F06E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Barrier</w:t>
            </w:r>
          </w:p>
        </w:tc>
        <w:tc>
          <w:tcPr>
            <w:tcW w:w="0" w:type="auto"/>
            <w:tcMar>
              <w:top w:w="0" w:type="dxa"/>
              <w:left w:w="100" w:type="dxa"/>
              <w:bottom w:w="0" w:type="dxa"/>
              <w:right w:w="100" w:type="dxa"/>
            </w:tcMar>
            <w:hideMark/>
          </w:tcPr>
          <w:p w14:paraId="49977759"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Informal coping </w:t>
            </w:r>
          </w:p>
        </w:tc>
        <w:tc>
          <w:tcPr>
            <w:tcW w:w="0" w:type="auto"/>
            <w:tcMar>
              <w:top w:w="0" w:type="dxa"/>
              <w:left w:w="100" w:type="dxa"/>
              <w:bottom w:w="0" w:type="dxa"/>
              <w:right w:w="100" w:type="dxa"/>
            </w:tcMar>
            <w:hideMark/>
          </w:tcPr>
          <w:p w14:paraId="52CA5F1B"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Households in protracted displacement may rely on accumulated informal coping strategies (asset protection, mobility planning, mistrust) that can challenge formal anticipatory action plans. </w:t>
            </w:r>
          </w:p>
        </w:tc>
        <w:tc>
          <w:tcPr>
            <w:tcW w:w="0" w:type="auto"/>
            <w:tcMar>
              <w:top w:w="0" w:type="dxa"/>
              <w:left w:w="100" w:type="dxa"/>
              <w:bottom w:w="0" w:type="dxa"/>
              <w:right w:w="100" w:type="dxa"/>
            </w:tcMar>
            <w:hideMark/>
          </w:tcPr>
          <w:p w14:paraId="38AF7D7A"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Workshop</w:t>
            </w:r>
          </w:p>
        </w:tc>
      </w:tr>
      <w:tr w:rsidR="00A47E93" w:rsidRPr="000F4E38" w14:paraId="0DA4C5A6" w14:textId="77777777">
        <w:trPr>
          <w:trHeight w:val="2160"/>
        </w:trPr>
        <w:tc>
          <w:tcPr>
            <w:tcW w:w="0" w:type="auto"/>
            <w:tcMar>
              <w:top w:w="0" w:type="dxa"/>
              <w:left w:w="100" w:type="dxa"/>
              <w:bottom w:w="0" w:type="dxa"/>
              <w:right w:w="100" w:type="dxa"/>
            </w:tcMar>
            <w:hideMark/>
          </w:tcPr>
          <w:p w14:paraId="6A2142D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w:t>
            </w:r>
          </w:p>
        </w:tc>
        <w:tc>
          <w:tcPr>
            <w:tcW w:w="0" w:type="auto"/>
            <w:tcMar>
              <w:top w:w="0" w:type="dxa"/>
              <w:left w:w="100" w:type="dxa"/>
              <w:bottom w:w="0" w:type="dxa"/>
              <w:right w:w="100" w:type="dxa"/>
            </w:tcMar>
            <w:hideMark/>
          </w:tcPr>
          <w:p w14:paraId="190D0F37"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Build capacities for response preparedness</w:t>
            </w:r>
          </w:p>
        </w:tc>
        <w:tc>
          <w:tcPr>
            <w:tcW w:w="0" w:type="auto"/>
            <w:tcMar>
              <w:top w:w="0" w:type="dxa"/>
              <w:left w:w="100" w:type="dxa"/>
              <w:bottom w:w="0" w:type="dxa"/>
              <w:right w:w="100" w:type="dxa"/>
            </w:tcMar>
            <w:hideMark/>
          </w:tcPr>
          <w:p w14:paraId="250D68CE"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“We should integrate it into the school curricula; how to behave is part of the curriculum (e.g., hygiene, safe tracks for kids, no swimming during floods).”</w:t>
            </w:r>
          </w:p>
          <w:p w14:paraId="0E7A66AE"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“Training of Trainers for multi-actors including field staff, cluster leads, camp coordination, refugee representatives on response preparedness for different hazards”</w:t>
            </w:r>
          </w:p>
        </w:tc>
        <w:tc>
          <w:tcPr>
            <w:tcW w:w="0" w:type="auto"/>
            <w:tcMar>
              <w:top w:w="0" w:type="dxa"/>
              <w:left w:w="100" w:type="dxa"/>
              <w:bottom w:w="0" w:type="dxa"/>
              <w:right w:w="100" w:type="dxa"/>
            </w:tcMar>
            <w:hideMark/>
          </w:tcPr>
          <w:p w14:paraId="08C1CB66"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KII, FGD</w:t>
            </w:r>
          </w:p>
        </w:tc>
      </w:tr>
      <w:tr w:rsidR="00A47E93" w:rsidRPr="000F4E38" w14:paraId="24F2BA6F" w14:textId="77777777">
        <w:trPr>
          <w:trHeight w:val="1683"/>
        </w:trPr>
        <w:tc>
          <w:tcPr>
            <w:tcW w:w="0" w:type="auto"/>
            <w:tcMar>
              <w:top w:w="0" w:type="dxa"/>
              <w:left w:w="100" w:type="dxa"/>
              <w:bottom w:w="0" w:type="dxa"/>
              <w:right w:w="100" w:type="dxa"/>
            </w:tcMar>
            <w:hideMark/>
          </w:tcPr>
          <w:p w14:paraId="053F309F"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 </w:t>
            </w:r>
          </w:p>
        </w:tc>
        <w:tc>
          <w:tcPr>
            <w:tcW w:w="0" w:type="auto"/>
            <w:tcMar>
              <w:top w:w="0" w:type="dxa"/>
              <w:left w:w="100" w:type="dxa"/>
              <w:bottom w:w="0" w:type="dxa"/>
              <w:right w:w="100" w:type="dxa"/>
            </w:tcMar>
            <w:hideMark/>
          </w:tcPr>
          <w:p w14:paraId="643909E5"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Anticipatory action financing mechanism </w:t>
            </w:r>
          </w:p>
        </w:tc>
        <w:tc>
          <w:tcPr>
            <w:tcW w:w="0" w:type="auto"/>
            <w:tcMar>
              <w:top w:w="0" w:type="dxa"/>
              <w:left w:w="100" w:type="dxa"/>
              <w:bottom w:w="0" w:type="dxa"/>
              <w:right w:w="100" w:type="dxa"/>
            </w:tcMar>
            <w:hideMark/>
          </w:tcPr>
          <w:p w14:paraId="7B3D70A0"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Establishing forecast-based finance triggers linked to humanitarian needs (food, relief items) to pre-position resources can be informed not by a single hazard and rapidly before an acute emergency, but by complex risks across sectors. </w:t>
            </w:r>
          </w:p>
        </w:tc>
        <w:tc>
          <w:tcPr>
            <w:tcW w:w="0" w:type="auto"/>
            <w:tcMar>
              <w:top w:w="0" w:type="dxa"/>
              <w:left w:w="100" w:type="dxa"/>
              <w:bottom w:w="0" w:type="dxa"/>
              <w:right w:w="100" w:type="dxa"/>
            </w:tcMar>
            <w:hideMark/>
          </w:tcPr>
          <w:p w14:paraId="7F16B38A"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Workshop</w:t>
            </w:r>
          </w:p>
        </w:tc>
      </w:tr>
      <w:tr w:rsidR="00A47E93" w:rsidRPr="000F4E38" w14:paraId="27779AA1" w14:textId="77777777">
        <w:trPr>
          <w:trHeight w:val="1080"/>
        </w:trPr>
        <w:tc>
          <w:tcPr>
            <w:tcW w:w="0" w:type="auto"/>
            <w:tcMar>
              <w:top w:w="0" w:type="dxa"/>
              <w:left w:w="100" w:type="dxa"/>
              <w:bottom w:w="0" w:type="dxa"/>
              <w:right w:w="100" w:type="dxa"/>
            </w:tcMar>
            <w:hideMark/>
          </w:tcPr>
          <w:p w14:paraId="0EE6ED33"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Enabler</w:t>
            </w:r>
          </w:p>
        </w:tc>
        <w:tc>
          <w:tcPr>
            <w:tcW w:w="0" w:type="auto"/>
            <w:tcMar>
              <w:top w:w="0" w:type="dxa"/>
              <w:left w:w="100" w:type="dxa"/>
              <w:bottom w:w="0" w:type="dxa"/>
              <w:right w:w="100" w:type="dxa"/>
            </w:tcMar>
            <w:hideMark/>
          </w:tcPr>
          <w:p w14:paraId="4C266BD5"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Inter-agency, cross-sectoral, multi-actor response capacities</w:t>
            </w:r>
          </w:p>
        </w:tc>
        <w:tc>
          <w:tcPr>
            <w:tcW w:w="0" w:type="auto"/>
            <w:tcMar>
              <w:top w:w="0" w:type="dxa"/>
              <w:left w:w="100" w:type="dxa"/>
              <w:bottom w:w="0" w:type="dxa"/>
              <w:right w:w="100" w:type="dxa"/>
            </w:tcMar>
            <w:hideMark/>
          </w:tcPr>
          <w:p w14:paraId="7903ADF5"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Establish an inter-agency working group for disaster preparedness, set up a refugee-led DRM committee, regular assessment cycles across sectors for complex risks</w:t>
            </w:r>
          </w:p>
        </w:tc>
        <w:tc>
          <w:tcPr>
            <w:tcW w:w="0" w:type="auto"/>
            <w:tcMar>
              <w:top w:w="0" w:type="dxa"/>
              <w:left w:w="100" w:type="dxa"/>
              <w:bottom w:w="0" w:type="dxa"/>
              <w:right w:w="100" w:type="dxa"/>
            </w:tcMar>
            <w:hideMark/>
          </w:tcPr>
          <w:p w14:paraId="1D357935" w14:textId="77777777" w:rsidR="00A47E93" w:rsidRPr="000F4E38" w:rsidRDefault="00A47E93" w:rsidP="00A47E93">
            <w:pPr>
              <w:rPr>
                <w:rFonts w:ascii="Times New Roman" w:hAnsi="Times New Roman" w:cs="Times New Roman"/>
              </w:rPr>
            </w:pPr>
            <w:r w:rsidRPr="000F4E38">
              <w:rPr>
                <w:rFonts w:ascii="Times New Roman" w:hAnsi="Times New Roman" w:cs="Times New Roman"/>
              </w:rPr>
              <w:t>Workshop</w:t>
            </w:r>
          </w:p>
        </w:tc>
      </w:tr>
    </w:tbl>
    <w:p w14:paraId="3273EB0E" w14:textId="77777777" w:rsidR="00A47E93" w:rsidRPr="000F4E38" w:rsidRDefault="00A47E93" w:rsidP="00A47E93">
      <w:pPr>
        <w:rPr>
          <w:rFonts w:ascii="Times New Roman" w:hAnsi="Times New Roman" w:cs="Times New Roman"/>
        </w:rPr>
      </w:pPr>
    </w:p>
    <w:p w14:paraId="4C6F2146" w14:textId="77777777" w:rsidR="00594420" w:rsidRPr="000F4E38" w:rsidRDefault="00594420">
      <w:pPr>
        <w:rPr>
          <w:rFonts w:ascii="Times New Roman" w:hAnsi="Times New Roman" w:cs="Times New Roman"/>
        </w:rPr>
      </w:pPr>
    </w:p>
    <w:sectPr w:rsidR="00594420" w:rsidRPr="000F4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F7E94"/>
    <w:multiLevelType w:val="hybridMultilevel"/>
    <w:tmpl w:val="7A3AA7DC"/>
    <w:lvl w:ilvl="0" w:tplc="42A2A3DC">
      <w:start w:val="2"/>
      <w:numFmt w:val="upperLetter"/>
      <w:lvlText w:val="%1."/>
      <w:lvlJc w:val="left"/>
      <w:pPr>
        <w:tabs>
          <w:tab w:val="num" w:pos="720"/>
        </w:tabs>
        <w:ind w:left="720" w:hanging="360"/>
      </w:pPr>
    </w:lvl>
    <w:lvl w:ilvl="1" w:tplc="D604DE18" w:tentative="1">
      <w:start w:val="1"/>
      <w:numFmt w:val="decimal"/>
      <w:lvlText w:val="%2."/>
      <w:lvlJc w:val="left"/>
      <w:pPr>
        <w:tabs>
          <w:tab w:val="num" w:pos="1440"/>
        </w:tabs>
        <w:ind w:left="1440" w:hanging="360"/>
      </w:pPr>
    </w:lvl>
    <w:lvl w:ilvl="2" w:tplc="DCD21FB6" w:tentative="1">
      <w:start w:val="1"/>
      <w:numFmt w:val="decimal"/>
      <w:lvlText w:val="%3."/>
      <w:lvlJc w:val="left"/>
      <w:pPr>
        <w:tabs>
          <w:tab w:val="num" w:pos="2160"/>
        </w:tabs>
        <w:ind w:left="2160" w:hanging="360"/>
      </w:pPr>
    </w:lvl>
    <w:lvl w:ilvl="3" w:tplc="DF00AF18" w:tentative="1">
      <w:start w:val="1"/>
      <w:numFmt w:val="decimal"/>
      <w:lvlText w:val="%4."/>
      <w:lvlJc w:val="left"/>
      <w:pPr>
        <w:tabs>
          <w:tab w:val="num" w:pos="2880"/>
        </w:tabs>
        <w:ind w:left="2880" w:hanging="360"/>
      </w:pPr>
    </w:lvl>
    <w:lvl w:ilvl="4" w:tplc="A3C2E318" w:tentative="1">
      <w:start w:val="1"/>
      <w:numFmt w:val="decimal"/>
      <w:lvlText w:val="%5."/>
      <w:lvlJc w:val="left"/>
      <w:pPr>
        <w:tabs>
          <w:tab w:val="num" w:pos="3600"/>
        </w:tabs>
        <w:ind w:left="3600" w:hanging="360"/>
      </w:pPr>
    </w:lvl>
    <w:lvl w:ilvl="5" w:tplc="90848DAA" w:tentative="1">
      <w:start w:val="1"/>
      <w:numFmt w:val="decimal"/>
      <w:lvlText w:val="%6."/>
      <w:lvlJc w:val="left"/>
      <w:pPr>
        <w:tabs>
          <w:tab w:val="num" w:pos="4320"/>
        </w:tabs>
        <w:ind w:left="4320" w:hanging="360"/>
      </w:pPr>
    </w:lvl>
    <w:lvl w:ilvl="6" w:tplc="1DDE330C" w:tentative="1">
      <w:start w:val="1"/>
      <w:numFmt w:val="decimal"/>
      <w:lvlText w:val="%7."/>
      <w:lvlJc w:val="left"/>
      <w:pPr>
        <w:tabs>
          <w:tab w:val="num" w:pos="5040"/>
        </w:tabs>
        <w:ind w:left="5040" w:hanging="360"/>
      </w:pPr>
    </w:lvl>
    <w:lvl w:ilvl="7" w:tplc="B350ACE6" w:tentative="1">
      <w:start w:val="1"/>
      <w:numFmt w:val="decimal"/>
      <w:lvlText w:val="%8."/>
      <w:lvlJc w:val="left"/>
      <w:pPr>
        <w:tabs>
          <w:tab w:val="num" w:pos="5760"/>
        </w:tabs>
        <w:ind w:left="5760" w:hanging="360"/>
      </w:pPr>
    </w:lvl>
    <w:lvl w:ilvl="8" w:tplc="9CB8B2DE" w:tentative="1">
      <w:start w:val="1"/>
      <w:numFmt w:val="decimal"/>
      <w:lvlText w:val="%9."/>
      <w:lvlJc w:val="left"/>
      <w:pPr>
        <w:tabs>
          <w:tab w:val="num" w:pos="6480"/>
        </w:tabs>
        <w:ind w:left="6480" w:hanging="360"/>
      </w:pPr>
    </w:lvl>
  </w:abstractNum>
  <w:abstractNum w:abstractNumId="1" w15:restartNumberingAfterBreak="0">
    <w:nsid w:val="37E50F39"/>
    <w:multiLevelType w:val="hybridMultilevel"/>
    <w:tmpl w:val="5760699A"/>
    <w:lvl w:ilvl="0" w:tplc="D73CB1A4">
      <w:start w:val="3"/>
      <w:numFmt w:val="upperLetter"/>
      <w:lvlText w:val="%1."/>
      <w:lvlJc w:val="left"/>
      <w:pPr>
        <w:tabs>
          <w:tab w:val="num" w:pos="720"/>
        </w:tabs>
        <w:ind w:left="720" w:hanging="360"/>
      </w:pPr>
    </w:lvl>
    <w:lvl w:ilvl="1" w:tplc="818A2924" w:tentative="1">
      <w:start w:val="1"/>
      <w:numFmt w:val="decimal"/>
      <w:lvlText w:val="%2."/>
      <w:lvlJc w:val="left"/>
      <w:pPr>
        <w:tabs>
          <w:tab w:val="num" w:pos="1440"/>
        </w:tabs>
        <w:ind w:left="1440" w:hanging="360"/>
      </w:pPr>
    </w:lvl>
    <w:lvl w:ilvl="2" w:tplc="AF165D94" w:tentative="1">
      <w:start w:val="1"/>
      <w:numFmt w:val="decimal"/>
      <w:lvlText w:val="%3."/>
      <w:lvlJc w:val="left"/>
      <w:pPr>
        <w:tabs>
          <w:tab w:val="num" w:pos="2160"/>
        </w:tabs>
        <w:ind w:left="2160" w:hanging="360"/>
      </w:pPr>
    </w:lvl>
    <w:lvl w:ilvl="3" w:tplc="94EA73A6" w:tentative="1">
      <w:start w:val="1"/>
      <w:numFmt w:val="decimal"/>
      <w:lvlText w:val="%4."/>
      <w:lvlJc w:val="left"/>
      <w:pPr>
        <w:tabs>
          <w:tab w:val="num" w:pos="2880"/>
        </w:tabs>
        <w:ind w:left="2880" w:hanging="360"/>
      </w:pPr>
    </w:lvl>
    <w:lvl w:ilvl="4" w:tplc="005AF87A" w:tentative="1">
      <w:start w:val="1"/>
      <w:numFmt w:val="decimal"/>
      <w:lvlText w:val="%5."/>
      <w:lvlJc w:val="left"/>
      <w:pPr>
        <w:tabs>
          <w:tab w:val="num" w:pos="3600"/>
        </w:tabs>
        <w:ind w:left="3600" w:hanging="360"/>
      </w:pPr>
    </w:lvl>
    <w:lvl w:ilvl="5" w:tplc="033A1BF0" w:tentative="1">
      <w:start w:val="1"/>
      <w:numFmt w:val="decimal"/>
      <w:lvlText w:val="%6."/>
      <w:lvlJc w:val="left"/>
      <w:pPr>
        <w:tabs>
          <w:tab w:val="num" w:pos="4320"/>
        </w:tabs>
        <w:ind w:left="4320" w:hanging="360"/>
      </w:pPr>
    </w:lvl>
    <w:lvl w:ilvl="6" w:tplc="277AD762" w:tentative="1">
      <w:start w:val="1"/>
      <w:numFmt w:val="decimal"/>
      <w:lvlText w:val="%7."/>
      <w:lvlJc w:val="left"/>
      <w:pPr>
        <w:tabs>
          <w:tab w:val="num" w:pos="5040"/>
        </w:tabs>
        <w:ind w:left="5040" w:hanging="360"/>
      </w:pPr>
    </w:lvl>
    <w:lvl w:ilvl="7" w:tplc="49549F2E" w:tentative="1">
      <w:start w:val="1"/>
      <w:numFmt w:val="decimal"/>
      <w:lvlText w:val="%8."/>
      <w:lvlJc w:val="left"/>
      <w:pPr>
        <w:tabs>
          <w:tab w:val="num" w:pos="5760"/>
        </w:tabs>
        <w:ind w:left="5760" w:hanging="360"/>
      </w:pPr>
    </w:lvl>
    <w:lvl w:ilvl="8" w:tplc="4D4AA004" w:tentative="1">
      <w:start w:val="1"/>
      <w:numFmt w:val="decimal"/>
      <w:lvlText w:val="%9."/>
      <w:lvlJc w:val="left"/>
      <w:pPr>
        <w:tabs>
          <w:tab w:val="num" w:pos="6480"/>
        </w:tabs>
        <w:ind w:left="6480" w:hanging="360"/>
      </w:pPr>
    </w:lvl>
  </w:abstractNum>
  <w:abstractNum w:abstractNumId="2" w15:restartNumberingAfterBreak="0">
    <w:nsid w:val="4D945F4E"/>
    <w:multiLevelType w:val="multilevel"/>
    <w:tmpl w:val="F6A6E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8094419">
    <w:abstractNumId w:val="2"/>
    <w:lvlOverride w:ilvl="0">
      <w:lvl w:ilvl="0">
        <w:numFmt w:val="upperLetter"/>
        <w:lvlText w:val="%1."/>
        <w:lvlJc w:val="left"/>
      </w:lvl>
    </w:lvlOverride>
  </w:num>
  <w:num w:numId="2" w16cid:durableId="1039205544">
    <w:abstractNumId w:val="0"/>
  </w:num>
  <w:num w:numId="3" w16cid:durableId="335304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D3"/>
    <w:rsid w:val="00051BC3"/>
    <w:rsid w:val="000F4E38"/>
    <w:rsid w:val="0010304B"/>
    <w:rsid w:val="00312B52"/>
    <w:rsid w:val="00594420"/>
    <w:rsid w:val="005B19D3"/>
    <w:rsid w:val="00755BDD"/>
    <w:rsid w:val="00882BB8"/>
    <w:rsid w:val="00A47E93"/>
    <w:rsid w:val="00F3205D"/>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F5C2C"/>
  <w15:chartTrackingRefBased/>
  <w15:docId w15:val="{7EA78399-3F4A-45BD-9CC1-38AC07774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9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19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19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19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19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1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9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19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19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19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19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1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9D3"/>
    <w:rPr>
      <w:rFonts w:eastAsiaTheme="majorEastAsia" w:cstheme="majorBidi"/>
      <w:color w:val="272727" w:themeColor="text1" w:themeTint="D8"/>
    </w:rPr>
  </w:style>
  <w:style w:type="paragraph" w:styleId="Title">
    <w:name w:val="Title"/>
    <w:basedOn w:val="Normal"/>
    <w:next w:val="Normal"/>
    <w:link w:val="TitleChar"/>
    <w:uiPriority w:val="10"/>
    <w:qFormat/>
    <w:rsid w:val="005B1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9D3"/>
    <w:pPr>
      <w:spacing w:before="160"/>
      <w:jc w:val="center"/>
    </w:pPr>
    <w:rPr>
      <w:i/>
      <w:iCs/>
      <w:color w:val="404040" w:themeColor="text1" w:themeTint="BF"/>
    </w:rPr>
  </w:style>
  <w:style w:type="character" w:customStyle="1" w:styleId="QuoteChar">
    <w:name w:val="Quote Char"/>
    <w:basedOn w:val="DefaultParagraphFont"/>
    <w:link w:val="Quote"/>
    <w:uiPriority w:val="29"/>
    <w:rsid w:val="005B19D3"/>
    <w:rPr>
      <w:i/>
      <w:iCs/>
      <w:color w:val="404040" w:themeColor="text1" w:themeTint="BF"/>
    </w:rPr>
  </w:style>
  <w:style w:type="paragraph" w:styleId="ListParagraph">
    <w:name w:val="List Paragraph"/>
    <w:basedOn w:val="Normal"/>
    <w:uiPriority w:val="34"/>
    <w:qFormat/>
    <w:rsid w:val="005B19D3"/>
    <w:pPr>
      <w:ind w:left="720"/>
      <w:contextualSpacing/>
    </w:pPr>
  </w:style>
  <w:style w:type="character" w:styleId="IntenseEmphasis">
    <w:name w:val="Intense Emphasis"/>
    <w:basedOn w:val="DefaultParagraphFont"/>
    <w:uiPriority w:val="21"/>
    <w:qFormat/>
    <w:rsid w:val="005B19D3"/>
    <w:rPr>
      <w:i/>
      <w:iCs/>
      <w:color w:val="2F5496" w:themeColor="accent1" w:themeShade="BF"/>
    </w:rPr>
  </w:style>
  <w:style w:type="paragraph" w:styleId="IntenseQuote">
    <w:name w:val="Intense Quote"/>
    <w:basedOn w:val="Normal"/>
    <w:next w:val="Normal"/>
    <w:link w:val="IntenseQuoteChar"/>
    <w:uiPriority w:val="30"/>
    <w:qFormat/>
    <w:rsid w:val="005B19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19D3"/>
    <w:rPr>
      <w:i/>
      <w:iCs/>
      <w:color w:val="2F5496" w:themeColor="accent1" w:themeShade="BF"/>
    </w:rPr>
  </w:style>
  <w:style w:type="character" w:styleId="IntenseReference">
    <w:name w:val="Intense Reference"/>
    <w:basedOn w:val="DefaultParagraphFont"/>
    <w:uiPriority w:val="32"/>
    <w:qFormat/>
    <w:rsid w:val="005B19D3"/>
    <w:rPr>
      <w:b/>
      <w:bCs/>
      <w:smallCaps/>
      <w:color w:val="2F5496" w:themeColor="accent1" w:themeShade="BF"/>
      <w:spacing w:val="5"/>
    </w:rPr>
  </w:style>
  <w:style w:type="paragraph" w:styleId="Caption">
    <w:name w:val="caption"/>
    <w:basedOn w:val="Normal"/>
    <w:next w:val="Normal"/>
    <w:uiPriority w:val="35"/>
    <w:unhideWhenUsed/>
    <w:qFormat/>
    <w:rsid w:val="000F4E3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214B7-FDD2-41BD-8D73-B0FDFA911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1036</Words>
  <Characters>5909</Characters>
  <Application>Microsoft Office Word</Application>
  <DocSecurity>0</DocSecurity>
  <Lines>49</Lines>
  <Paragraphs>13</Paragraphs>
  <ScaleCrop>false</ScaleCrop>
  <Company>%Company%</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Pfeiffer, Samira</dc:creator>
  <cp:keywords/>
  <dc:description/>
  <cp:lastModifiedBy>Pfeiffer, Samira</cp:lastModifiedBy>
  <cp:revision>5</cp:revision>
  <dcterms:created xsi:type="dcterms:W3CDTF">2026-09-07T14:07:00Z</dcterms:created>
  <dcterms:modified xsi:type="dcterms:W3CDTF">2026-09-22T08:24:00Z</dcterms:modified>
</cp:coreProperties>
</file>