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A2374" w14:textId="031A566B" w:rsidR="00716327" w:rsidRPr="00716327" w:rsidRDefault="00716327" w:rsidP="0051029B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Journal:</w:t>
      </w:r>
      <w:r w:rsidR="0051029B">
        <w:rPr>
          <w:rFonts w:asciiTheme="majorBidi" w:hAnsiTheme="majorBidi" w:cstheme="majorBidi"/>
        </w:rPr>
        <w:t xml:space="preserve"> </w:t>
      </w:r>
      <w:r w:rsidR="00E62214">
        <w:rPr>
          <w:rFonts w:asciiTheme="majorBidi" w:hAnsiTheme="majorBidi" w:cstheme="majorBidi"/>
        </w:rPr>
        <w:t>Water Resources Management</w:t>
      </w:r>
    </w:p>
    <w:p w14:paraId="51696DF0" w14:textId="77777777" w:rsidR="00E62214" w:rsidRDefault="00716327" w:rsidP="00E62214">
      <w:pPr>
        <w:spacing w:line="36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</w:rPr>
        <w:t xml:space="preserve">Title: </w:t>
      </w:r>
      <w:r w:rsidR="00E62214" w:rsidRPr="000E61B7">
        <w:rPr>
          <w:rFonts w:asciiTheme="majorBidi" w:hAnsiTheme="majorBidi" w:cstheme="majorBidi"/>
          <w:b/>
          <w:bCs/>
        </w:rPr>
        <w:t xml:space="preserve">A </w:t>
      </w:r>
      <w:r w:rsidR="00E62214">
        <w:rPr>
          <w:rFonts w:asciiTheme="majorBidi" w:hAnsiTheme="majorBidi" w:cstheme="majorBidi"/>
          <w:b/>
          <w:bCs/>
        </w:rPr>
        <w:t>d</w:t>
      </w:r>
      <w:r w:rsidR="00E62214" w:rsidRPr="000E61B7">
        <w:rPr>
          <w:rFonts w:asciiTheme="majorBidi" w:hAnsiTheme="majorBidi" w:cstheme="majorBidi"/>
          <w:b/>
          <w:bCs/>
        </w:rPr>
        <w:t>ata-</w:t>
      </w:r>
      <w:r w:rsidR="00E62214">
        <w:rPr>
          <w:rFonts w:asciiTheme="majorBidi" w:hAnsiTheme="majorBidi" w:cstheme="majorBidi"/>
          <w:b/>
          <w:bCs/>
        </w:rPr>
        <w:t>d</w:t>
      </w:r>
      <w:r w:rsidR="00E62214" w:rsidRPr="000E61B7">
        <w:rPr>
          <w:rFonts w:asciiTheme="majorBidi" w:hAnsiTheme="majorBidi" w:cstheme="majorBidi"/>
          <w:b/>
          <w:bCs/>
        </w:rPr>
        <w:t xml:space="preserve">riven </w:t>
      </w:r>
      <w:r w:rsidR="00E62214">
        <w:rPr>
          <w:rFonts w:asciiTheme="majorBidi" w:hAnsiTheme="majorBidi" w:cstheme="majorBidi"/>
          <w:b/>
          <w:bCs/>
        </w:rPr>
        <w:t>f</w:t>
      </w:r>
      <w:r w:rsidR="00E62214" w:rsidRPr="000E61B7">
        <w:rPr>
          <w:rFonts w:asciiTheme="majorBidi" w:hAnsiTheme="majorBidi" w:cstheme="majorBidi"/>
          <w:b/>
          <w:bCs/>
        </w:rPr>
        <w:t xml:space="preserve">ramework to </w:t>
      </w:r>
      <w:r w:rsidR="00E62214">
        <w:rPr>
          <w:rFonts w:asciiTheme="majorBidi" w:hAnsiTheme="majorBidi" w:cstheme="majorBidi"/>
          <w:b/>
          <w:bCs/>
        </w:rPr>
        <w:t>i</w:t>
      </w:r>
      <w:r w:rsidR="00E62214" w:rsidRPr="000E61B7">
        <w:rPr>
          <w:rFonts w:asciiTheme="majorBidi" w:hAnsiTheme="majorBidi" w:cstheme="majorBidi"/>
          <w:b/>
          <w:bCs/>
        </w:rPr>
        <w:t xml:space="preserve">nform </w:t>
      </w:r>
      <w:r w:rsidR="00E62214">
        <w:rPr>
          <w:rFonts w:asciiTheme="majorBidi" w:hAnsiTheme="majorBidi" w:cstheme="majorBidi"/>
          <w:b/>
          <w:bCs/>
        </w:rPr>
        <w:t>e</w:t>
      </w:r>
      <w:r w:rsidR="00E62214" w:rsidRPr="000E61B7">
        <w:rPr>
          <w:rFonts w:asciiTheme="majorBidi" w:hAnsiTheme="majorBidi" w:cstheme="majorBidi"/>
          <w:b/>
          <w:bCs/>
        </w:rPr>
        <w:t xml:space="preserve">xtreme </w:t>
      </w:r>
      <w:r w:rsidR="00E62214">
        <w:rPr>
          <w:rFonts w:asciiTheme="majorBidi" w:hAnsiTheme="majorBidi" w:cstheme="majorBidi"/>
          <w:b/>
          <w:bCs/>
        </w:rPr>
        <w:t>f</w:t>
      </w:r>
      <w:r w:rsidR="00E62214" w:rsidRPr="000E61B7">
        <w:rPr>
          <w:rFonts w:asciiTheme="majorBidi" w:hAnsiTheme="majorBidi" w:cstheme="majorBidi"/>
          <w:b/>
          <w:bCs/>
        </w:rPr>
        <w:t xml:space="preserve">lood </w:t>
      </w:r>
      <w:r w:rsidR="00E62214">
        <w:rPr>
          <w:rFonts w:asciiTheme="majorBidi" w:hAnsiTheme="majorBidi" w:cstheme="majorBidi"/>
          <w:b/>
          <w:bCs/>
        </w:rPr>
        <w:t>w</w:t>
      </w:r>
      <w:r w:rsidR="00E62214" w:rsidRPr="000E61B7">
        <w:rPr>
          <w:rFonts w:asciiTheme="majorBidi" w:hAnsiTheme="majorBidi" w:cstheme="majorBidi"/>
          <w:b/>
          <w:bCs/>
        </w:rPr>
        <w:t xml:space="preserve">arning: Evaluating </w:t>
      </w:r>
      <w:r w:rsidR="00E62214">
        <w:rPr>
          <w:rFonts w:asciiTheme="majorBidi" w:hAnsiTheme="majorBidi" w:cstheme="majorBidi"/>
          <w:b/>
          <w:bCs/>
        </w:rPr>
        <w:t>d</w:t>
      </w:r>
      <w:r w:rsidR="00E62214" w:rsidRPr="000E61B7">
        <w:rPr>
          <w:rFonts w:asciiTheme="majorBidi" w:hAnsiTheme="majorBidi" w:cstheme="majorBidi"/>
          <w:b/>
          <w:bCs/>
        </w:rPr>
        <w:t>ual-</w:t>
      </w:r>
      <w:r w:rsidR="00E62214">
        <w:rPr>
          <w:rFonts w:asciiTheme="majorBidi" w:hAnsiTheme="majorBidi" w:cstheme="majorBidi"/>
          <w:b/>
          <w:bCs/>
        </w:rPr>
        <w:t>t</w:t>
      </w:r>
      <w:r w:rsidR="00E62214" w:rsidRPr="000E61B7">
        <w:rPr>
          <w:rFonts w:asciiTheme="majorBidi" w:hAnsiTheme="majorBidi" w:cstheme="majorBidi"/>
          <w:b/>
          <w:bCs/>
        </w:rPr>
        <w:t xml:space="preserve">ier </w:t>
      </w:r>
      <w:r w:rsidR="00E62214">
        <w:rPr>
          <w:rFonts w:asciiTheme="majorBidi" w:hAnsiTheme="majorBidi" w:cstheme="majorBidi"/>
          <w:b/>
          <w:bCs/>
        </w:rPr>
        <w:t>w</w:t>
      </w:r>
      <w:r w:rsidR="00E62214" w:rsidRPr="000E61B7">
        <w:rPr>
          <w:rFonts w:asciiTheme="majorBidi" w:hAnsiTheme="majorBidi" w:cstheme="majorBidi"/>
          <w:b/>
          <w:bCs/>
        </w:rPr>
        <w:t xml:space="preserve">eighting in </w:t>
      </w:r>
      <w:r w:rsidR="00E62214">
        <w:rPr>
          <w:rFonts w:asciiTheme="majorBidi" w:hAnsiTheme="majorBidi" w:cstheme="majorBidi"/>
          <w:b/>
          <w:bCs/>
        </w:rPr>
        <w:t>c</w:t>
      </w:r>
      <w:r w:rsidR="00E62214" w:rsidRPr="000E61B7">
        <w:rPr>
          <w:rFonts w:asciiTheme="majorBidi" w:hAnsiTheme="majorBidi" w:cstheme="majorBidi"/>
          <w:b/>
          <w:bCs/>
        </w:rPr>
        <w:t xml:space="preserve">ontrasting </w:t>
      </w:r>
      <w:r w:rsidR="00E62214">
        <w:rPr>
          <w:rFonts w:asciiTheme="majorBidi" w:hAnsiTheme="majorBidi" w:cstheme="majorBidi"/>
          <w:b/>
          <w:bCs/>
        </w:rPr>
        <w:t>c</w:t>
      </w:r>
      <w:r w:rsidR="00E62214" w:rsidRPr="000E61B7">
        <w:rPr>
          <w:rFonts w:asciiTheme="majorBidi" w:hAnsiTheme="majorBidi" w:cstheme="majorBidi"/>
          <w:b/>
          <w:bCs/>
        </w:rPr>
        <w:t>atchments</w:t>
      </w:r>
    </w:p>
    <w:p w14:paraId="5201F60A" w14:textId="54AB71F8" w:rsidR="00716327" w:rsidRPr="00716327" w:rsidRDefault="00716327" w:rsidP="00716327">
      <w:pPr>
        <w:jc w:val="center"/>
        <w:rPr>
          <w:rFonts w:asciiTheme="majorBidi" w:hAnsiTheme="majorBidi" w:cs="B Nazanin"/>
        </w:rPr>
      </w:pPr>
    </w:p>
    <w:p w14:paraId="3F253666" w14:textId="127FC5FE" w:rsidR="00716327" w:rsidRDefault="00716327" w:rsidP="00261ADB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Authors:</w:t>
      </w:r>
      <w:r w:rsidRPr="00465D32">
        <w:rPr>
          <w:rFonts w:asciiTheme="majorBidi" w:hAnsiTheme="majorBidi" w:cstheme="majorBidi"/>
        </w:rPr>
        <w:t xml:space="preserve"> Ali akbar Eatesam</w:t>
      </w:r>
      <w:r>
        <w:rPr>
          <w:rFonts w:asciiTheme="majorBidi" w:hAnsiTheme="majorBidi" w:cstheme="majorBidi"/>
        </w:rPr>
        <w:t xml:space="preserve">, Khosrow </w:t>
      </w:r>
      <w:proofErr w:type="spellStart"/>
      <w:r>
        <w:rPr>
          <w:rFonts w:asciiTheme="majorBidi" w:hAnsiTheme="majorBidi" w:cstheme="majorBidi"/>
        </w:rPr>
        <w:t>Hoseini</w:t>
      </w:r>
      <w:proofErr w:type="spellEnd"/>
      <w:r w:rsidR="0051029B">
        <w:rPr>
          <w:rFonts w:asciiTheme="majorBidi" w:hAnsiTheme="majorBidi" w:cstheme="majorBidi"/>
        </w:rPr>
        <w:t xml:space="preserve">, </w:t>
      </w:r>
      <w:proofErr w:type="spellStart"/>
      <w:r w:rsidR="0051029B">
        <w:rPr>
          <w:rFonts w:asciiTheme="majorBidi" w:hAnsiTheme="majorBidi" w:cstheme="majorBidi"/>
        </w:rPr>
        <w:t>Hojat</w:t>
      </w:r>
      <w:proofErr w:type="spellEnd"/>
      <w:r w:rsidR="0051029B">
        <w:rPr>
          <w:rFonts w:asciiTheme="majorBidi" w:hAnsiTheme="majorBidi" w:cstheme="majorBidi"/>
        </w:rPr>
        <w:t xml:space="preserve"> Karami</w:t>
      </w:r>
    </w:p>
    <w:p w14:paraId="0A39A3ED" w14:textId="77777777" w:rsidR="00716327" w:rsidRDefault="00716327" w:rsidP="00261ADB">
      <w:pPr>
        <w:jc w:val="both"/>
        <w:rPr>
          <w:rFonts w:asciiTheme="majorBidi" w:hAnsiTheme="majorBidi" w:cstheme="majorBidi"/>
        </w:rPr>
      </w:pPr>
    </w:p>
    <w:p w14:paraId="52DDBE4F" w14:textId="5648BA70" w:rsidR="00261ADB" w:rsidRPr="0074747B" w:rsidRDefault="00261ADB" w:rsidP="00261ADB">
      <w:pPr>
        <w:jc w:val="both"/>
        <w:rPr>
          <w:rFonts w:asciiTheme="majorBidi" w:hAnsiTheme="majorBidi" w:cstheme="majorBidi"/>
          <w:b/>
          <w:bCs/>
        </w:rPr>
      </w:pPr>
      <w:r w:rsidRPr="0074747B">
        <w:rPr>
          <w:rFonts w:asciiTheme="majorBidi" w:hAnsiTheme="majorBidi" w:cstheme="majorBidi"/>
          <w:b/>
          <w:bCs/>
        </w:rPr>
        <w:t>Appendix A: Mathematical Derivation of Weighting Components</w:t>
      </w:r>
    </w:p>
    <w:p w14:paraId="0578095D" w14:textId="22AFD124" w:rsidR="00261ADB" w:rsidRDefault="00261ADB" w:rsidP="00261ADB">
      <w:pPr>
        <w:jc w:val="both"/>
        <w:rPr>
          <w:rFonts w:asciiTheme="majorBidi" w:hAnsiTheme="majorBidi" w:cstheme="majorBidi"/>
        </w:rPr>
      </w:pPr>
      <w:r w:rsidRPr="00261ADB">
        <w:rPr>
          <w:rFonts w:asciiTheme="majorBidi" w:hAnsiTheme="majorBidi" w:cstheme="majorBidi"/>
        </w:rPr>
        <w:t>The continuous flow-proportional weight assigned to each timestep</w:t>
      </w:r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i</w:t>
      </w:r>
      <w:proofErr w:type="spellEnd"/>
      <w:r>
        <w:rPr>
          <w:rFonts w:asciiTheme="majorBidi" w:hAnsiTheme="majorBidi" w:cstheme="majorBidi"/>
        </w:rPr>
        <w:t xml:space="preserve"> is defined as:</w:t>
      </w:r>
    </w:p>
    <w:p w14:paraId="1A5D5616" w14:textId="71D15D75" w:rsidR="00261ADB" w:rsidRPr="00261ADB" w:rsidRDefault="00261ADB" w:rsidP="00261ADB">
      <w:pPr>
        <w:jc w:val="both"/>
        <w:rPr>
          <w:rFonts w:asciiTheme="majorBidi" w:hAnsiTheme="majorBidi" w:cstheme="majorBidi"/>
        </w:rPr>
      </w:pPr>
      <w:r w:rsidRPr="00261ADB">
        <w:rPr>
          <w:rFonts w:asciiTheme="majorBidi" w:hAnsiTheme="majorBidi" w:cs="B Nazanin"/>
          <w:position w:val="-30"/>
          <w:sz w:val="28"/>
          <w:szCs w:val="28"/>
          <w:lang w:bidi="fa-IR"/>
        </w:rPr>
        <w:object w:dxaOrig="1620" w:dyaOrig="740" w14:anchorId="08E10B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.45pt;height:36.85pt" o:ole="">
            <v:imagedata r:id="rId4" o:title=""/>
          </v:shape>
          <o:OLEObject Type="Embed" ProgID="Equation.DSMT4" ShapeID="_x0000_i1025" DrawAspect="Content" ObjectID="_1851567745" r:id="rId5"/>
        </w:object>
      </w:r>
      <w:r>
        <w:rPr>
          <w:rFonts w:asciiTheme="majorBidi" w:hAnsiTheme="majorBidi" w:cs="B Nazanin"/>
          <w:sz w:val="28"/>
          <w:szCs w:val="28"/>
          <w:lang w:bidi="fa-IR"/>
        </w:rPr>
        <w:t xml:space="preserve">                                                                                                          (1)</w:t>
      </w:r>
    </w:p>
    <w:p w14:paraId="05523AA0" w14:textId="1B73D761" w:rsidR="007727CD" w:rsidRDefault="00261ADB" w:rsidP="00261ADB">
      <w:pPr>
        <w:jc w:val="both"/>
        <w:rPr>
          <w:rFonts w:asciiTheme="majorBidi" w:hAnsiTheme="majorBidi" w:cstheme="majorBidi"/>
        </w:rPr>
      </w:pPr>
      <w:r w:rsidRPr="00261ADB">
        <w:rPr>
          <w:rFonts w:asciiTheme="majorBidi" w:hAnsiTheme="majorBidi" w:cstheme="majorBidi"/>
        </w:rPr>
        <w:t>where </w:t>
      </w:r>
      <m:oMath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Q</m:t>
            </m:r>
          </m:e>
          <m:sub>
            <m:r>
              <w:rPr>
                <w:rFonts w:ascii="Cambria Math" w:hAnsi="Cambria Math" w:cstheme="majorBidi"/>
              </w:rPr>
              <m:t>obs,i</m:t>
            </m:r>
          </m:sub>
        </m:sSub>
      </m:oMath>
      <w:r w:rsidRPr="00261ADB">
        <w:rPr>
          <w:rFonts w:asciiTheme="majorBidi" w:hAnsiTheme="majorBidi" w:cstheme="majorBidi"/>
        </w:rPr>
        <w:t> is the observed discharge at timestep </w:t>
      </w:r>
      <m:oMath>
        <m:r>
          <w:rPr>
            <w:rFonts w:ascii="Cambria Math" w:hAnsi="Cambria Math" w:cstheme="majorBidi"/>
          </w:rPr>
          <m:t>i</m:t>
        </m:r>
      </m:oMath>
      <w:r w:rsidRPr="00261ADB">
        <w:rPr>
          <w:rFonts w:asciiTheme="majorBidi" w:hAnsiTheme="majorBidi" w:cstheme="majorBidi"/>
        </w:rPr>
        <w:t> and </w:t>
      </w:r>
      <m:oMath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acc>
              <m:accPr>
                <m:chr m:val="ˉ"/>
                <m:ctrlPr>
                  <w:rPr>
                    <w:rFonts w:ascii="Cambria Math" w:hAnsi="Cambria Math" w:cstheme="majorBidi"/>
                  </w:rPr>
                </m:ctrlPr>
              </m:accPr>
              <m:e>
                <m:r>
                  <w:rPr>
                    <w:rFonts w:ascii="Cambria Math" w:hAnsi="Cambria Math" w:cstheme="majorBidi"/>
                  </w:rPr>
                  <m:t>Q</m:t>
                </m:r>
              </m:e>
            </m:acc>
          </m:e>
          <m:sub>
            <m:r>
              <w:rPr>
                <w:rFonts w:ascii="Cambria Math" w:hAnsi="Cambria Math" w:cstheme="majorBidi"/>
              </w:rPr>
              <m:t>obs</m:t>
            </m:r>
          </m:sub>
        </m:sSub>
      </m:oMath>
      <w:r w:rsidRPr="00261ADB">
        <w:rPr>
          <w:rFonts w:asciiTheme="majorBidi" w:hAnsiTheme="majorBidi" w:cstheme="majorBidi"/>
        </w:rPr>
        <w:t> is the arithmetic mean of all observed discharges over the study period. By construction, </w:t>
      </w:r>
      <m:oMath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w</m:t>
            </m:r>
          </m:e>
          <m:sub>
            <m:r>
              <w:rPr>
                <w:rFonts w:ascii="Cambria Math" w:hAnsi="Cambria Math" w:cstheme="majorBidi"/>
              </w:rPr>
              <m:t>i</m:t>
            </m:r>
          </m:sub>
        </m:sSub>
        <m:r>
          <w:rPr>
            <w:rFonts w:ascii="Cambria Math" w:hAnsi="Cambria Math" w:cstheme="majorBidi"/>
          </w:rPr>
          <m:t>=1</m:t>
        </m:r>
      </m:oMath>
      <w:r w:rsidRPr="00261ADB">
        <w:rPr>
          <w:rFonts w:asciiTheme="majorBidi" w:hAnsiTheme="majorBidi" w:cstheme="majorBidi"/>
        </w:rPr>
        <w:t> when the flow equals the mean, while values exceeding the mean receive weights greater than unity, with the weight increasing proportionally as the flow magnitude grows.</w:t>
      </w:r>
    </w:p>
    <w:p w14:paraId="0630D808" w14:textId="2C3B7B08" w:rsidR="00251B63" w:rsidRDefault="00251B63" w:rsidP="00251B63">
      <w:pPr>
        <w:jc w:val="both"/>
        <w:rPr>
          <w:rFonts w:asciiTheme="majorBidi" w:hAnsiTheme="majorBidi" w:cstheme="majorBidi"/>
        </w:rPr>
      </w:pPr>
      <w:r w:rsidRPr="00251B63">
        <w:rPr>
          <w:rFonts w:asciiTheme="majorBidi" w:hAnsiTheme="majorBidi" w:cstheme="majorBidi"/>
        </w:rPr>
        <w:t>The weighted statistical components used in the W</w:t>
      </w:r>
      <w:r>
        <w:rPr>
          <w:rFonts w:asciiTheme="majorBidi" w:hAnsiTheme="majorBidi" w:cstheme="majorBidi"/>
        </w:rPr>
        <w:t xml:space="preserve">eighted </w:t>
      </w:r>
      <w:r w:rsidRPr="00251B63">
        <w:rPr>
          <w:rFonts w:asciiTheme="majorBidi" w:hAnsiTheme="majorBidi" w:cstheme="majorBidi"/>
        </w:rPr>
        <w:t>KGE Loss function are derived as follows. The flow-proportional weighted means of the observed and simulated discharge series are first computed as:</w:t>
      </w:r>
    </w:p>
    <w:p w14:paraId="0FD0F41D" w14:textId="6633D864" w:rsidR="00251B63" w:rsidRDefault="00251B63" w:rsidP="00251B63">
      <w:pPr>
        <w:jc w:val="both"/>
        <w:rPr>
          <w:rFonts w:asciiTheme="majorBidi" w:hAnsiTheme="majorBidi" w:cstheme="majorBidi"/>
        </w:rPr>
      </w:pPr>
      <w:r w:rsidRPr="00251B63">
        <w:rPr>
          <w:rFonts w:asciiTheme="majorBidi" w:hAnsiTheme="majorBidi" w:cstheme="majorBidi"/>
          <w:position w:val="-60"/>
        </w:rPr>
        <w:object w:dxaOrig="4280" w:dyaOrig="1320" w14:anchorId="33D8E2C2">
          <v:shape id="_x0000_i1026" type="#_x0000_t75" style="width:214.3pt;height:66pt" o:ole="">
            <v:imagedata r:id="rId6" o:title=""/>
          </v:shape>
          <o:OLEObject Type="Embed" ProgID="Equation.DSMT4" ShapeID="_x0000_i1026" DrawAspect="Content" ObjectID="_1851567746" r:id="rId7"/>
        </w:object>
      </w:r>
      <w:r>
        <w:rPr>
          <w:rFonts w:asciiTheme="majorBidi" w:hAnsiTheme="majorBidi" w:cstheme="majorBidi"/>
        </w:rPr>
        <w:t xml:space="preserve">                                                                                  (2)</w:t>
      </w:r>
    </w:p>
    <w:p w14:paraId="34652750" w14:textId="0B6275CD" w:rsidR="00251B63" w:rsidRDefault="00251B63" w:rsidP="00251B63">
      <w:pPr>
        <w:jc w:val="both"/>
        <w:rPr>
          <w:rFonts w:asciiTheme="majorBidi" w:hAnsiTheme="majorBidi" w:cstheme="majorBidi"/>
        </w:rPr>
      </w:pPr>
      <w:r w:rsidRPr="00251B63">
        <w:rPr>
          <w:rFonts w:asciiTheme="majorBidi" w:hAnsiTheme="majorBidi" w:cstheme="majorBidi"/>
        </w:rPr>
        <w:t>The weighted bias ratio (</w:t>
      </w:r>
      <m:oMath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β</m:t>
            </m:r>
          </m:e>
          <m:sub>
            <m:r>
              <w:rPr>
                <w:rFonts w:ascii="Cambria Math" w:hAnsi="Cambria Math" w:cstheme="majorBidi"/>
              </w:rPr>
              <m:t>w</m:t>
            </m:r>
          </m:sub>
        </m:sSub>
      </m:oMath>
      <w:r w:rsidRPr="00251B63">
        <w:rPr>
          <w:rFonts w:asciiTheme="majorBidi" w:hAnsiTheme="majorBidi" w:cstheme="majorBidi"/>
        </w:rPr>
        <w:t>), representing the tendency of the model to systematically over- or under-predict streamflow, is then expressed as:</w:t>
      </w:r>
    </w:p>
    <w:p w14:paraId="0C2198C0" w14:textId="4087695E" w:rsidR="00251B63" w:rsidRDefault="00251B63" w:rsidP="00251B63">
      <w:pPr>
        <w:jc w:val="both"/>
        <w:rPr>
          <w:rFonts w:asciiTheme="majorBidi" w:hAnsiTheme="majorBidi" w:cstheme="majorBidi"/>
        </w:rPr>
      </w:pPr>
      <w:r w:rsidRPr="00251B63">
        <w:rPr>
          <w:rFonts w:asciiTheme="majorBidi" w:hAnsiTheme="majorBidi" w:cstheme="majorBidi"/>
          <w:position w:val="-32"/>
        </w:rPr>
        <w:object w:dxaOrig="1120" w:dyaOrig="720" w14:anchorId="5F10C1E5">
          <v:shape id="_x0000_i1027" type="#_x0000_t75" style="width:55.7pt;height:36pt" o:ole="">
            <v:imagedata r:id="rId8" o:title=""/>
          </v:shape>
          <o:OLEObject Type="Embed" ProgID="Equation.DSMT4" ShapeID="_x0000_i1027" DrawAspect="Content" ObjectID="_1851567747" r:id="rId9"/>
        </w:object>
      </w:r>
      <w:r>
        <w:rPr>
          <w:rFonts w:asciiTheme="majorBidi" w:hAnsiTheme="majorBidi" w:cstheme="majorBidi"/>
        </w:rPr>
        <w:t xml:space="preserve">                                                                                                                                     (3)</w:t>
      </w:r>
    </w:p>
    <w:p w14:paraId="5D334A0D" w14:textId="766A01AE" w:rsidR="00251B63" w:rsidRDefault="00251B63" w:rsidP="00251B63">
      <w:pPr>
        <w:jc w:val="both"/>
        <w:rPr>
          <w:rFonts w:asciiTheme="majorBidi" w:hAnsiTheme="majorBidi" w:cstheme="majorBidi"/>
        </w:rPr>
      </w:pPr>
      <w:r w:rsidRPr="00251B63">
        <w:rPr>
          <w:rFonts w:asciiTheme="majorBidi" w:hAnsiTheme="majorBidi" w:cstheme="majorBidi"/>
        </w:rPr>
        <w:t>The weighted variability ratio (</w:t>
      </w:r>
      <m:oMath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α</m:t>
            </m:r>
          </m:e>
          <m:sub>
            <m:r>
              <w:rPr>
                <w:rFonts w:ascii="Cambria Math" w:hAnsi="Cambria Math" w:cstheme="majorBidi"/>
              </w:rPr>
              <m:t>w</m:t>
            </m:r>
          </m:sub>
        </m:sSub>
      </m:oMath>
      <w:r w:rsidRPr="00251B63">
        <w:rPr>
          <w:rFonts w:asciiTheme="majorBidi" w:hAnsiTheme="majorBidi" w:cstheme="majorBidi"/>
        </w:rPr>
        <w:t>), which captures the ability of the model to reproduce the variance of the observed flow distribution, is defined as:</w:t>
      </w:r>
    </w:p>
    <w:p w14:paraId="3CA8CBD4" w14:textId="6B3B6F66" w:rsidR="00251B63" w:rsidRDefault="00251B63" w:rsidP="00251B63">
      <w:pPr>
        <w:jc w:val="both"/>
        <w:rPr>
          <w:rFonts w:asciiTheme="majorBidi" w:hAnsiTheme="majorBidi" w:cstheme="majorBidi"/>
        </w:rPr>
      </w:pPr>
      <w:r w:rsidRPr="00251B63">
        <w:rPr>
          <w:rFonts w:asciiTheme="majorBidi" w:hAnsiTheme="majorBidi" w:cstheme="majorBidi"/>
          <w:position w:val="-66"/>
        </w:rPr>
        <w:object w:dxaOrig="2780" w:dyaOrig="1440" w14:anchorId="149B3931">
          <v:shape id="_x0000_i1028" type="#_x0000_t75" style="width:138.85pt;height:1in" o:ole="">
            <v:imagedata r:id="rId10" o:title=""/>
          </v:shape>
          <o:OLEObject Type="Embed" ProgID="Equation.DSMT4" ShapeID="_x0000_i1028" DrawAspect="Content" ObjectID="_1851567748" r:id="rId11"/>
        </w:object>
      </w:r>
      <w:r>
        <w:rPr>
          <w:rFonts w:asciiTheme="majorBidi" w:hAnsiTheme="majorBidi" w:cstheme="majorBidi"/>
        </w:rPr>
        <w:t xml:space="preserve">                                                                                                              (4)</w:t>
      </w:r>
    </w:p>
    <w:p w14:paraId="09DC0CCB" w14:textId="4C7ADE5B" w:rsidR="00251B63" w:rsidRDefault="00251B63" w:rsidP="00251B63">
      <w:pPr>
        <w:jc w:val="both"/>
        <w:rPr>
          <w:rFonts w:asciiTheme="majorBidi" w:hAnsiTheme="majorBidi" w:cstheme="majorBidi"/>
        </w:rPr>
      </w:pPr>
      <w:r w:rsidRPr="00251B63">
        <w:rPr>
          <w:rFonts w:asciiTheme="majorBidi" w:hAnsiTheme="majorBidi" w:cstheme="majorBidi"/>
        </w:rPr>
        <w:lastRenderedPageBreak/>
        <w:t>Finally, the weighted Pearson correlation coefficient (</w:t>
      </w:r>
      <m:oMath>
        <m:sSub>
          <m:sSubPr>
            <m:ctrlPr>
              <w:rPr>
                <w:rFonts w:ascii="Cambria Math" w:hAnsi="Cambria Math" w:cstheme="majorBidi"/>
              </w:rPr>
            </m:ctrlPr>
          </m:sSubPr>
          <m:e>
            <m:r>
              <w:rPr>
                <w:rFonts w:ascii="Cambria Math" w:hAnsi="Cambria Math" w:cstheme="majorBidi"/>
              </w:rPr>
              <m:t>r</m:t>
            </m:r>
          </m:e>
          <m:sub>
            <m:r>
              <w:rPr>
                <w:rFonts w:ascii="Cambria Math" w:hAnsi="Cambria Math" w:cstheme="majorBidi"/>
              </w:rPr>
              <m:t>w</m:t>
            </m:r>
          </m:sub>
        </m:sSub>
      </m:oMath>
      <w:r w:rsidRPr="00251B63">
        <w:rPr>
          <w:rFonts w:asciiTheme="majorBidi" w:hAnsiTheme="majorBidi" w:cstheme="majorBidi"/>
        </w:rPr>
        <w:t>), measuring the linear correspondence between observed and simulated discharge under the flow-proportional weighting scheme, is given by:</w:t>
      </w:r>
    </w:p>
    <w:p w14:paraId="46BFC149" w14:textId="485CD5F3" w:rsidR="00251B63" w:rsidRPr="00251B63" w:rsidRDefault="00251B63" w:rsidP="00251B63">
      <w:pPr>
        <w:jc w:val="both"/>
        <w:rPr>
          <w:rFonts w:asciiTheme="majorBidi" w:hAnsiTheme="majorBidi" w:cstheme="majorBidi"/>
        </w:rPr>
      </w:pPr>
      <w:r w:rsidRPr="00251B63">
        <w:rPr>
          <w:rFonts w:asciiTheme="majorBidi" w:hAnsiTheme="majorBidi" w:cstheme="majorBidi"/>
          <w:position w:val="-66"/>
        </w:rPr>
        <w:object w:dxaOrig="4880" w:dyaOrig="1380" w14:anchorId="599717B6">
          <v:shape id="_x0000_i1029" type="#_x0000_t75" style="width:244.3pt;height:69.45pt" o:ole="">
            <v:imagedata r:id="rId12" o:title=""/>
          </v:shape>
          <o:OLEObject Type="Embed" ProgID="Equation.DSMT4" ShapeID="_x0000_i1029" DrawAspect="Content" ObjectID="_1851567749" r:id="rId13"/>
        </w:object>
      </w:r>
      <w:r>
        <w:rPr>
          <w:rFonts w:asciiTheme="majorBidi" w:hAnsiTheme="majorBidi" w:cstheme="majorBidi"/>
        </w:rPr>
        <w:t xml:space="preserve">                                                                       (5)</w:t>
      </w:r>
    </w:p>
    <w:p w14:paraId="0D1EE0BE" w14:textId="2C8894A2" w:rsidR="00251B63" w:rsidRPr="00261ADB" w:rsidRDefault="00251B63" w:rsidP="00261ADB">
      <w:pPr>
        <w:jc w:val="both"/>
        <w:rPr>
          <w:rFonts w:asciiTheme="majorBidi" w:hAnsiTheme="majorBidi" w:cstheme="majorBidi"/>
        </w:rPr>
      </w:pPr>
    </w:p>
    <w:sectPr w:rsidR="00251B63" w:rsidRPr="00261ADB" w:rsidSect="007456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06C"/>
    <w:rsid w:val="00021EF3"/>
    <w:rsid w:val="00026A9C"/>
    <w:rsid w:val="000855A6"/>
    <w:rsid w:val="00251B63"/>
    <w:rsid w:val="00261ADB"/>
    <w:rsid w:val="002B5EF6"/>
    <w:rsid w:val="003C7294"/>
    <w:rsid w:val="004A5D5F"/>
    <w:rsid w:val="0051029B"/>
    <w:rsid w:val="006813F8"/>
    <w:rsid w:val="00716327"/>
    <w:rsid w:val="0074563B"/>
    <w:rsid w:val="0074747B"/>
    <w:rsid w:val="007727CD"/>
    <w:rsid w:val="00926AB2"/>
    <w:rsid w:val="0097154A"/>
    <w:rsid w:val="009F106C"/>
    <w:rsid w:val="00A27A5F"/>
    <w:rsid w:val="00B5652B"/>
    <w:rsid w:val="00B928A8"/>
    <w:rsid w:val="00C211B2"/>
    <w:rsid w:val="00C66248"/>
    <w:rsid w:val="00C96D73"/>
    <w:rsid w:val="00D842E3"/>
    <w:rsid w:val="00E62214"/>
    <w:rsid w:val="00EE089A"/>
    <w:rsid w:val="00F6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A16A9"/>
  <w15:chartTrackingRefBased/>
  <w15:docId w15:val="{03B64EB3-228D-4266-B87B-33D8A6692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10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10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0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10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10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10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10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10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10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10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10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0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10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10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10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10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10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10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10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10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10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10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10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10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10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10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0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0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106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163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63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akbar Eatesam</dc:creator>
  <cp:keywords/>
  <dc:description/>
  <cp:lastModifiedBy>Ali akbar Eatesam</cp:lastModifiedBy>
  <cp:revision>6</cp:revision>
  <dcterms:created xsi:type="dcterms:W3CDTF">2026-06-27T07:07:00Z</dcterms:created>
  <dcterms:modified xsi:type="dcterms:W3CDTF">2026-09-22T04:06:00Z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