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776" w:tblpYSpec="inside"/>
        <w:tblOverlap w:val="never"/>
        <w:tblW w:w="9131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8"/>
        <w:gridCol w:w="1756"/>
        <w:gridCol w:w="1819"/>
        <w:gridCol w:w="1922"/>
        <w:gridCol w:w="1756"/>
      </w:tblGrid>
      <w:tr w14:paraId="509E0EBB">
        <w:trPr>
          <w:trHeight w:val="471" w:hRule="atLeast"/>
        </w:trPr>
        <w:tc>
          <w:tcPr>
            <w:tcW w:w="18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1694C2D6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Task</w:t>
            </w:r>
          </w:p>
        </w:tc>
        <w:tc>
          <w:tcPr>
            <w:tcW w:w="1756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64034942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Sensitivity</w:t>
            </w:r>
          </w:p>
        </w:tc>
        <w:tc>
          <w:tcPr>
            <w:tcW w:w="1819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6D1E47AF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Specificity</w:t>
            </w:r>
          </w:p>
        </w:tc>
        <w:tc>
          <w:tcPr>
            <w:tcW w:w="1922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3DB0F531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Accuracy</w:t>
            </w:r>
          </w:p>
        </w:tc>
        <w:tc>
          <w:tcPr>
            <w:tcW w:w="1756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48BB32F0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F1 Score</w:t>
            </w:r>
          </w:p>
        </w:tc>
      </w:tr>
      <w:tr w14:paraId="791A59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0" w:hRule="atLeast"/>
        </w:trPr>
        <w:tc>
          <w:tcPr>
            <w:tcW w:w="1878" w:type="dxa"/>
            <w:vAlign w:val="center"/>
          </w:tcPr>
          <w:p w14:paraId="5AA80B33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International Criteria (w/o Tabular)</w:t>
            </w:r>
          </w:p>
        </w:tc>
        <w:tc>
          <w:tcPr>
            <w:tcW w:w="1756" w:type="dxa"/>
            <w:vAlign w:val="center"/>
          </w:tcPr>
          <w:p w14:paraId="7BC2999C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0.625</w:t>
            </w:r>
          </w:p>
          <w:p w14:paraId="738C0010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(0.5097,0.7403)</w:t>
            </w:r>
          </w:p>
        </w:tc>
        <w:tc>
          <w:tcPr>
            <w:tcW w:w="1819" w:type="dxa"/>
            <w:vAlign w:val="center"/>
          </w:tcPr>
          <w:p w14:paraId="5CEB5288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0.5053</w:t>
            </w:r>
          </w:p>
          <w:p w14:paraId="4ACA1AD3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(0.4217,0.5889)</w:t>
            </w:r>
          </w:p>
        </w:tc>
        <w:tc>
          <w:tcPr>
            <w:tcW w:w="1922" w:type="dxa"/>
            <w:vAlign w:val="center"/>
          </w:tcPr>
          <w:p w14:paraId="4673EE50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0.6029</w:t>
            </w:r>
          </w:p>
          <w:p w14:paraId="688A4ED9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(0.5823,0.6234)</w:t>
            </w:r>
          </w:p>
        </w:tc>
        <w:tc>
          <w:tcPr>
            <w:tcW w:w="1756" w:type="dxa"/>
            <w:vAlign w:val="center"/>
          </w:tcPr>
          <w:p w14:paraId="1CFFC83B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0.5511</w:t>
            </w:r>
          </w:p>
          <w:p w14:paraId="1BB13A68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(0.4492,0.6530)</w:t>
            </w:r>
          </w:p>
        </w:tc>
      </w:tr>
      <w:tr w14:paraId="4392C3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0" w:hRule="atLeast"/>
        </w:trPr>
        <w:tc>
          <w:tcPr>
            <w:tcW w:w="1878" w:type="dxa"/>
            <w:vAlign w:val="center"/>
          </w:tcPr>
          <w:p w14:paraId="02E3E7E3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International Diagnostic Criteria (w/o </w:t>
            </w:r>
            <w:r>
              <w:rPr>
                <w:rStyle w:val="5"/>
                <w:rFonts w:hint="default" w:ascii="Times New Roman" w:hAnsi="Times New Roman" w:cs="Times New Roman"/>
                <w:sz w:val="20"/>
                <w:szCs w:val="20"/>
                <w:lang w:bidi="ar"/>
              </w:rPr>
              <w:t>imaging)</w:t>
            </w:r>
          </w:p>
        </w:tc>
        <w:tc>
          <w:tcPr>
            <w:tcW w:w="1756" w:type="dxa"/>
            <w:vAlign w:val="center"/>
          </w:tcPr>
          <w:p w14:paraId="7C439680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0.9829</w:t>
            </w:r>
          </w:p>
          <w:p w14:paraId="47F19EB1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(0.9399,1)</w:t>
            </w:r>
          </w:p>
        </w:tc>
        <w:tc>
          <w:tcPr>
            <w:tcW w:w="1819" w:type="dxa"/>
            <w:vAlign w:val="center"/>
          </w:tcPr>
          <w:p w14:paraId="1B61D654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0.8471</w:t>
            </w:r>
          </w:p>
          <w:p w14:paraId="136808D2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(0.8101,0.8842)</w:t>
            </w:r>
          </w:p>
        </w:tc>
        <w:tc>
          <w:tcPr>
            <w:tcW w:w="1922" w:type="dxa"/>
            <w:vAlign w:val="center"/>
          </w:tcPr>
          <w:p w14:paraId="19270B86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0.9143</w:t>
            </w:r>
          </w:p>
          <w:p w14:paraId="09F1E61B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(0.8946,0.9339)</w:t>
            </w:r>
          </w:p>
        </w:tc>
        <w:tc>
          <w:tcPr>
            <w:tcW w:w="1756" w:type="dxa"/>
            <w:vAlign w:val="center"/>
          </w:tcPr>
          <w:p w14:paraId="201545CB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0.908</w:t>
            </w:r>
          </w:p>
          <w:p w14:paraId="6B23481F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(0.8851,0.9309)</w:t>
            </w:r>
          </w:p>
        </w:tc>
      </w:tr>
      <w:tr w14:paraId="307BA4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0" w:hRule="atLeast"/>
        </w:trPr>
        <w:tc>
          <w:tcPr>
            <w:tcW w:w="1878" w:type="dxa"/>
            <w:vAlign w:val="center"/>
          </w:tcPr>
          <w:p w14:paraId="705471D2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Chinese Criteria (w/o Tabular)</w:t>
            </w:r>
          </w:p>
        </w:tc>
        <w:tc>
          <w:tcPr>
            <w:tcW w:w="1756" w:type="dxa"/>
            <w:vAlign w:val="center"/>
          </w:tcPr>
          <w:p w14:paraId="729F8544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0.89</w:t>
            </w:r>
          </w:p>
          <w:p w14:paraId="6CC864D5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(0.8874,0.8926)</w:t>
            </w:r>
          </w:p>
        </w:tc>
        <w:tc>
          <w:tcPr>
            <w:tcW w:w="1819" w:type="dxa"/>
            <w:vAlign w:val="center"/>
          </w:tcPr>
          <w:p w14:paraId="5ED12534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0.4031</w:t>
            </w:r>
          </w:p>
          <w:p w14:paraId="188D3667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(0.3740,0.4323)</w:t>
            </w:r>
          </w:p>
        </w:tc>
        <w:tc>
          <w:tcPr>
            <w:tcW w:w="1922" w:type="dxa"/>
            <w:vAlign w:val="center"/>
          </w:tcPr>
          <w:p w14:paraId="7C6CC037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0.655</w:t>
            </w:r>
          </w:p>
          <w:p w14:paraId="73170406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(0.6286,0.6814)</w:t>
            </w:r>
          </w:p>
        </w:tc>
        <w:tc>
          <w:tcPr>
            <w:tcW w:w="1756" w:type="dxa"/>
            <w:vAlign w:val="center"/>
          </w:tcPr>
          <w:p w14:paraId="550258BC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0.7255</w:t>
            </w:r>
          </w:p>
          <w:p w14:paraId="5612F631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(0.7087,0.7423)</w:t>
            </w:r>
          </w:p>
        </w:tc>
      </w:tr>
      <w:tr w14:paraId="62646C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0" w:hRule="atLeast"/>
        </w:trPr>
        <w:tc>
          <w:tcPr>
            <w:tcW w:w="1878" w:type="dxa"/>
            <w:vAlign w:val="center"/>
          </w:tcPr>
          <w:p w14:paraId="125314F2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Chinese Criteria (w/o Imaging)</w:t>
            </w:r>
          </w:p>
        </w:tc>
        <w:tc>
          <w:tcPr>
            <w:tcW w:w="1756" w:type="dxa"/>
            <w:vAlign w:val="center"/>
          </w:tcPr>
          <w:p w14:paraId="185754CB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0.9867</w:t>
            </w:r>
          </w:p>
          <w:p w14:paraId="695CB128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(0.9469,1)</w:t>
            </w:r>
          </w:p>
        </w:tc>
        <w:tc>
          <w:tcPr>
            <w:tcW w:w="1819" w:type="dxa"/>
            <w:vAlign w:val="center"/>
          </w:tcPr>
          <w:p w14:paraId="24053B54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0.8501</w:t>
            </w:r>
          </w:p>
          <w:p w14:paraId="77C1B94A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(0.8337,0.8665)</w:t>
            </w:r>
          </w:p>
        </w:tc>
        <w:tc>
          <w:tcPr>
            <w:tcW w:w="1922" w:type="dxa"/>
            <w:vAlign w:val="center"/>
          </w:tcPr>
          <w:p w14:paraId="5DEE396D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0.9133</w:t>
            </w:r>
          </w:p>
          <w:p w14:paraId="171DFA05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(0.8904,0.9361)</w:t>
            </w:r>
          </w:p>
        </w:tc>
        <w:tc>
          <w:tcPr>
            <w:tcW w:w="1756" w:type="dxa"/>
            <w:vAlign w:val="center"/>
          </w:tcPr>
          <w:p w14:paraId="740D491C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0.9052</w:t>
            </w:r>
          </w:p>
          <w:p w14:paraId="3CBAB953">
            <w:pPr>
              <w:widowControl/>
              <w:spacing w:line="480" w:lineRule="auto"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(0.8827,0.9276)</w:t>
            </w:r>
          </w:p>
        </w:tc>
      </w:tr>
    </w:tbl>
    <w:p w14:paraId="489489DF">
      <w:pPr>
        <w:spacing w:line="480" w:lineRule="auto"/>
        <w:rPr>
          <w:rFonts w:hint="default" w:ascii="Times New Roman" w:hAnsi="Times New Roman" w:cs="Times New Roman"/>
          <w:sz w:val="24"/>
        </w:rPr>
      </w:pPr>
      <w:bookmarkStart w:id="0" w:name="_GoBack"/>
      <w:r>
        <w:rPr>
          <w:rFonts w:hint="default" w:ascii="Times New Roman" w:hAnsi="Times New Roman" w:cs="Times New Roman"/>
          <w:sz w:val="24"/>
        </w:rPr>
        <w:t>Table</w:t>
      </w:r>
      <w:bookmarkEnd w:id="0"/>
      <w:r>
        <w:rPr>
          <w:rFonts w:hint="default" w:ascii="Times New Roman" w:hAnsi="Times New Roman" w:cs="Times New Roman"/>
          <w:sz w:val="24"/>
        </w:rPr>
        <w:t xml:space="preserve"> S1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This table presents the model performance across different diagnostic tasks (international diagnosis and Chinese diagnosis) under a single-module setup. The performance is evaluated using four key metrics: sensitivity, specificity, accuracy, and F1 score. Each metric is reported with a 95% confidence interval to reflect the statistical stability of the results.</w:t>
      </w:r>
    </w:p>
    <w:p w14:paraId="6E239F85">
      <w:pPr>
        <w:spacing w:line="480" w:lineRule="auto"/>
        <w:rPr>
          <w:rFonts w:hint="default" w:ascii="Times New Roman" w:hAnsi="Times New Roman" w:cs="Times New Roman"/>
          <w:sz w:val="24"/>
        </w:rPr>
      </w:pPr>
    </w:p>
    <w:tbl>
      <w:tblPr>
        <w:tblStyle w:val="4"/>
        <w:tblW w:w="8640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259"/>
        <w:gridCol w:w="1405"/>
        <w:gridCol w:w="1419"/>
        <w:gridCol w:w="1418"/>
        <w:gridCol w:w="1391"/>
      </w:tblGrid>
      <w:tr w14:paraId="215B77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2" w:hRule="atLeast"/>
        </w:trPr>
        <w:tc>
          <w:tcPr>
            <w:tcW w:w="1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202DD3D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Indicators</w:t>
            </w:r>
          </w:p>
        </w:tc>
        <w:tc>
          <w:tcPr>
            <w:tcW w:w="1259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1925DBD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Sample (n)</w:t>
            </w:r>
          </w:p>
        </w:tc>
        <w:tc>
          <w:tcPr>
            <w:tcW w:w="1405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5C6EB78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1419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1E84287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Specificity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4F101B7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37FA88B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F1 score</w:t>
            </w:r>
          </w:p>
        </w:tc>
      </w:tr>
      <w:tr w14:paraId="02BCB5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2" w:hRule="atLeast"/>
        </w:trPr>
        <w:tc>
          <w:tcPr>
            <w:tcW w:w="1748" w:type="dxa"/>
            <w:vAlign w:val="center"/>
          </w:tcPr>
          <w:p w14:paraId="4D118F7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Early Warning (international)</w:t>
            </w:r>
          </w:p>
        </w:tc>
        <w:tc>
          <w:tcPr>
            <w:tcW w:w="1259" w:type="dxa"/>
            <w:vAlign w:val="center"/>
          </w:tcPr>
          <w:p w14:paraId="35BA3EB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129 patients</w:t>
            </w:r>
          </w:p>
        </w:tc>
        <w:tc>
          <w:tcPr>
            <w:tcW w:w="1405" w:type="dxa"/>
            <w:vAlign w:val="center"/>
          </w:tcPr>
          <w:p w14:paraId="4505EFC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0.8062</w:t>
            </w:r>
          </w:p>
        </w:tc>
        <w:tc>
          <w:tcPr>
            <w:tcW w:w="1419" w:type="dxa"/>
            <w:vAlign w:val="center"/>
          </w:tcPr>
          <w:p w14:paraId="0FCD006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18" w:type="dxa"/>
            <w:vAlign w:val="center"/>
          </w:tcPr>
          <w:p w14:paraId="46948DF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0.6949</w:t>
            </w:r>
          </w:p>
        </w:tc>
        <w:tc>
          <w:tcPr>
            <w:tcW w:w="1391" w:type="dxa"/>
            <w:vAlign w:val="center"/>
          </w:tcPr>
          <w:p w14:paraId="4C15FDF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0.7664</w:t>
            </w:r>
          </w:p>
        </w:tc>
      </w:tr>
      <w:tr w14:paraId="5641BB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9" w:hRule="atLeast"/>
        </w:trPr>
        <w:tc>
          <w:tcPr>
            <w:tcW w:w="1748" w:type="dxa"/>
            <w:vAlign w:val="center"/>
          </w:tcPr>
          <w:p w14:paraId="1C79FEF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Early Warning (China)</w:t>
            </w:r>
          </w:p>
        </w:tc>
        <w:tc>
          <w:tcPr>
            <w:tcW w:w="1259" w:type="dxa"/>
            <w:vAlign w:val="center"/>
          </w:tcPr>
          <w:p w14:paraId="0F37751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129 patients</w:t>
            </w:r>
          </w:p>
        </w:tc>
        <w:tc>
          <w:tcPr>
            <w:tcW w:w="1405" w:type="dxa"/>
            <w:vAlign w:val="center"/>
          </w:tcPr>
          <w:p w14:paraId="5D93F40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0.9612</w:t>
            </w:r>
          </w:p>
        </w:tc>
        <w:tc>
          <w:tcPr>
            <w:tcW w:w="1419" w:type="dxa"/>
            <w:vAlign w:val="center"/>
          </w:tcPr>
          <w:p w14:paraId="1004C5D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0.9167</w:t>
            </w:r>
          </w:p>
        </w:tc>
        <w:tc>
          <w:tcPr>
            <w:tcW w:w="1418" w:type="dxa"/>
            <w:vAlign w:val="center"/>
          </w:tcPr>
          <w:p w14:paraId="2226D67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0.9877</w:t>
            </w:r>
          </w:p>
        </w:tc>
        <w:tc>
          <w:tcPr>
            <w:tcW w:w="1391" w:type="dxa"/>
            <w:vAlign w:val="center"/>
          </w:tcPr>
          <w:p w14:paraId="46FF969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0.9697</w:t>
            </w:r>
          </w:p>
        </w:tc>
      </w:tr>
      <w:tr w14:paraId="42571BE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9" w:hRule="atLeast"/>
        </w:trPr>
        <w:tc>
          <w:tcPr>
            <w:tcW w:w="1748" w:type="dxa"/>
            <w:vAlign w:val="center"/>
          </w:tcPr>
          <w:p w14:paraId="32C905D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Diagnosis (international)</w:t>
            </w:r>
          </w:p>
        </w:tc>
        <w:tc>
          <w:tcPr>
            <w:tcW w:w="1259" w:type="dxa"/>
            <w:vAlign w:val="center"/>
          </w:tcPr>
          <w:p w14:paraId="64F1822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257 eyes</w:t>
            </w:r>
          </w:p>
        </w:tc>
        <w:tc>
          <w:tcPr>
            <w:tcW w:w="1405" w:type="dxa"/>
            <w:vAlign w:val="center"/>
          </w:tcPr>
          <w:p w14:paraId="201A56A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0.9455</w:t>
            </w:r>
          </w:p>
        </w:tc>
        <w:tc>
          <w:tcPr>
            <w:tcW w:w="1419" w:type="dxa"/>
            <w:vAlign w:val="center"/>
          </w:tcPr>
          <w:p w14:paraId="2D7BFC2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0.9067</w:t>
            </w:r>
          </w:p>
        </w:tc>
        <w:tc>
          <w:tcPr>
            <w:tcW w:w="1418" w:type="dxa"/>
            <w:vAlign w:val="center"/>
          </w:tcPr>
          <w:p w14:paraId="0884F45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  <w:vAlign w:val="center"/>
          </w:tcPr>
          <w:p w14:paraId="6F9F038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0.9386</w:t>
            </w:r>
          </w:p>
        </w:tc>
      </w:tr>
      <w:tr w14:paraId="56C304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9" w:hRule="atLeast"/>
        </w:trPr>
        <w:tc>
          <w:tcPr>
            <w:tcW w:w="1748" w:type="dxa"/>
            <w:vAlign w:val="center"/>
          </w:tcPr>
          <w:p w14:paraId="22D70A7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Diagnosis (China)</w:t>
            </w:r>
          </w:p>
        </w:tc>
        <w:tc>
          <w:tcPr>
            <w:tcW w:w="1259" w:type="dxa"/>
            <w:vAlign w:val="center"/>
          </w:tcPr>
          <w:p w14:paraId="2EB9805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252 eyes</w:t>
            </w:r>
          </w:p>
        </w:tc>
        <w:tc>
          <w:tcPr>
            <w:tcW w:w="1405" w:type="dxa"/>
            <w:vAlign w:val="center"/>
          </w:tcPr>
          <w:p w14:paraId="1D7DBF9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0.8755</w:t>
            </w:r>
          </w:p>
        </w:tc>
        <w:tc>
          <w:tcPr>
            <w:tcW w:w="1419" w:type="dxa"/>
            <w:vAlign w:val="center"/>
          </w:tcPr>
          <w:p w14:paraId="7C2C7F0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0.7627</w:t>
            </w:r>
          </w:p>
        </w:tc>
        <w:tc>
          <w:tcPr>
            <w:tcW w:w="1418" w:type="dxa"/>
            <w:vAlign w:val="center"/>
          </w:tcPr>
          <w:p w14:paraId="521190E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0.9712</w:t>
            </w:r>
          </w:p>
        </w:tc>
        <w:tc>
          <w:tcPr>
            <w:tcW w:w="1391" w:type="dxa"/>
            <w:vAlign w:val="center"/>
          </w:tcPr>
          <w:p w14:paraId="06F0964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0.894</w:t>
            </w:r>
          </w:p>
        </w:tc>
      </w:tr>
    </w:tbl>
    <w:p w14:paraId="3E2E7B9C">
      <w:pPr>
        <w:spacing w:line="480" w:lineRule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Table S2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</w:rPr>
        <w:t>This table presents the performance of the model on four tasks using data from the external validation set, covering four key metrics: sensitivity, specificity, accuracy, and F1 score.</w:t>
      </w:r>
    </w:p>
    <w:p w14:paraId="0B351C04"/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MS PGothic">
    <w:altName w:val="Hiragino Sans"/>
    <w:panose1 w:val="020B0600070205080204"/>
    <w:charset w:val="80"/>
    <w:family w:val="swiss"/>
    <w:pitch w:val="default"/>
    <w:sig w:usb0="00000000" w:usb1="00000000" w:usb2="08000012" w:usb3="00000000" w:csb0="4002009F" w:csb1="DFD7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7F02BD"/>
    <w:rsid w:val="FB7F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表1"/>
    <w:basedOn w:val="2"/>
    <w:qFormat/>
    <w:uiPriority w:val="99"/>
    <w:pPr>
      <w:jc w:val="both"/>
    </w:pPr>
    <w:rPr>
      <w:sz w:val="18"/>
    </w:rPr>
    <w:tblPr>
      <w:tblBorders>
        <w:top w:val="single" w:color="auto" w:sz="8" w:space="0"/>
        <w:bottom w:val="single" w:color="auto" w:sz="8" w:space="0"/>
      </w:tblBorders>
    </w:tblPr>
    <w:tcPr>
      <w:vAlign w:val="center"/>
    </w:tcPr>
    <w:tblStylePr w:type="firstRow">
      <w:pPr>
        <w:jc w:val="both"/>
      </w:pPr>
      <w:rPr>
        <w:rFonts w:ascii="MS PGothic" w:hAnsi="MS PGothic"/>
        <w:sz w:val="18"/>
      </w:rPr>
      <w:tcPr>
        <w:tcBorders>
          <w:top w:val="single" w:color="auto" w:sz="4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2026-09-26T22:34:00Z</dcterms:created>
  <dc:creator>燕子(Sophia)</dc:creator>
  <cp:lastModifiedBy>燕子(Sophia)</cp:lastModifiedBy>
  <dcterms:modified xsi:type="dcterms:W3CDTF">2026-09-26T22:38:46Z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B74DFD4294F888D3FAD7B76A7A029314_41</vt:lpwstr>
  </property>
</Properties>
</file>