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E17731" w14:textId="77777777" w:rsidR="00C07CE3" w:rsidRPr="00F1544C" w:rsidRDefault="00000000" w:rsidP="008433C7">
      <w:pPr>
        <w:pStyle w:val="Heading2"/>
        <w:jc w:val="both"/>
        <w:rPr>
          <w:rFonts w:ascii="Helvetica" w:hAnsi="Helvetica"/>
          <w:b/>
          <w:bCs/>
          <w:color w:val="auto"/>
          <w:sz w:val="24"/>
          <w:szCs w:val="24"/>
        </w:rPr>
      </w:pPr>
      <w:r w:rsidRPr="00F1544C">
        <w:rPr>
          <w:rFonts w:ascii="Helvetica" w:hAnsi="Helvetica"/>
          <w:b/>
          <w:bCs/>
          <w:color w:val="auto"/>
          <w:sz w:val="24"/>
          <w:szCs w:val="24"/>
        </w:rPr>
        <w:t>Supplementary tables, figures and methodological notes</w:t>
      </w:r>
    </w:p>
    <w:p w14:paraId="6DA65E2D" w14:textId="77777777" w:rsidR="00C07CE3" w:rsidRPr="008433C7" w:rsidRDefault="00C07CE3" w:rsidP="008433C7">
      <w:pPr>
        <w:jc w:val="both"/>
        <w:rPr>
          <w:rFonts w:ascii="Helvetica" w:hAnsi="Helvetica"/>
        </w:rPr>
      </w:pPr>
    </w:p>
    <w:p w14:paraId="2277DA36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  <w:b/>
          <w:bCs/>
        </w:rPr>
        <w:t xml:space="preserve">Table S1. </w:t>
      </w:r>
      <w:r w:rsidRPr="008433C7">
        <w:rPr>
          <w:rFonts w:ascii="Helvetica" w:hAnsi="Helvetica"/>
        </w:rPr>
        <w:t xml:space="preserve">Bayesian posterior contrasts and sensitivity to priors and likelihood. Posterior contrasts from the cell-means Bayesian model and sensitivity analysis. </w:t>
      </w:r>
      <w:proofErr w:type="spellStart"/>
      <w:r w:rsidRPr="008433C7">
        <w:rPr>
          <w:rFonts w:ascii="Helvetica" w:hAnsi="Helvetica"/>
        </w:rPr>
        <w:t>CrI</w:t>
      </w:r>
      <w:proofErr w:type="spellEnd"/>
      <w:r w:rsidRPr="008433C7">
        <w:rPr>
          <w:rFonts w:ascii="Helvetica" w:hAnsi="Helvetica"/>
        </w:rPr>
        <w:t>, credible interval.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2"/>
        <w:gridCol w:w="1591"/>
        <w:gridCol w:w="2334"/>
        <w:gridCol w:w="1379"/>
      </w:tblGrid>
      <w:tr w:rsidR="00C07CE3" w:rsidRPr="008433C7" w14:paraId="7688DDD1" w14:textId="77777777">
        <w:tc>
          <w:tcPr>
            <w:tcW w:w="3500" w:type="dxa"/>
          </w:tcPr>
          <w:p w14:paraId="6AFB18D0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Contrast (µg g⁻¹ FW)</w:t>
            </w:r>
          </w:p>
        </w:tc>
        <w:tc>
          <w:tcPr>
            <w:tcW w:w="1500" w:type="dxa"/>
          </w:tcPr>
          <w:p w14:paraId="3DF3E38A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Median</w:t>
            </w:r>
          </w:p>
        </w:tc>
        <w:tc>
          <w:tcPr>
            <w:tcW w:w="2200" w:type="dxa"/>
          </w:tcPr>
          <w:p w14:paraId="506D0843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 xml:space="preserve">95% </w:t>
            </w:r>
            <w:proofErr w:type="spellStart"/>
            <w:r w:rsidRPr="008433C7">
              <w:rPr>
                <w:rFonts w:ascii="Helvetica" w:hAnsi="Helvetica"/>
              </w:rPr>
              <w:t>CrI</w:t>
            </w:r>
            <w:proofErr w:type="spellEnd"/>
          </w:p>
        </w:tc>
        <w:tc>
          <w:tcPr>
            <w:tcW w:w="1300" w:type="dxa"/>
          </w:tcPr>
          <w:p w14:paraId="01E2D819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P(Δ &lt; 0)</w:t>
            </w:r>
          </w:p>
        </w:tc>
      </w:tr>
      <w:tr w:rsidR="00C07CE3" w:rsidRPr="008433C7" w14:paraId="2E25F93C" w14:textId="77777777">
        <w:tc>
          <w:tcPr>
            <w:tcW w:w="3500" w:type="dxa"/>
          </w:tcPr>
          <w:p w14:paraId="7BB2979B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T2 − T1</w:t>
            </w:r>
          </w:p>
        </w:tc>
        <w:tc>
          <w:tcPr>
            <w:tcW w:w="1500" w:type="dxa"/>
          </w:tcPr>
          <w:p w14:paraId="0D6F0FAB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15.5</w:t>
            </w:r>
          </w:p>
        </w:tc>
        <w:tc>
          <w:tcPr>
            <w:tcW w:w="2200" w:type="dxa"/>
          </w:tcPr>
          <w:p w14:paraId="78B8DE6C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−48.4, 75.8</w:t>
            </w:r>
          </w:p>
        </w:tc>
        <w:tc>
          <w:tcPr>
            <w:tcW w:w="1300" w:type="dxa"/>
          </w:tcPr>
          <w:p w14:paraId="6739C420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0.294</w:t>
            </w:r>
          </w:p>
        </w:tc>
      </w:tr>
      <w:tr w:rsidR="00C07CE3" w:rsidRPr="008433C7" w14:paraId="54CCF4CD" w14:textId="77777777">
        <w:tc>
          <w:tcPr>
            <w:tcW w:w="3500" w:type="dxa"/>
          </w:tcPr>
          <w:p w14:paraId="01D74512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T3 − T1</w:t>
            </w:r>
          </w:p>
        </w:tc>
        <w:tc>
          <w:tcPr>
            <w:tcW w:w="1500" w:type="dxa"/>
          </w:tcPr>
          <w:p w14:paraId="3A8187F3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14.5</w:t>
            </w:r>
          </w:p>
        </w:tc>
        <w:tc>
          <w:tcPr>
            <w:tcW w:w="2200" w:type="dxa"/>
          </w:tcPr>
          <w:p w14:paraId="164948E7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−44.8, 73.7</w:t>
            </w:r>
          </w:p>
        </w:tc>
        <w:tc>
          <w:tcPr>
            <w:tcW w:w="1300" w:type="dxa"/>
          </w:tcPr>
          <w:p w14:paraId="147E854F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0.294</w:t>
            </w:r>
          </w:p>
        </w:tc>
      </w:tr>
      <w:tr w:rsidR="00C07CE3" w:rsidRPr="008433C7" w14:paraId="6E2B4BAA" w14:textId="77777777">
        <w:tc>
          <w:tcPr>
            <w:tcW w:w="3500" w:type="dxa"/>
          </w:tcPr>
          <w:p w14:paraId="55D832CA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T4 − T1</w:t>
            </w:r>
          </w:p>
        </w:tc>
        <w:tc>
          <w:tcPr>
            <w:tcW w:w="1500" w:type="dxa"/>
          </w:tcPr>
          <w:p w14:paraId="622152D0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−3.4</w:t>
            </w:r>
          </w:p>
        </w:tc>
        <w:tc>
          <w:tcPr>
            <w:tcW w:w="2200" w:type="dxa"/>
          </w:tcPr>
          <w:p w14:paraId="3372D0D4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−61.9, 54.8</w:t>
            </w:r>
          </w:p>
        </w:tc>
        <w:tc>
          <w:tcPr>
            <w:tcW w:w="1300" w:type="dxa"/>
          </w:tcPr>
          <w:p w14:paraId="56C211A2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0.552</w:t>
            </w:r>
          </w:p>
        </w:tc>
      </w:tr>
      <w:tr w:rsidR="00C07CE3" w:rsidRPr="008433C7" w14:paraId="48521F99" w14:textId="77777777">
        <w:tc>
          <w:tcPr>
            <w:tcW w:w="3500" w:type="dxa"/>
          </w:tcPr>
          <w:p w14:paraId="0E02B478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T5 − T1</w:t>
            </w:r>
          </w:p>
        </w:tc>
        <w:tc>
          <w:tcPr>
            <w:tcW w:w="1500" w:type="dxa"/>
          </w:tcPr>
          <w:p w14:paraId="18D20EE0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−75.3</w:t>
            </w:r>
          </w:p>
        </w:tc>
        <w:tc>
          <w:tcPr>
            <w:tcW w:w="2200" w:type="dxa"/>
          </w:tcPr>
          <w:p w14:paraId="4D917274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−131.9, −11.7</w:t>
            </w:r>
          </w:p>
        </w:tc>
        <w:tc>
          <w:tcPr>
            <w:tcW w:w="1300" w:type="dxa"/>
          </w:tcPr>
          <w:p w14:paraId="5FE0A621" w14:textId="77777777" w:rsidR="00C07CE3" w:rsidRPr="008433C7" w:rsidRDefault="00000000" w:rsidP="008433C7">
            <w:pPr>
              <w:jc w:val="both"/>
              <w:rPr>
                <w:rFonts w:ascii="Helvetica" w:hAnsi="Helvetica"/>
              </w:rPr>
            </w:pPr>
            <w:r w:rsidRPr="008433C7">
              <w:rPr>
                <w:rFonts w:ascii="Helvetica" w:hAnsi="Helvetica"/>
              </w:rPr>
              <w:t>0.985</w:t>
            </w:r>
          </w:p>
        </w:tc>
      </w:tr>
    </w:tbl>
    <w:p w14:paraId="119301BC" w14:textId="77777777" w:rsidR="00C07CE3" w:rsidRPr="008433C7" w:rsidRDefault="00C07CE3" w:rsidP="008433C7">
      <w:pPr>
        <w:jc w:val="both"/>
        <w:rPr>
          <w:rFonts w:ascii="Helvetica" w:hAnsi="Helvetica"/>
        </w:rPr>
      </w:pPr>
    </w:p>
    <w:p w14:paraId="4FB631E8" w14:textId="77777777" w:rsidR="00C07CE3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  <w:b/>
          <w:bCs/>
        </w:rPr>
        <w:t xml:space="preserve">Table S2. </w:t>
      </w:r>
      <w:r w:rsidRPr="008433C7">
        <w:rPr>
          <w:rFonts w:ascii="Helvetica" w:hAnsi="Helvetica"/>
        </w:rPr>
        <w:t>Hypotheses, tests and outcomes. Summary of four prespecified hypotheses (H1–H4), their primary statistical tests, point estimates, and outcomes from the pilot study.</w:t>
      </w:r>
    </w:p>
    <w:p w14:paraId="023FC615" w14:textId="77777777" w:rsidR="00F1544C" w:rsidRPr="008433C7" w:rsidRDefault="00F1544C" w:rsidP="008433C7">
      <w:pPr>
        <w:jc w:val="both"/>
        <w:rPr>
          <w:rFonts w:ascii="Helvetica" w:hAnsi="Helvetica"/>
        </w:rPr>
      </w:pPr>
    </w:p>
    <w:p w14:paraId="1BA57C5B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</w:rPr>
        <w:t>[</w:t>
      </w:r>
      <w:r w:rsidRPr="00F1544C">
        <w:rPr>
          <w:rFonts w:ascii="Helvetica" w:hAnsi="Helvetica"/>
          <w:i/>
          <w:iCs/>
        </w:rPr>
        <w:t>Detailed hypothesis table — see original supplementary document for full matrix layout</w:t>
      </w:r>
      <w:r w:rsidRPr="008433C7">
        <w:rPr>
          <w:rFonts w:ascii="Helvetica" w:hAnsi="Helvetica"/>
        </w:rPr>
        <w:t>]</w:t>
      </w:r>
    </w:p>
    <w:p w14:paraId="36A07831" w14:textId="77777777" w:rsidR="00C07CE3" w:rsidRPr="008433C7" w:rsidRDefault="00C07CE3" w:rsidP="008433C7">
      <w:pPr>
        <w:jc w:val="both"/>
        <w:rPr>
          <w:rFonts w:ascii="Helvetica" w:hAnsi="Helvetica"/>
        </w:rPr>
      </w:pPr>
    </w:p>
    <w:p w14:paraId="452FAE11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  <w:b/>
          <w:bCs/>
        </w:rPr>
        <w:t xml:space="preserve">Table S3. </w:t>
      </w:r>
      <w:r w:rsidRPr="008433C7">
        <w:rPr>
          <w:rFonts w:ascii="Helvetica" w:hAnsi="Helvetica"/>
        </w:rPr>
        <w:t>Design sensitivity for the replicated study. Bayesian assurance (expected power) for a one-sided test T5 &lt; T1 at α = 0.05, computed from 400 posterior draws of the pilot effect size. Variance components from within-plant replicates only; treat as an upper bound. Plan for eight plants per treatment.</w:t>
      </w:r>
    </w:p>
    <w:p w14:paraId="513599D7" w14:textId="77777777" w:rsidR="00C07CE3" w:rsidRDefault="00C07CE3" w:rsidP="008433C7">
      <w:pPr>
        <w:jc w:val="both"/>
        <w:rPr>
          <w:rFonts w:ascii="Helvetica" w:hAnsi="Helvetica"/>
        </w:rPr>
      </w:pPr>
    </w:p>
    <w:p w14:paraId="2DE56B4C" w14:textId="77777777" w:rsidR="00F1544C" w:rsidRPr="008433C7" w:rsidRDefault="00F1544C" w:rsidP="00F1544C">
      <w:pPr>
        <w:jc w:val="both"/>
        <w:rPr>
          <w:rFonts w:ascii="Helvetica" w:hAnsi="Helvetica"/>
        </w:rPr>
      </w:pPr>
      <w:r w:rsidRPr="008433C7">
        <w:rPr>
          <w:rFonts w:ascii="Helvetica" w:hAnsi="Helvetica"/>
        </w:rPr>
        <w:t>[</w:t>
      </w:r>
      <w:r w:rsidRPr="00F1544C">
        <w:rPr>
          <w:rFonts w:ascii="Helvetica" w:hAnsi="Helvetica"/>
          <w:i/>
          <w:iCs/>
        </w:rPr>
        <w:t>Detailed hypothesis table — see original supplementary document for full matrix layout</w:t>
      </w:r>
      <w:r w:rsidRPr="008433C7">
        <w:rPr>
          <w:rFonts w:ascii="Helvetica" w:hAnsi="Helvetica"/>
        </w:rPr>
        <w:t>]</w:t>
      </w:r>
    </w:p>
    <w:p w14:paraId="6A5DDC9D" w14:textId="77777777" w:rsidR="00F1544C" w:rsidRPr="008433C7" w:rsidRDefault="00F1544C" w:rsidP="008433C7">
      <w:pPr>
        <w:jc w:val="both"/>
        <w:rPr>
          <w:rFonts w:ascii="Helvetica" w:hAnsi="Helvetica"/>
        </w:rPr>
      </w:pPr>
    </w:p>
    <w:p w14:paraId="058AFACD" w14:textId="77777777" w:rsidR="00F1544C" w:rsidRDefault="00F1544C" w:rsidP="008433C7">
      <w:pPr>
        <w:pStyle w:val="Heading2"/>
        <w:jc w:val="both"/>
        <w:rPr>
          <w:rFonts w:ascii="Helvetica" w:hAnsi="Helvetica"/>
          <w:b/>
          <w:bCs/>
          <w:color w:val="auto"/>
          <w:sz w:val="24"/>
          <w:szCs w:val="24"/>
        </w:rPr>
      </w:pPr>
    </w:p>
    <w:p w14:paraId="105BBAE1" w14:textId="334F555F" w:rsidR="00C07CE3" w:rsidRDefault="00000000" w:rsidP="008433C7">
      <w:pPr>
        <w:pStyle w:val="Heading2"/>
        <w:jc w:val="both"/>
        <w:rPr>
          <w:rFonts w:ascii="Helvetica" w:hAnsi="Helvetica"/>
          <w:b/>
          <w:bCs/>
          <w:color w:val="auto"/>
          <w:sz w:val="24"/>
          <w:szCs w:val="24"/>
        </w:rPr>
      </w:pPr>
      <w:r w:rsidRPr="00F1544C">
        <w:rPr>
          <w:rFonts w:ascii="Helvetica" w:hAnsi="Helvetica"/>
          <w:b/>
          <w:bCs/>
          <w:color w:val="auto"/>
          <w:sz w:val="24"/>
          <w:szCs w:val="24"/>
        </w:rPr>
        <w:t>Notes on the Bayesian model</w:t>
      </w:r>
    </w:p>
    <w:p w14:paraId="675B3B82" w14:textId="77777777" w:rsidR="00F1544C" w:rsidRPr="00F1544C" w:rsidRDefault="00F1544C" w:rsidP="008433C7">
      <w:pPr>
        <w:pStyle w:val="Heading2"/>
        <w:jc w:val="both"/>
        <w:rPr>
          <w:rFonts w:ascii="Helvetica" w:hAnsi="Helvetica"/>
          <w:b/>
          <w:bCs/>
          <w:color w:val="auto"/>
          <w:sz w:val="24"/>
          <w:szCs w:val="24"/>
        </w:rPr>
      </w:pPr>
    </w:p>
    <w:p w14:paraId="2A1D0130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  <w:b/>
          <w:bCs/>
        </w:rPr>
        <w:t xml:space="preserve">Structure. </w:t>
      </w:r>
      <w:proofErr w:type="spellStart"/>
      <w:r w:rsidRPr="008433C7">
        <w:rPr>
          <w:rFonts w:ascii="Helvetica" w:hAnsi="Helvetica"/>
        </w:rPr>
        <w:t>A_std</w:t>
      </w:r>
      <w:proofErr w:type="spellEnd"/>
      <w:r w:rsidRPr="008433C7">
        <w:rPr>
          <w:rFonts w:ascii="Helvetica" w:hAnsi="Helvetica"/>
        </w:rPr>
        <w:t xml:space="preserve"> ~ Normal(b₀ + b₁·C, </w:t>
      </w:r>
      <w:proofErr w:type="spellStart"/>
      <w:r w:rsidRPr="008433C7">
        <w:rPr>
          <w:rFonts w:ascii="Helvetica" w:hAnsi="Helvetica"/>
        </w:rPr>
        <w:t>σ_cal</w:t>
      </w:r>
      <w:proofErr w:type="spellEnd"/>
      <w:r w:rsidRPr="008433C7">
        <w:rPr>
          <w:rFonts w:ascii="Helvetica" w:hAnsi="Helvetica"/>
        </w:rPr>
        <w:t xml:space="preserve">) fits calibration standards jointly with extract concentrations </w:t>
      </w:r>
      <w:proofErr w:type="spellStart"/>
      <w:r w:rsidRPr="008433C7">
        <w:rPr>
          <w:rFonts w:ascii="Helvetica" w:hAnsi="Helvetica"/>
        </w:rPr>
        <w:t>c_e</w:t>
      </w:r>
      <w:proofErr w:type="spellEnd"/>
      <w:r w:rsidRPr="008433C7">
        <w:rPr>
          <w:rFonts w:ascii="Helvetica" w:hAnsi="Helvetica"/>
        </w:rPr>
        <w:t xml:space="preserve"> ~ Normal(</w:t>
      </w:r>
      <w:proofErr w:type="spellStart"/>
      <w:r w:rsidRPr="008433C7">
        <w:rPr>
          <w:rFonts w:ascii="Helvetica" w:hAnsi="Helvetica"/>
        </w:rPr>
        <w:t>μ_level</w:t>
      </w:r>
      <w:proofErr w:type="spellEnd"/>
      <w:r w:rsidRPr="008433C7">
        <w:rPr>
          <w:rFonts w:ascii="Helvetica" w:hAnsi="Helvetica"/>
        </w:rPr>
        <w:t xml:space="preserve">, </w:t>
      </w:r>
      <w:proofErr w:type="spellStart"/>
      <w:r w:rsidRPr="008433C7">
        <w:rPr>
          <w:rFonts w:ascii="Helvetica" w:hAnsi="Helvetica"/>
        </w:rPr>
        <w:t>σ_ext</w:t>
      </w:r>
      <w:proofErr w:type="spellEnd"/>
      <w:r w:rsidRPr="008433C7">
        <w:rPr>
          <w:rFonts w:ascii="Helvetica" w:hAnsi="Helvetica"/>
        </w:rPr>
        <w:t xml:space="preserve">) and wells </w:t>
      </w:r>
      <w:proofErr w:type="spellStart"/>
      <w:r w:rsidRPr="008433C7">
        <w:rPr>
          <w:rFonts w:ascii="Helvetica" w:hAnsi="Helvetica"/>
        </w:rPr>
        <w:t>A_well</w:t>
      </w:r>
      <w:proofErr w:type="spellEnd"/>
      <w:r w:rsidRPr="008433C7">
        <w:rPr>
          <w:rFonts w:ascii="Helvetica" w:hAnsi="Helvetica"/>
        </w:rPr>
        <w:t xml:space="preserve"> ~ Student-t(ν = 4, b₀ + b₁·</w:t>
      </w:r>
      <w:proofErr w:type="spellStart"/>
      <w:r w:rsidRPr="008433C7">
        <w:rPr>
          <w:rFonts w:ascii="Helvetica" w:hAnsi="Helvetica"/>
        </w:rPr>
        <w:t>c_e</w:t>
      </w:r>
      <w:proofErr w:type="spellEnd"/>
      <w:r w:rsidRPr="008433C7">
        <w:rPr>
          <w:rFonts w:ascii="Helvetica" w:hAnsi="Helvetica"/>
        </w:rPr>
        <w:t xml:space="preserve">, </w:t>
      </w:r>
      <w:proofErr w:type="spellStart"/>
      <w:r w:rsidRPr="008433C7">
        <w:rPr>
          <w:rFonts w:ascii="Helvetica" w:hAnsi="Helvetica"/>
        </w:rPr>
        <w:t>σ_tech</w:t>
      </w:r>
      <w:proofErr w:type="spellEnd"/>
      <w:r w:rsidRPr="008433C7">
        <w:rPr>
          <w:rFonts w:ascii="Helvetica" w:hAnsi="Helvetica"/>
        </w:rPr>
        <w:t xml:space="preserve">). The Student-t likelihood </w:t>
      </w:r>
      <w:proofErr w:type="spellStart"/>
      <w:r w:rsidRPr="008433C7">
        <w:rPr>
          <w:rFonts w:ascii="Helvetica" w:hAnsi="Helvetica"/>
        </w:rPr>
        <w:t>robustifies</w:t>
      </w:r>
      <w:proofErr w:type="spellEnd"/>
      <w:r w:rsidRPr="008433C7">
        <w:rPr>
          <w:rFonts w:ascii="Helvetica" w:hAnsi="Helvetica"/>
        </w:rPr>
        <w:t xml:space="preserve"> against the T2.2 well D7. Non-centred parameterisation on the extract random effect avoided funnel geometry.</w:t>
      </w:r>
    </w:p>
    <w:p w14:paraId="35C351CD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  <w:b/>
          <w:bCs/>
        </w:rPr>
        <w:t xml:space="preserve">Diagnostics. </w:t>
      </w:r>
      <w:r w:rsidRPr="008433C7">
        <w:rPr>
          <w:rFonts w:ascii="Helvetica" w:hAnsi="Helvetica"/>
        </w:rPr>
        <w:t>Four chains × 3,000 draws. Cell-means: 0 divergences, R̂ ≤ 1.001, bulk ESS ≥ 2,543. Hinge: 0 divergences, ESS ≥ 3,660.</w:t>
      </w:r>
    </w:p>
    <w:p w14:paraId="2125E444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  <w:b/>
          <w:bCs/>
        </w:rPr>
        <w:t xml:space="preserve">Model comparison. </w:t>
      </w:r>
      <w:r w:rsidRPr="008433C7">
        <w:rPr>
          <w:rFonts w:ascii="Helvetica" w:hAnsi="Helvetica"/>
        </w:rPr>
        <w:t>PSIS-LOO: hinge (</w:t>
      </w:r>
      <w:proofErr w:type="spellStart"/>
      <w:r w:rsidRPr="008433C7">
        <w:rPr>
          <w:rFonts w:ascii="Helvetica" w:hAnsi="Helvetica"/>
        </w:rPr>
        <w:t>elpd</w:t>
      </w:r>
      <w:proofErr w:type="spellEnd"/>
      <w:r w:rsidRPr="008433C7">
        <w:rPr>
          <w:rFonts w:ascii="Helvetica" w:hAnsi="Helvetica"/>
        </w:rPr>
        <w:t xml:space="preserve"> 90.4) − linear (</w:t>
      </w:r>
      <w:proofErr w:type="spellStart"/>
      <w:r w:rsidRPr="008433C7">
        <w:rPr>
          <w:rFonts w:ascii="Helvetica" w:hAnsi="Helvetica"/>
        </w:rPr>
        <w:t>elpd</w:t>
      </w:r>
      <w:proofErr w:type="spellEnd"/>
      <w:r w:rsidRPr="008433C7">
        <w:rPr>
          <w:rFonts w:ascii="Helvetica" w:hAnsi="Helvetica"/>
        </w:rPr>
        <w:t xml:space="preserve"> 88.1) = ΔELPD 2.2 ± 1.2. Small-sample caveat applies.</w:t>
      </w:r>
    </w:p>
    <w:p w14:paraId="45B2C06C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  <w:b/>
          <w:bCs/>
        </w:rPr>
        <w:t xml:space="preserve">Variance components. </w:t>
      </w:r>
      <w:r w:rsidRPr="008433C7">
        <w:rPr>
          <w:rFonts w:ascii="Helvetica" w:hAnsi="Helvetica"/>
        </w:rPr>
        <w:t>Between-extract SD 17.0 µg g⁻¹ FW; technical SD 28.3. Most within-treatment variance is technical.</w:t>
      </w:r>
    </w:p>
    <w:p w14:paraId="758CC027" w14:textId="77777777" w:rsidR="00C07CE3" w:rsidRPr="008433C7" w:rsidRDefault="00C07CE3" w:rsidP="008433C7">
      <w:pPr>
        <w:jc w:val="both"/>
        <w:rPr>
          <w:rFonts w:ascii="Helvetica" w:hAnsi="Helvetica"/>
        </w:rPr>
      </w:pPr>
    </w:p>
    <w:p w14:paraId="33B49EF7" w14:textId="77777777" w:rsidR="00C07CE3" w:rsidRDefault="00000000" w:rsidP="008433C7">
      <w:pPr>
        <w:pStyle w:val="Heading2"/>
        <w:jc w:val="both"/>
        <w:rPr>
          <w:rFonts w:ascii="Helvetica" w:hAnsi="Helvetica"/>
          <w:b/>
          <w:bCs/>
          <w:color w:val="auto"/>
          <w:sz w:val="24"/>
          <w:szCs w:val="24"/>
        </w:rPr>
      </w:pPr>
      <w:r w:rsidRPr="00F1544C">
        <w:rPr>
          <w:rFonts w:ascii="Helvetica" w:hAnsi="Helvetica"/>
          <w:b/>
          <w:bCs/>
          <w:color w:val="auto"/>
          <w:sz w:val="24"/>
          <w:szCs w:val="24"/>
        </w:rPr>
        <w:t>Notes on the colour palette</w:t>
      </w:r>
    </w:p>
    <w:p w14:paraId="1C055D76" w14:textId="77777777" w:rsidR="00F1544C" w:rsidRPr="00F1544C" w:rsidRDefault="00F1544C" w:rsidP="008433C7">
      <w:pPr>
        <w:pStyle w:val="Heading2"/>
        <w:jc w:val="both"/>
        <w:rPr>
          <w:rFonts w:ascii="Helvetica" w:hAnsi="Helvetica"/>
          <w:b/>
          <w:bCs/>
          <w:color w:val="auto"/>
          <w:sz w:val="24"/>
          <w:szCs w:val="24"/>
        </w:rPr>
      </w:pPr>
    </w:p>
    <w:p w14:paraId="33433AE1" w14:textId="77777777" w:rsidR="00C07CE3" w:rsidRPr="008433C7" w:rsidRDefault="00000000" w:rsidP="008433C7">
      <w:pPr>
        <w:jc w:val="both"/>
        <w:rPr>
          <w:rFonts w:ascii="Helvetica" w:hAnsi="Helvetica"/>
        </w:rPr>
      </w:pPr>
      <w:r w:rsidRPr="008433C7">
        <w:rPr>
          <w:rFonts w:ascii="Helvetica" w:hAnsi="Helvetica"/>
        </w:rPr>
        <w:t>Five-level sequential palette: control T1 neutral grey (#6B6B6B); T2–T5 warm ramp (#F2A65A, #E07B39, #B8452A, #6E1F14). Luminance-ordered for deuteranopia, protanopia, tritanopia, and greyscale. Shape encoding: circle, square, triangle, diamond, inverted triangle. Signal-limited points hollow.</w:t>
      </w:r>
    </w:p>
    <w:sectPr w:rsidR="00C07CE3" w:rsidRPr="008433C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037D24"/>
    <w:multiLevelType w:val="hybridMultilevel"/>
    <w:tmpl w:val="677A269C"/>
    <w:lvl w:ilvl="0" w:tplc="B9382CE0">
      <w:start w:val="1"/>
      <w:numFmt w:val="bullet"/>
      <w:lvlText w:val="●"/>
      <w:lvlJc w:val="left"/>
      <w:pPr>
        <w:ind w:left="720" w:hanging="360"/>
      </w:pPr>
    </w:lvl>
    <w:lvl w:ilvl="1" w:tplc="DE889010">
      <w:start w:val="1"/>
      <w:numFmt w:val="bullet"/>
      <w:lvlText w:val="○"/>
      <w:lvlJc w:val="left"/>
      <w:pPr>
        <w:ind w:left="1440" w:hanging="360"/>
      </w:pPr>
    </w:lvl>
    <w:lvl w:ilvl="2" w:tplc="5FAC9F8A">
      <w:start w:val="1"/>
      <w:numFmt w:val="bullet"/>
      <w:lvlText w:val="■"/>
      <w:lvlJc w:val="left"/>
      <w:pPr>
        <w:ind w:left="2160" w:hanging="360"/>
      </w:pPr>
    </w:lvl>
    <w:lvl w:ilvl="3" w:tplc="0C9CFD3E">
      <w:start w:val="1"/>
      <w:numFmt w:val="bullet"/>
      <w:lvlText w:val="●"/>
      <w:lvlJc w:val="left"/>
      <w:pPr>
        <w:ind w:left="2880" w:hanging="360"/>
      </w:pPr>
    </w:lvl>
    <w:lvl w:ilvl="4" w:tplc="BEEE6BAC">
      <w:start w:val="1"/>
      <w:numFmt w:val="bullet"/>
      <w:lvlText w:val="○"/>
      <w:lvlJc w:val="left"/>
      <w:pPr>
        <w:ind w:left="3600" w:hanging="360"/>
      </w:pPr>
    </w:lvl>
    <w:lvl w:ilvl="5" w:tplc="00180AEA">
      <w:start w:val="1"/>
      <w:numFmt w:val="bullet"/>
      <w:lvlText w:val="■"/>
      <w:lvlJc w:val="left"/>
      <w:pPr>
        <w:ind w:left="4320" w:hanging="360"/>
      </w:pPr>
    </w:lvl>
    <w:lvl w:ilvl="6" w:tplc="273CB3FE">
      <w:start w:val="1"/>
      <w:numFmt w:val="bullet"/>
      <w:lvlText w:val="●"/>
      <w:lvlJc w:val="left"/>
      <w:pPr>
        <w:ind w:left="5040" w:hanging="360"/>
      </w:pPr>
    </w:lvl>
    <w:lvl w:ilvl="7" w:tplc="C16023C4">
      <w:start w:val="1"/>
      <w:numFmt w:val="bullet"/>
      <w:lvlText w:val="●"/>
      <w:lvlJc w:val="left"/>
      <w:pPr>
        <w:ind w:left="5760" w:hanging="360"/>
      </w:pPr>
    </w:lvl>
    <w:lvl w:ilvl="8" w:tplc="620A7328">
      <w:start w:val="1"/>
      <w:numFmt w:val="bullet"/>
      <w:lvlText w:val="●"/>
      <w:lvlJc w:val="left"/>
      <w:pPr>
        <w:ind w:left="6480" w:hanging="360"/>
      </w:pPr>
    </w:lvl>
  </w:abstractNum>
  <w:num w:numId="1" w16cid:durableId="12915970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CE3"/>
    <w:rsid w:val="00702273"/>
    <w:rsid w:val="008433C7"/>
    <w:rsid w:val="00C07CE3"/>
    <w:rsid w:val="00F1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1C10F89"/>
  <w15:docId w15:val="{26D185B3-A365-2544-AD2E-16200753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1830</Characters>
  <Application>Microsoft Office Word</Application>
  <DocSecurity>0</DocSecurity>
  <Lines>15</Lines>
  <Paragraphs>4</Paragraphs>
  <ScaleCrop>false</ScaleCrop>
  <Company>The Plant Holobiont Lab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Moroenyane, IP, Dr [imoroenyane@sun.ac.za]</cp:lastModifiedBy>
  <cp:revision>2</cp:revision>
  <dcterms:created xsi:type="dcterms:W3CDTF">2026-09-23T06:35:00Z</dcterms:created>
  <dcterms:modified xsi:type="dcterms:W3CDTF">2026-09-23T06:35:00Z</dcterms:modified>
</cp:coreProperties>
</file>