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B40FF" w14:textId="3C7D3097" w:rsidR="005C2CEA" w:rsidRDefault="00EC30E8" w:rsidP="005C2CEA">
      <w:pPr>
        <w:rPr>
          <w:rFonts w:ascii="Times New Roman" w:eastAsia="Times New Roman" w:hAnsi="Times New Roman" w:cs="Times New Roman"/>
          <w:b/>
          <w:bCs/>
        </w:rPr>
      </w:pPr>
      <w:r w:rsidRPr="00EC30E8">
        <w:rPr>
          <w:rFonts w:ascii="Times New Roman" w:eastAsia="Times New Roman" w:hAnsi="Times New Roman" w:cs="Times New Roman"/>
          <w:b/>
          <w:bCs/>
        </w:rPr>
        <w:t>Supplemental Materials</w:t>
      </w:r>
    </w:p>
    <w:sdt>
      <w:sdtPr>
        <w:rPr>
          <w:rFonts w:asciiTheme="minorHAnsi" w:eastAsiaTheme="minorHAnsi" w:hAnsiTheme="minorHAnsi" w:cstheme="minorBidi"/>
          <w:color w:val="auto"/>
          <w:kern w:val="2"/>
          <w:sz w:val="24"/>
          <w:szCs w:val="24"/>
          <w14:ligatures w14:val="standardContextual"/>
        </w:rPr>
        <w:id w:val="-167724533"/>
        <w:docPartObj>
          <w:docPartGallery w:val="Table of Contents"/>
          <w:docPartUnique/>
        </w:docPartObj>
      </w:sdtPr>
      <w:sdtEndPr>
        <w:rPr>
          <w:b/>
          <w:bCs/>
          <w:noProof/>
        </w:rPr>
      </w:sdtEndPr>
      <w:sdtContent>
        <w:p w14:paraId="3989B13A" w14:textId="0D68DAA8" w:rsidR="00666730" w:rsidRPr="005438C5" w:rsidRDefault="00666730">
          <w:pPr>
            <w:pStyle w:val="TOCHeading"/>
            <w:rPr>
              <w:rStyle w:val="Hyperlink"/>
              <w:rFonts w:ascii="Times New Roman" w:eastAsiaTheme="minorHAnsi" w:hAnsi="Times New Roman" w:cs="Times New Roman"/>
              <w:b/>
              <w:bCs/>
              <w:noProof/>
              <w:color w:val="auto"/>
              <w:kern w:val="2"/>
              <w:sz w:val="24"/>
              <w:szCs w:val="24"/>
              <w14:ligatures w14:val="standardContextual"/>
            </w:rPr>
          </w:pPr>
          <w:r w:rsidRPr="005438C5">
            <w:rPr>
              <w:rStyle w:val="Hyperlink"/>
              <w:rFonts w:ascii="Times New Roman" w:eastAsiaTheme="minorHAnsi" w:hAnsi="Times New Roman" w:cs="Times New Roman"/>
              <w:b/>
              <w:bCs/>
              <w:noProof/>
              <w:color w:val="auto"/>
              <w:kern w:val="2"/>
              <w:sz w:val="24"/>
              <w:szCs w:val="24"/>
              <w14:ligatures w14:val="standardContextual"/>
            </w:rPr>
            <w:t>Contents</w:t>
          </w:r>
        </w:p>
        <w:p w14:paraId="210BCC58" w14:textId="77777777" w:rsidR="00666730" w:rsidRPr="00666730" w:rsidRDefault="00666730" w:rsidP="00666730"/>
        <w:p w14:paraId="60E8DCC0" w14:textId="61ABC30D" w:rsidR="0017192C" w:rsidRDefault="00666730">
          <w:pPr>
            <w:pStyle w:val="TOC1"/>
            <w:tabs>
              <w:tab w:val="left" w:pos="480"/>
              <w:tab w:val="right" w:leader="dot" w:pos="9350"/>
            </w:tabs>
            <w:rPr>
              <w:rFonts w:eastAsiaTheme="minorEastAsia"/>
              <w:noProof/>
            </w:rPr>
          </w:pPr>
          <w:r>
            <w:fldChar w:fldCharType="begin"/>
          </w:r>
          <w:r>
            <w:instrText xml:space="preserve"> TOC \o "1-3" \h \z \u </w:instrText>
          </w:r>
          <w:r>
            <w:fldChar w:fldCharType="separate"/>
          </w:r>
          <w:hyperlink w:anchor="_Toc237678749" w:history="1">
            <w:r w:rsidR="0017192C" w:rsidRPr="000B31B8">
              <w:rPr>
                <w:rStyle w:val="Hyperlink"/>
                <w:rFonts w:ascii="Times New Roman" w:hAnsi="Times New Roman" w:cs="Times New Roman"/>
                <w:b/>
                <w:bCs/>
                <w:noProof/>
              </w:rPr>
              <w:t>1.</w:t>
            </w:r>
            <w:r w:rsidR="0017192C">
              <w:rPr>
                <w:rFonts w:eastAsiaTheme="minorEastAsia"/>
                <w:noProof/>
              </w:rPr>
              <w:tab/>
            </w:r>
            <w:r w:rsidR="0017192C" w:rsidRPr="000B31B8">
              <w:rPr>
                <w:rStyle w:val="Hyperlink"/>
                <w:rFonts w:ascii="Times New Roman" w:hAnsi="Times New Roman" w:cs="Times New Roman"/>
                <w:b/>
                <w:bCs/>
                <w:noProof/>
              </w:rPr>
              <w:t>Supplementary Methods overview and scenario design</w:t>
            </w:r>
            <w:r w:rsidR="0017192C">
              <w:rPr>
                <w:noProof/>
                <w:webHidden/>
              </w:rPr>
              <w:tab/>
            </w:r>
            <w:r w:rsidR="0017192C">
              <w:rPr>
                <w:noProof/>
                <w:webHidden/>
              </w:rPr>
              <w:fldChar w:fldCharType="begin"/>
            </w:r>
            <w:r w:rsidR="0017192C">
              <w:rPr>
                <w:noProof/>
                <w:webHidden/>
              </w:rPr>
              <w:instrText xml:space="preserve"> PAGEREF _Toc237678749 \h </w:instrText>
            </w:r>
            <w:r w:rsidR="0017192C">
              <w:rPr>
                <w:noProof/>
                <w:webHidden/>
              </w:rPr>
            </w:r>
            <w:r w:rsidR="0017192C">
              <w:rPr>
                <w:noProof/>
                <w:webHidden/>
              </w:rPr>
              <w:fldChar w:fldCharType="separate"/>
            </w:r>
            <w:r w:rsidR="0017192C">
              <w:rPr>
                <w:noProof/>
                <w:webHidden/>
              </w:rPr>
              <w:t>2</w:t>
            </w:r>
            <w:r w:rsidR="0017192C">
              <w:rPr>
                <w:noProof/>
                <w:webHidden/>
              </w:rPr>
              <w:fldChar w:fldCharType="end"/>
            </w:r>
          </w:hyperlink>
        </w:p>
        <w:p w14:paraId="6069AE0E" w14:textId="1E360485" w:rsidR="0017192C" w:rsidRDefault="0017192C">
          <w:pPr>
            <w:pStyle w:val="TOC1"/>
            <w:tabs>
              <w:tab w:val="left" w:pos="480"/>
              <w:tab w:val="right" w:leader="dot" w:pos="9350"/>
            </w:tabs>
            <w:rPr>
              <w:rFonts w:eastAsiaTheme="minorEastAsia"/>
              <w:noProof/>
            </w:rPr>
          </w:pPr>
          <w:hyperlink w:anchor="_Toc237678750" w:history="1">
            <w:r w:rsidRPr="000B31B8">
              <w:rPr>
                <w:rStyle w:val="Hyperlink"/>
                <w:rFonts w:ascii="Times New Roman" w:hAnsi="Times New Roman" w:cs="Times New Roman"/>
                <w:b/>
                <w:bCs/>
                <w:noProof/>
              </w:rPr>
              <w:t>2.</w:t>
            </w:r>
            <w:r>
              <w:rPr>
                <w:rFonts w:eastAsiaTheme="minorEastAsia"/>
                <w:noProof/>
              </w:rPr>
              <w:tab/>
            </w:r>
            <w:r w:rsidRPr="000B31B8">
              <w:rPr>
                <w:rStyle w:val="Hyperlink"/>
                <w:rFonts w:ascii="Times New Roman" w:hAnsi="Times New Roman" w:cs="Times New Roman"/>
                <w:b/>
                <w:bCs/>
                <w:noProof/>
              </w:rPr>
              <w:t>Projected active GLP-1 treatment prevalence.</w:t>
            </w:r>
            <w:r>
              <w:rPr>
                <w:noProof/>
                <w:webHidden/>
              </w:rPr>
              <w:tab/>
            </w:r>
            <w:r>
              <w:rPr>
                <w:noProof/>
                <w:webHidden/>
              </w:rPr>
              <w:fldChar w:fldCharType="begin"/>
            </w:r>
            <w:r>
              <w:rPr>
                <w:noProof/>
                <w:webHidden/>
              </w:rPr>
              <w:instrText xml:space="preserve"> PAGEREF _Toc237678750 \h </w:instrText>
            </w:r>
            <w:r>
              <w:rPr>
                <w:noProof/>
                <w:webHidden/>
              </w:rPr>
            </w:r>
            <w:r>
              <w:rPr>
                <w:noProof/>
                <w:webHidden/>
              </w:rPr>
              <w:fldChar w:fldCharType="separate"/>
            </w:r>
            <w:r>
              <w:rPr>
                <w:noProof/>
                <w:webHidden/>
              </w:rPr>
              <w:t>4</w:t>
            </w:r>
            <w:r>
              <w:rPr>
                <w:noProof/>
                <w:webHidden/>
              </w:rPr>
              <w:fldChar w:fldCharType="end"/>
            </w:r>
          </w:hyperlink>
        </w:p>
        <w:p w14:paraId="51473609" w14:textId="6442F32A" w:rsidR="0017192C" w:rsidRDefault="0017192C">
          <w:pPr>
            <w:pStyle w:val="TOC1"/>
            <w:tabs>
              <w:tab w:val="left" w:pos="480"/>
              <w:tab w:val="right" w:leader="dot" w:pos="9350"/>
            </w:tabs>
            <w:rPr>
              <w:rFonts w:eastAsiaTheme="minorEastAsia"/>
              <w:noProof/>
            </w:rPr>
          </w:pPr>
          <w:hyperlink w:anchor="_Toc237678751" w:history="1">
            <w:r w:rsidRPr="000B31B8">
              <w:rPr>
                <w:rStyle w:val="Hyperlink"/>
                <w:rFonts w:ascii="Times New Roman" w:hAnsi="Times New Roman" w:cs="Times New Roman"/>
                <w:b/>
                <w:bCs/>
                <w:noProof/>
              </w:rPr>
              <w:t>3.</w:t>
            </w:r>
            <w:r>
              <w:rPr>
                <w:rFonts w:eastAsiaTheme="minorEastAsia"/>
                <w:noProof/>
              </w:rPr>
              <w:tab/>
            </w:r>
            <w:r w:rsidRPr="000B31B8">
              <w:rPr>
                <w:rStyle w:val="Hyperlink"/>
                <w:rFonts w:ascii="Times New Roman" w:hAnsi="Times New Roman" w:cs="Times New Roman"/>
                <w:b/>
                <w:bCs/>
                <w:noProof/>
              </w:rPr>
              <w:t>Definition of Outcome Variables</w:t>
            </w:r>
            <w:r>
              <w:rPr>
                <w:noProof/>
                <w:webHidden/>
              </w:rPr>
              <w:tab/>
            </w:r>
            <w:r>
              <w:rPr>
                <w:noProof/>
                <w:webHidden/>
              </w:rPr>
              <w:fldChar w:fldCharType="begin"/>
            </w:r>
            <w:r>
              <w:rPr>
                <w:noProof/>
                <w:webHidden/>
              </w:rPr>
              <w:instrText xml:space="preserve"> PAGEREF _Toc237678751 \h </w:instrText>
            </w:r>
            <w:r>
              <w:rPr>
                <w:noProof/>
                <w:webHidden/>
              </w:rPr>
            </w:r>
            <w:r>
              <w:rPr>
                <w:noProof/>
                <w:webHidden/>
              </w:rPr>
              <w:fldChar w:fldCharType="separate"/>
            </w:r>
            <w:r>
              <w:rPr>
                <w:noProof/>
                <w:webHidden/>
              </w:rPr>
              <w:t>7</w:t>
            </w:r>
            <w:r>
              <w:rPr>
                <w:noProof/>
                <w:webHidden/>
              </w:rPr>
              <w:fldChar w:fldCharType="end"/>
            </w:r>
          </w:hyperlink>
        </w:p>
        <w:p w14:paraId="33F0E723" w14:textId="3F2C8235" w:rsidR="0017192C" w:rsidRDefault="0017192C">
          <w:pPr>
            <w:pStyle w:val="TOC1"/>
            <w:tabs>
              <w:tab w:val="left" w:pos="480"/>
              <w:tab w:val="right" w:leader="dot" w:pos="9350"/>
            </w:tabs>
            <w:rPr>
              <w:rFonts w:eastAsiaTheme="minorEastAsia"/>
              <w:noProof/>
            </w:rPr>
          </w:pPr>
          <w:hyperlink w:anchor="_Toc237678752" w:history="1">
            <w:r w:rsidRPr="000B31B8">
              <w:rPr>
                <w:rStyle w:val="Hyperlink"/>
                <w:rFonts w:ascii="Times New Roman" w:hAnsi="Times New Roman" w:cs="Times New Roman"/>
                <w:b/>
                <w:bCs/>
                <w:noProof/>
              </w:rPr>
              <w:t>4.</w:t>
            </w:r>
            <w:r>
              <w:rPr>
                <w:rFonts w:eastAsiaTheme="minorEastAsia"/>
                <w:noProof/>
              </w:rPr>
              <w:tab/>
            </w:r>
            <w:r w:rsidRPr="000B31B8">
              <w:rPr>
                <w:rStyle w:val="Hyperlink"/>
                <w:rFonts w:ascii="Times New Roman" w:hAnsi="Times New Roman" w:cs="Times New Roman"/>
                <w:b/>
                <w:bCs/>
                <w:noProof/>
              </w:rPr>
              <w:t>Sensitivity Analysis Under Low and High Diffusion Pathways</w:t>
            </w:r>
            <w:r>
              <w:rPr>
                <w:noProof/>
                <w:webHidden/>
              </w:rPr>
              <w:tab/>
            </w:r>
            <w:r>
              <w:rPr>
                <w:noProof/>
                <w:webHidden/>
              </w:rPr>
              <w:fldChar w:fldCharType="begin"/>
            </w:r>
            <w:r>
              <w:rPr>
                <w:noProof/>
                <w:webHidden/>
              </w:rPr>
              <w:instrText xml:space="preserve"> PAGEREF _Toc237678752 \h </w:instrText>
            </w:r>
            <w:r>
              <w:rPr>
                <w:noProof/>
                <w:webHidden/>
              </w:rPr>
            </w:r>
            <w:r>
              <w:rPr>
                <w:noProof/>
                <w:webHidden/>
              </w:rPr>
              <w:fldChar w:fldCharType="separate"/>
            </w:r>
            <w:r>
              <w:rPr>
                <w:noProof/>
                <w:webHidden/>
              </w:rPr>
              <w:t>8</w:t>
            </w:r>
            <w:r>
              <w:rPr>
                <w:noProof/>
                <w:webHidden/>
              </w:rPr>
              <w:fldChar w:fldCharType="end"/>
            </w:r>
          </w:hyperlink>
        </w:p>
        <w:p w14:paraId="3BE00AD3" w14:textId="79A6D2AB" w:rsidR="0017192C" w:rsidRDefault="0017192C">
          <w:pPr>
            <w:pStyle w:val="TOC1"/>
            <w:tabs>
              <w:tab w:val="left" w:pos="480"/>
              <w:tab w:val="right" w:leader="dot" w:pos="9350"/>
            </w:tabs>
            <w:rPr>
              <w:rFonts w:eastAsiaTheme="minorEastAsia"/>
              <w:noProof/>
            </w:rPr>
          </w:pPr>
          <w:hyperlink w:anchor="_Toc237678753" w:history="1">
            <w:r w:rsidRPr="000B31B8">
              <w:rPr>
                <w:rStyle w:val="Hyperlink"/>
                <w:rFonts w:ascii="Times New Roman" w:hAnsi="Times New Roman" w:cs="Times New Roman"/>
                <w:b/>
                <w:bCs/>
                <w:noProof/>
              </w:rPr>
              <w:t>5.</w:t>
            </w:r>
            <w:r>
              <w:rPr>
                <w:rFonts w:eastAsiaTheme="minorEastAsia"/>
                <w:noProof/>
              </w:rPr>
              <w:tab/>
            </w:r>
            <w:r w:rsidRPr="000B31B8">
              <w:rPr>
                <w:rStyle w:val="Hyperlink"/>
                <w:rFonts w:ascii="Times New Roman" w:hAnsi="Times New Roman" w:cs="Times New Roman"/>
                <w:b/>
                <w:bCs/>
                <w:noProof/>
              </w:rPr>
              <w:t>GLP-1 induced dietary responses and food-demand pathways</w:t>
            </w:r>
            <w:r>
              <w:rPr>
                <w:noProof/>
                <w:webHidden/>
              </w:rPr>
              <w:tab/>
            </w:r>
            <w:r>
              <w:rPr>
                <w:noProof/>
                <w:webHidden/>
              </w:rPr>
              <w:fldChar w:fldCharType="begin"/>
            </w:r>
            <w:r>
              <w:rPr>
                <w:noProof/>
                <w:webHidden/>
              </w:rPr>
              <w:instrText xml:space="preserve"> PAGEREF _Toc237678753 \h </w:instrText>
            </w:r>
            <w:r>
              <w:rPr>
                <w:noProof/>
                <w:webHidden/>
              </w:rPr>
            </w:r>
            <w:r>
              <w:rPr>
                <w:noProof/>
                <w:webHidden/>
              </w:rPr>
              <w:fldChar w:fldCharType="separate"/>
            </w:r>
            <w:r>
              <w:rPr>
                <w:noProof/>
                <w:webHidden/>
              </w:rPr>
              <w:t>17</w:t>
            </w:r>
            <w:r>
              <w:rPr>
                <w:noProof/>
                <w:webHidden/>
              </w:rPr>
              <w:fldChar w:fldCharType="end"/>
            </w:r>
          </w:hyperlink>
        </w:p>
        <w:p w14:paraId="1D0C03B7" w14:textId="0B03B0A6" w:rsidR="0017192C" w:rsidRDefault="0017192C">
          <w:pPr>
            <w:pStyle w:val="TOC1"/>
            <w:tabs>
              <w:tab w:val="left" w:pos="480"/>
              <w:tab w:val="right" w:leader="dot" w:pos="9350"/>
            </w:tabs>
            <w:rPr>
              <w:rFonts w:eastAsiaTheme="minorEastAsia"/>
              <w:noProof/>
            </w:rPr>
          </w:pPr>
          <w:hyperlink w:anchor="_Toc237678754" w:history="1">
            <w:r w:rsidRPr="000B31B8">
              <w:rPr>
                <w:rStyle w:val="Hyperlink"/>
                <w:rFonts w:ascii="Times New Roman" w:hAnsi="Times New Roman" w:cs="Times New Roman"/>
                <w:b/>
                <w:bCs/>
                <w:noProof/>
              </w:rPr>
              <w:t>6.</w:t>
            </w:r>
            <w:r>
              <w:rPr>
                <w:rFonts w:eastAsiaTheme="minorEastAsia"/>
                <w:noProof/>
              </w:rPr>
              <w:tab/>
            </w:r>
            <w:r w:rsidRPr="000B31B8">
              <w:rPr>
                <w:rStyle w:val="Hyperlink"/>
                <w:rFonts w:ascii="Times New Roman" w:hAnsi="Times New Roman" w:cs="Times New Roman"/>
                <w:b/>
                <w:bCs/>
                <w:noProof/>
              </w:rPr>
              <w:t>Bayesian Estimation of the Generalized Bass Model</w:t>
            </w:r>
            <w:r>
              <w:rPr>
                <w:noProof/>
                <w:webHidden/>
              </w:rPr>
              <w:tab/>
            </w:r>
            <w:r>
              <w:rPr>
                <w:noProof/>
                <w:webHidden/>
              </w:rPr>
              <w:fldChar w:fldCharType="begin"/>
            </w:r>
            <w:r>
              <w:rPr>
                <w:noProof/>
                <w:webHidden/>
              </w:rPr>
              <w:instrText xml:space="preserve"> PAGEREF _Toc237678754 \h </w:instrText>
            </w:r>
            <w:r>
              <w:rPr>
                <w:noProof/>
                <w:webHidden/>
              </w:rPr>
            </w:r>
            <w:r>
              <w:rPr>
                <w:noProof/>
                <w:webHidden/>
              </w:rPr>
              <w:fldChar w:fldCharType="separate"/>
            </w:r>
            <w:r>
              <w:rPr>
                <w:noProof/>
                <w:webHidden/>
              </w:rPr>
              <w:t>20</w:t>
            </w:r>
            <w:r>
              <w:rPr>
                <w:noProof/>
                <w:webHidden/>
              </w:rPr>
              <w:fldChar w:fldCharType="end"/>
            </w:r>
          </w:hyperlink>
        </w:p>
        <w:p w14:paraId="70F74CC2" w14:textId="3C69AAF5" w:rsidR="0017192C" w:rsidRDefault="0017192C">
          <w:pPr>
            <w:pStyle w:val="TOC1"/>
            <w:tabs>
              <w:tab w:val="left" w:pos="720"/>
              <w:tab w:val="right" w:leader="dot" w:pos="9350"/>
            </w:tabs>
            <w:rPr>
              <w:rFonts w:eastAsiaTheme="minorEastAsia"/>
              <w:noProof/>
            </w:rPr>
          </w:pPr>
          <w:hyperlink w:anchor="_Toc237678755" w:history="1">
            <w:r w:rsidRPr="000B31B8">
              <w:rPr>
                <w:rStyle w:val="Hyperlink"/>
                <w:rFonts w:ascii="Times New Roman" w:hAnsi="Times New Roman" w:cs="Times New Roman"/>
                <w:b/>
                <w:bCs/>
                <w:noProof/>
              </w:rPr>
              <w:t>6.1.</w:t>
            </w:r>
            <w:r>
              <w:rPr>
                <w:rFonts w:eastAsiaTheme="minorEastAsia"/>
                <w:noProof/>
              </w:rPr>
              <w:tab/>
            </w:r>
            <w:r w:rsidRPr="000B31B8">
              <w:rPr>
                <w:rStyle w:val="Hyperlink"/>
                <w:rFonts w:ascii="Times New Roman" w:hAnsi="Times New Roman" w:cs="Times New Roman"/>
                <w:b/>
                <w:bCs/>
                <w:noProof/>
              </w:rPr>
              <w:t>The standard Bass model and its closed-form solution</w:t>
            </w:r>
            <w:r>
              <w:rPr>
                <w:noProof/>
                <w:webHidden/>
              </w:rPr>
              <w:tab/>
            </w:r>
            <w:r>
              <w:rPr>
                <w:noProof/>
                <w:webHidden/>
              </w:rPr>
              <w:fldChar w:fldCharType="begin"/>
            </w:r>
            <w:r>
              <w:rPr>
                <w:noProof/>
                <w:webHidden/>
              </w:rPr>
              <w:instrText xml:space="preserve"> PAGEREF _Toc237678755 \h </w:instrText>
            </w:r>
            <w:r>
              <w:rPr>
                <w:noProof/>
                <w:webHidden/>
              </w:rPr>
            </w:r>
            <w:r>
              <w:rPr>
                <w:noProof/>
                <w:webHidden/>
              </w:rPr>
              <w:fldChar w:fldCharType="separate"/>
            </w:r>
            <w:r>
              <w:rPr>
                <w:noProof/>
                <w:webHidden/>
              </w:rPr>
              <w:t>21</w:t>
            </w:r>
            <w:r>
              <w:rPr>
                <w:noProof/>
                <w:webHidden/>
              </w:rPr>
              <w:fldChar w:fldCharType="end"/>
            </w:r>
          </w:hyperlink>
        </w:p>
        <w:p w14:paraId="5A48A10A" w14:textId="1B9A4196" w:rsidR="0017192C" w:rsidRDefault="0017192C">
          <w:pPr>
            <w:pStyle w:val="TOC1"/>
            <w:tabs>
              <w:tab w:val="left" w:pos="720"/>
              <w:tab w:val="right" w:leader="dot" w:pos="9350"/>
            </w:tabs>
            <w:rPr>
              <w:rFonts w:eastAsiaTheme="minorEastAsia"/>
              <w:noProof/>
            </w:rPr>
          </w:pPr>
          <w:hyperlink w:anchor="_Toc237678756" w:history="1">
            <w:r w:rsidRPr="000B31B8">
              <w:rPr>
                <w:rStyle w:val="Hyperlink"/>
                <w:rFonts w:ascii="Times New Roman" w:hAnsi="Times New Roman" w:cs="Times New Roman"/>
                <w:b/>
                <w:bCs/>
                <w:noProof/>
              </w:rPr>
              <w:t>6.2.</w:t>
            </w:r>
            <w:r>
              <w:rPr>
                <w:rFonts w:eastAsiaTheme="minorEastAsia"/>
                <w:noProof/>
              </w:rPr>
              <w:tab/>
            </w:r>
            <w:r w:rsidRPr="000B31B8">
              <w:rPr>
                <w:rStyle w:val="Hyperlink"/>
                <w:rFonts w:ascii="Times New Roman" w:hAnsi="Times New Roman" w:cs="Times New Roman"/>
                <w:b/>
                <w:bCs/>
                <w:noProof/>
              </w:rPr>
              <w:t>The Generalized Bass Model and the Cumulative Adoption Function</w:t>
            </w:r>
            <w:r>
              <w:rPr>
                <w:noProof/>
                <w:webHidden/>
              </w:rPr>
              <w:tab/>
            </w:r>
            <w:r>
              <w:rPr>
                <w:noProof/>
                <w:webHidden/>
              </w:rPr>
              <w:fldChar w:fldCharType="begin"/>
            </w:r>
            <w:r>
              <w:rPr>
                <w:noProof/>
                <w:webHidden/>
              </w:rPr>
              <w:instrText xml:space="preserve"> PAGEREF _Toc237678756 \h </w:instrText>
            </w:r>
            <w:r>
              <w:rPr>
                <w:noProof/>
                <w:webHidden/>
              </w:rPr>
            </w:r>
            <w:r>
              <w:rPr>
                <w:noProof/>
                <w:webHidden/>
              </w:rPr>
              <w:fldChar w:fldCharType="separate"/>
            </w:r>
            <w:r>
              <w:rPr>
                <w:noProof/>
                <w:webHidden/>
              </w:rPr>
              <w:t>22</w:t>
            </w:r>
            <w:r>
              <w:rPr>
                <w:noProof/>
                <w:webHidden/>
              </w:rPr>
              <w:fldChar w:fldCharType="end"/>
            </w:r>
          </w:hyperlink>
        </w:p>
        <w:p w14:paraId="2F56F27F" w14:textId="41140BFA" w:rsidR="0017192C" w:rsidRDefault="0017192C">
          <w:pPr>
            <w:pStyle w:val="TOC1"/>
            <w:tabs>
              <w:tab w:val="left" w:pos="720"/>
              <w:tab w:val="right" w:leader="dot" w:pos="9350"/>
            </w:tabs>
            <w:rPr>
              <w:rFonts w:eastAsiaTheme="minorEastAsia"/>
              <w:noProof/>
            </w:rPr>
          </w:pPr>
          <w:hyperlink w:anchor="_Toc237678757" w:history="1">
            <w:r w:rsidRPr="000B31B8">
              <w:rPr>
                <w:rStyle w:val="Hyperlink"/>
                <w:rFonts w:ascii="Times New Roman" w:hAnsi="Times New Roman" w:cs="Times New Roman"/>
                <w:b/>
                <w:bCs/>
                <w:noProof/>
              </w:rPr>
              <w:t>6.3.</w:t>
            </w:r>
            <w:r>
              <w:rPr>
                <w:rFonts w:eastAsiaTheme="minorEastAsia"/>
                <w:noProof/>
              </w:rPr>
              <w:tab/>
            </w:r>
            <w:r w:rsidRPr="000B31B8">
              <w:rPr>
                <w:rStyle w:val="Hyperlink"/>
                <w:rFonts w:ascii="Times New Roman" w:hAnsi="Times New Roman" w:cs="Times New Roman"/>
                <w:b/>
                <w:bCs/>
                <w:noProof/>
              </w:rPr>
              <w:t>Construction of the market potential and market-effort variables</w:t>
            </w:r>
            <w:r>
              <w:rPr>
                <w:noProof/>
                <w:webHidden/>
              </w:rPr>
              <w:tab/>
            </w:r>
            <w:r>
              <w:rPr>
                <w:noProof/>
                <w:webHidden/>
              </w:rPr>
              <w:fldChar w:fldCharType="begin"/>
            </w:r>
            <w:r>
              <w:rPr>
                <w:noProof/>
                <w:webHidden/>
              </w:rPr>
              <w:instrText xml:space="preserve"> PAGEREF _Toc237678757 \h </w:instrText>
            </w:r>
            <w:r>
              <w:rPr>
                <w:noProof/>
                <w:webHidden/>
              </w:rPr>
            </w:r>
            <w:r>
              <w:rPr>
                <w:noProof/>
                <w:webHidden/>
              </w:rPr>
              <w:fldChar w:fldCharType="separate"/>
            </w:r>
            <w:r>
              <w:rPr>
                <w:noProof/>
                <w:webHidden/>
              </w:rPr>
              <w:t>23</w:t>
            </w:r>
            <w:r>
              <w:rPr>
                <w:noProof/>
                <w:webHidden/>
              </w:rPr>
              <w:fldChar w:fldCharType="end"/>
            </w:r>
          </w:hyperlink>
        </w:p>
        <w:p w14:paraId="35A1C143" w14:textId="0C099083" w:rsidR="0017192C" w:rsidRDefault="0017192C">
          <w:pPr>
            <w:pStyle w:val="TOC1"/>
            <w:tabs>
              <w:tab w:val="left" w:pos="720"/>
              <w:tab w:val="right" w:leader="dot" w:pos="9350"/>
            </w:tabs>
            <w:rPr>
              <w:rFonts w:eastAsiaTheme="minorEastAsia"/>
              <w:noProof/>
            </w:rPr>
          </w:pPr>
          <w:hyperlink w:anchor="_Toc237678758" w:history="1">
            <w:r w:rsidRPr="000B31B8">
              <w:rPr>
                <w:rStyle w:val="Hyperlink"/>
                <w:rFonts w:ascii="Times New Roman" w:hAnsi="Times New Roman" w:cs="Times New Roman"/>
                <w:b/>
                <w:bCs/>
                <w:noProof/>
              </w:rPr>
              <w:t>6.4.</w:t>
            </w:r>
            <w:r>
              <w:rPr>
                <w:rFonts w:eastAsiaTheme="minorEastAsia"/>
                <w:noProof/>
              </w:rPr>
              <w:tab/>
            </w:r>
            <w:r w:rsidRPr="000B31B8">
              <w:rPr>
                <w:rStyle w:val="Hyperlink"/>
                <w:rFonts w:ascii="Times New Roman" w:hAnsi="Times New Roman" w:cs="Times New Roman"/>
                <w:b/>
                <w:bCs/>
                <w:noProof/>
              </w:rPr>
              <w:t>Likelihood, prior distributions, and posterior</w:t>
            </w:r>
            <w:r>
              <w:rPr>
                <w:noProof/>
                <w:webHidden/>
              </w:rPr>
              <w:tab/>
            </w:r>
            <w:r>
              <w:rPr>
                <w:noProof/>
                <w:webHidden/>
              </w:rPr>
              <w:fldChar w:fldCharType="begin"/>
            </w:r>
            <w:r>
              <w:rPr>
                <w:noProof/>
                <w:webHidden/>
              </w:rPr>
              <w:instrText xml:space="preserve"> PAGEREF _Toc237678758 \h </w:instrText>
            </w:r>
            <w:r>
              <w:rPr>
                <w:noProof/>
                <w:webHidden/>
              </w:rPr>
            </w:r>
            <w:r>
              <w:rPr>
                <w:noProof/>
                <w:webHidden/>
              </w:rPr>
              <w:fldChar w:fldCharType="separate"/>
            </w:r>
            <w:r>
              <w:rPr>
                <w:noProof/>
                <w:webHidden/>
              </w:rPr>
              <w:t>38</w:t>
            </w:r>
            <w:r>
              <w:rPr>
                <w:noProof/>
                <w:webHidden/>
              </w:rPr>
              <w:fldChar w:fldCharType="end"/>
            </w:r>
          </w:hyperlink>
        </w:p>
        <w:p w14:paraId="197FF9FD" w14:textId="36EA9B94" w:rsidR="0017192C" w:rsidRDefault="0017192C">
          <w:pPr>
            <w:pStyle w:val="TOC1"/>
            <w:tabs>
              <w:tab w:val="left" w:pos="720"/>
              <w:tab w:val="right" w:leader="dot" w:pos="9350"/>
            </w:tabs>
            <w:rPr>
              <w:rFonts w:eastAsiaTheme="minorEastAsia"/>
              <w:noProof/>
            </w:rPr>
          </w:pPr>
          <w:hyperlink w:anchor="_Toc237678759" w:history="1">
            <w:r w:rsidRPr="000B31B8">
              <w:rPr>
                <w:rStyle w:val="Hyperlink"/>
                <w:rFonts w:ascii="Times New Roman" w:hAnsi="Times New Roman" w:cs="Times New Roman"/>
                <w:b/>
                <w:bCs/>
                <w:noProof/>
              </w:rPr>
              <w:t>6.5.</w:t>
            </w:r>
            <w:r>
              <w:rPr>
                <w:rFonts w:eastAsiaTheme="minorEastAsia"/>
                <w:noProof/>
              </w:rPr>
              <w:tab/>
            </w:r>
            <w:r w:rsidRPr="000B31B8">
              <w:rPr>
                <w:rStyle w:val="Hyperlink"/>
                <w:rFonts w:ascii="Times New Roman" w:hAnsi="Times New Roman" w:cs="Times New Roman"/>
                <w:b/>
                <w:bCs/>
                <w:noProof/>
              </w:rPr>
              <w:t>Historical Data and Parameters of Innovation and Imitation</w:t>
            </w:r>
            <w:r>
              <w:rPr>
                <w:noProof/>
                <w:webHidden/>
              </w:rPr>
              <w:tab/>
            </w:r>
            <w:r>
              <w:rPr>
                <w:noProof/>
                <w:webHidden/>
              </w:rPr>
              <w:fldChar w:fldCharType="begin"/>
            </w:r>
            <w:r>
              <w:rPr>
                <w:noProof/>
                <w:webHidden/>
              </w:rPr>
              <w:instrText xml:space="preserve"> PAGEREF _Toc237678759 \h </w:instrText>
            </w:r>
            <w:r>
              <w:rPr>
                <w:noProof/>
                <w:webHidden/>
              </w:rPr>
            </w:r>
            <w:r>
              <w:rPr>
                <w:noProof/>
                <w:webHidden/>
              </w:rPr>
              <w:fldChar w:fldCharType="separate"/>
            </w:r>
            <w:r>
              <w:rPr>
                <w:noProof/>
                <w:webHidden/>
              </w:rPr>
              <w:t>39</w:t>
            </w:r>
            <w:r>
              <w:rPr>
                <w:noProof/>
                <w:webHidden/>
              </w:rPr>
              <w:fldChar w:fldCharType="end"/>
            </w:r>
          </w:hyperlink>
        </w:p>
        <w:p w14:paraId="5DA61FCC" w14:textId="21706B26" w:rsidR="0017192C" w:rsidRDefault="0017192C">
          <w:pPr>
            <w:pStyle w:val="TOC1"/>
            <w:tabs>
              <w:tab w:val="left" w:pos="720"/>
              <w:tab w:val="right" w:leader="dot" w:pos="9350"/>
            </w:tabs>
            <w:rPr>
              <w:rFonts w:eastAsiaTheme="minorEastAsia"/>
              <w:noProof/>
            </w:rPr>
          </w:pPr>
          <w:hyperlink w:anchor="_Toc237678760" w:history="1">
            <w:r w:rsidRPr="000B31B8">
              <w:rPr>
                <w:rStyle w:val="Hyperlink"/>
                <w:rFonts w:ascii="Times New Roman" w:hAnsi="Times New Roman" w:cs="Times New Roman"/>
                <w:b/>
                <w:bCs/>
                <w:noProof/>
              </w:rPr>
              <w:t>6.6.</w:t>
            </w:r>
            <w:r>
              <w:rPr>
                <w:rFonts w:eastAsiaTheme="minorEastAsia"/>
                <w:noProof/>
              </w:rPr>
              <w:tab/>
            </w:r>
            <w:r w:rsidRPr="000B31B8">
              <w:rPr>
                <w:rStyle w:val="Hyperlink"/>
                <w:rFonts w:ascii="Times New Roman" w:hAnsi="Times New Roman" w:cs="Times New Roman"/>
                <w:b/>
                <w:bCs/>
                <w:noProof/>
              </w:rPr>
              <w:t>Markov chain Monte Carlo Estimation</w:t>
            </w:r>
            <w:r>
              <w:rPr>
                <w:noProof/>
                <w:webHidden/>
              </w:rPr>
              <w:tab/>
            </w:r>
            <w:r>
              <w:rPr>
                <w:noProof/>
                <w:webHidden/>
              </w:rPr>
              <w:fldChar w:fldCharType="begin"/>
            </w:r>
            <w:r>
              <w:rPr>
                <w:noProof/>
                <w:webHidden/>
              </w:rPr>
              <w:instrText xml:space="preserve"> PAGEREF _Toc237678760 \h </w:instrText>
            </w:r>
            <w:r>
              <w:rPr>
                <w:noProof/>
                <w:webHidden/>
              </w:rPr>
            </w:r>
            <w:r>
              <w:rPr>
                <w:noProof/>
                <w:webHidden/>
              </w:rPr>
              <w:fldChar w:fldCharType="separate"/>
            </w:r>
            <w:r>
              <w:rPr>
                <w:noProof/>
                <w:webHidden/>
              </w:rPr>
              <w:t>41</w:t>
            </w:r>
            <w:r>
              <w:rPr>
                <w:noProof/>
                <w:webHidden/>
              </w:rPr>
              <w:fldChar w:fldCharType="end"/>
            </w:r>
          </w:hyperlink>
        </w:p>
        <w:p w14:paraId="491EBA7D" w14:textId="40C532CE" w:rsidR="0017192C" w:rsidRDefault="0017192C">
          <w:pPr>
            <w:pStyle w:val="TOC1"/>
            <w:tabs>
              <w:tab w:val="left" w:pos="720"/>
              <w:tab w:val="right" w:leader="dot" w:pos="9350"/>
            </w:tabs>
            <w:rPr>
              <w:rFonts w:eastAsiaTheme="minorEastAsia"/>
              <w:noProof/>
            </w:rPr>
          </w:pPr>
          <w:hyperlink w:anchor="_Toc237678761" w:history="1">
            <w:r w:rsidRPr="000B31B8">
              <w:rPr>
                <w:rStyle w:val="Hyperlink"/>
                <w:rFonts w:ascii="Times New Roman" w:hAnsi="Times New Roman" w:cs="Times New Roman"/>
                <w:b/>
                <w:bCs/>
                <w:noProof/>
              </w:rPr>
              <w:t>6.7.</w:t>
            </w:r>
            <w:r>
              <w:rPr>
                <w:rFonts w:eastAsiaTheme="minorEastAsia"/>
                <w:noProof/>
              </w:rPr>
              <w:tab/>
            </w:r>
            <w:r w:rsidRPr="000B31B8">
              <w:rPr>
                <w:rStyle w:val="Hyperlink"/>
                <w:rFonts w:ascii="Times New Roman" w:hAnsi="Times New Roman" w:cs="Times New Roman"/>
                <w:b/>
                <w:bCs/>
                <w:noProof/>
              </w:rPr>
              <w:t>Convergence Diagnostics and Posterior Summaries</w:t>
            </w:r>
            <w:r>
              <w:rPr>
                <w:noProof/>
                <w:webHidden/>
              </w:rPr>
              <w:tab/>
            </w:r>
            <w:r>
              <w:rPr>
                <w:noProof/>
                <w:webHidden/>
              </w:rPr>
              <w:fldChar w:fldCharType="begin"/>
            </w:r>
            <w:r>
              <w:rPr>
                <w:noProof/>
                <w:webHidden/>
              </w:rPr>
              <w:instrText xml:space="preserve"> PAGEREF _Toc237678761 \h </w:instrText>
            </w:r>
            <w:r>
              <w:rPr>
                <w:noProof/>
                <w:webHidden/>
              </w:rPr>
            </w:r>
            <w:r>
              <w:rPr>
                <w:noProof/>
                <w:webHidden/>
              </w:rPr>
              <w:fldChar w:fldCharType="separate"/>
            </w:r>
            <w:r>
              <w:rPr>
                <w:noProof/>
                <w:webHidden/>
              </w:rPr>
              <w:t>42</w:t>
            </w:r>
            <w:r>
              <w:rPr>
                <w:noProof/>
                <w:webHidden/>
              </w:rPr>
              <w:fldChar w:fldCharType="end"/>
            </w:r>
          </w:hyperlink>
        </w:p>
        <w:p w14:paraId="3AE51E09" w14:textId="32FD7C37" w:rsidR="0017192C" w:rsidRDefault="0017192C">
          <w:pPr>
            <w:pStyle w:val="TOC1"/>
            <w:tabs>
              <w:tab w:val="left" w:pos="720"/>
              <w:tab w:val="right" w:leader="dot" w:pos="9350"/>
            </w:tabs>
            <w:rPr>
              <w:rFonts w:eastAsiaTheme="minorEastAsia"/>
              <w:noProof/>
            </w:rPr>
          </w:pPr>
          <w:hyperlink w:anchor="_Toc237678762" w:history="1">
            <w:r w:rsidRPr="000B31B8">
              <w:rPr>
                <w:rStyle w:val="Hyperlink"/>
                <w:rFonts w:ascii="Times New Roman" w:hAnsi="Times New Roman" w:cs="Times New Roman"/>
                <w:b/>
                <w:bCs/>
                <w:noProof/>
              </w:rPr>
              <w:t>6.8.</w:t>
            </w:r>
            <w:r>
              <w:rPr>
                <w:rFonts w:eastAsiaTheme="minorEastAsia"/>
                <w:noProof/>
              </w:rPr>
              <w:tab/>
            </w:r>
            <w:r w:rsidRPr="000B31B8">
              <w:rPr>
                <w:rStyle w:val="Hyperlink"/>
                <w:rFonts w:ascii="Times New Roman" w:hAnsi="Times New Roman" w:cs="Times New Roman"/>
                <w:b/>
                <w:bCs/>
                <w:noProof/>
              </w:rPr>
              <w:t>Scenario Forecasting and Propagation of Parameter Uncertainty</w:t>
            </w:r>
            <w:r>
              <w:rPr>
                <w:noProof/>
                <w:webHidden/>
              </w:rPr>
              <w:tab/>
            </w:r>
            <w:r>
              <w:rPr>
                <w:noProof/>
                <w:webHidden/>
              </w:rPr>
              <w:fldChar w:fldCharType="begin"/>
            </w:r>
            <w:r>
              <w:rPr>
                <w:noProof/>
                <w:webHidden/>
              </w:rPr>
              <w:instrText xml:space="preserve"> PAGEREF _Toc237678762 \h </w:instrText>
            </w:r>
            <w:r>
              <w:rPr>
                <w:noProof/>
                <w:webHidden/>
              </w:rPr>
            </w:r>
            <w:r>
              <w:rPr>
                <w:noProof/>
                <w:webHidden/>
              </w:rPr>
              <w:fldChar w:fldCharType="separate"/>
            </w:r>
            <w:r>
              <w:rPr>
                <w:noProof/>
                <w:webHidden/>
              </w:rPr>
              <w:t>42</w:t>
            </w:r>
            <w:r>
              <w:rPr>
                <w:noProof/>
                <w:webHidden/>
              </w:rPr>
              <w:fldChar w:fldCharType="end"/>
            </w:r>
          </w:hyperlink>
        </w:p>
        <w:p w14:paraId="02BE03D5" w14:textId="42BB5904" w:rsidR="0017192C" w:rsidRDefault="0017192C">
          <w:pPr>
            <w:pStyle w:val="TOC1"/>
            <w:tabs>
              <w:tab w:val="left" w:pos="720"/>
              <w:tab w:val="right" w:leader="dot" w:pos="9350"/>
            </w:tabs>
            <w:rPr>
              <w:rFonts w:eastAsiaTheme="minorEastAsia"/>
              <w:noProof/>
            </w:rPr>
          </w:pPr>
          <w:hyperlink w:anchor="_Toc237678763" w:history="1">
            <w:r w:rsidRPr="000B31B8">
              <w:rPr>
                <w:rStyle w:val="Hyperlink"/>
                <w:rFonts w:ascii="Times New Roman" w:hAnsi="Times New Roman" w:cs="Times New Roman"/>
                <w:b/>
                <w:bCs/>
                <w:noProof/>
              </w:rPr>
              <w:t>6.9.</w:t>
            </w:r>
            <w:r>
              <w:rPr>
                <w:rFonts w:eastAsiaTheme="minorEastAsia"/>
                <w:noProof/>
              </w:rPr>
              <w:tab/>
            </w:r>
            <w:r w:rsidRPr="000B31B8">
              <w:rPr>
                <w:rStyle w:val="Hyperlink"/>
                <w:rFonts w:ascii="Times New Roman" w:hAnsi="Times New Roman" w:cs="Times New Roman"/>
                <w:b/>
                <w:bCs/>
                <w:noProof/>
              </w:rPr>
              <w:t>Calibration of Discontinuation and Reinitiation</w:t>
            </w:r>
            <w:r>
              <w:rPr>
                <w:noProof/>
                <w:webHidden/>
              </w:rPr>
              <w:tab/>
            </w:r>
            <w:r>
              <w:rPr>
                <w:noProof/>
                <w:webHidden/>
              </w:rPr>
              <w:fldChar w:fldCharType="begin"/>
            </w:r>
            <w:r>
              <w:rPr>
                <w:noProof/>
                <w:webHidden/>
              </w:rPr>
              <w:instrText xml:space="preserve"> PAGEREF _Toc237678763 \h </w:instrText>
            </w:r>
            <w:r>
              <w:rPr>
                <w:noProof/>
                <w:webHidden/>
              </w:rPr>
            </w:r>
            <w:r>
              <w:rPr>
                <w:noProof/>
                <w:webHidden/>
              </w:rPr>
              <w:fldChar w:fldCharType="separate"/>
            </w:r>
            <w:r>
              <w:rPr>
                <w:noProof/>
                <w:webHidden/>
              </w:rPr>
              <w:t>44</w:t>
            </w:r>
            <w:r>
              <w:rPr>
                <w:noProof/>
                <w:webHidden/>
              </w:rPr>
              <w:fldChar w:fldCharType="end"/>
            </w:r>
          </w:hyperlink>
        </w:p>
        <w:p w14:paraId="4EA5BD92" w14:textId="0AACB8FE" w:rsidR="0017192C" w:rsidRDefault="0017192C">
          <w:pPr>
            <w:pStyle w:val="TOC1"/>
            <w:tabs>
              <w:tab w:val="left" w:pos="480"/>
              <w:tab w:val="right" w:leader="dot" w:pos="9350"/>
            </w:tabs>
            <w:rPr>
              <w:rFonts w:eastAsiaTheme="minorEastAsia"/>
              <w:noProof/>
            </w:rPr>
          </w:pPr>
          <w:hyperlink w:anchor="_Toc237678764" w:history="1">
            <w:r w:rsidRPr="000B31B8">
              <w:rPr>
                <w:rStyle w:val="Hyperlink"/>
                <w:rFonts w:ascii="Times New Roman" w:hAnsi="Times New Roman" w:cs="Times New Roman"/>
                <w:b/>
                <w:bCs/>
                <w:noProof/>
              </w:rPr>
              <w:t>7.</w:t>
            </w:r>
            <w:r>
              <w:rPr>
                <w:rFonts w:eastAsiaTheme="minorEastAsia"/>
                <w:noProof/>
              </w:rPr>
              <w:tab/>
            </w:r>
            <w:r w:rsidRPr="000B31B8">
              <w:rPr>
                <w:rStyle w:val="Hyperlink"/>
                <w:rFonts w:ascii="Times New Roman" w:hAnsi="Times New Roman" w:cs="Times New Roman"/>
                <w:b/>
                <w:bCs/>
                <w:noProof/>
              </w:rPr>
              <w:t>GTAP-RD model, database, baseline and counterfactual implementation</w:t>
            </w:r>
            <w:r>
              <w:rPr>
                <w:noProof/>
                <w:webHidden/>
              </w:rPr>
              <w:tab/>
            </w:r>
            <w:r>
              <w:rPr>
                <w:noProof/>
                <w:webHidden/>
              </w:rPr>
              <w:fldChar w:fldCharType="begin"/>
            </w:r>
            <w:r>
              <w:rPr>
                <w:noProof/>
                <w:webHidden/>
              </w:rPr>
              <w:instrText xml:space="preserve"> PAGEREF _Toc237678764 \h </w:instrText>
            </w:r>
            <w:r>
              <w:rPr>
                <w:noProof/>
                <w:webHidden/>
              </w:rPr>
            </w:r>
            <w:r>
              <w:rPr>
                <w:noProof/>
                <w:webHidden/>
              </w:rPr>
              <w:fldChar w:fldCharType="separate"/>
            </w:r>
            <w:r>
              <w:rPr>
                <w:noProof/>
                <w:webHidden/>
              </w:rPr>
              <w:t>50</w:t>
            </w:r>
            <w:r>
              <w:rPr>
                <w:noProof/>
                <w:webHidden/>
              </w:rPr>
              <w:fldChar w:fldCharType="end"/>
            </w:r>
          </w:hyperlink>
        </w:p>
        <w:p w14:paraId="476676E9" w14:textId="3151B9D2" w:rsidR="0017192C" w:rsidRDefault="0017192C">
          <w:pPr>
            <w:pStyle w:val="TOC1"/>
            <w:tabs>
              <w:tab w:val="left" w:pos="720"/>
              <w:tab w:val="right" w:leader="dot" w:pos="9350"/>
            </w:tabs>
            <w:rPr>
              <w:rFonts w:eastAsiaTheme="minorEastAsia"/>
              <w:noProof/>
            </w:rPr>
          </w:pPr>
          <w:hyperlink w:anchor="_Toc237678765" w:history="1">
            <w:r w:rsidRPr="000B31B8">
              <w:rPr>
                <w:rStyle w:val="Hyperlink"/>
                <w:rFonts w:ascii="Times New Roman" w:hAnsi="Times New Roman" w:cs="Times New Roman"/>
                <w:b/>
                <w:bCs/>
                <w:noProof/>
              </w:rPr>
              <w:t>7.1.</w:t>
            </w:r>
            <w:r>
              <w:rPr>
                <w:rFonts w:eastAsiaTheme="minorEastAsia"/>
                <w:noProof/>
              </w:rPr>
              <w:tab/>
            </w:r>
            <w:r w:rsidRPr="000B31B8">
              <w:rPr>
                <w:rStyle w:val="Hyperlink"/>
                <w:rFonts w:ascii="Times New Roman" w:hAnsi="Times New Roman" w:cs="Times New Roman"/>
                <w:b/>
                <w:bCs/>
                <w:noProof/>
              </w:rPr>
              <w:t>Model structure and database aggregation</w:t>
            </w:r>
            <w:r>
              <w:rPr>
                <w:noProof/>
                <w:webHidden/>
              </w:rPr>
              <w:tab/>
            </w:r>
            <w:r>
              <w:rPr>
                <w:noProof/>
                <w:webHidden/>
              </w:rPr>
              <w:fldChar w:fldCharType="begin"/>
            </w:r>
            <w:r>
              <w:rPr>
                <w:noProof/>
                <w:webHidden/>
              </w:rPr>
              <w:instrText xml:space="preserve"> PAGEREF _Toc237678765 \h </w:instrText>
            </w:r>
            <w:r>
              <w:rPr>
                <w:noProof/>
                <w:webHidden/>
              </w:rPr>
            </w:r>
            <w:r>
              <w:rPr>
                <w:noProof/>
                <w:webHidden/>
              </w:rPr>
              <w:fldChar w:fldCharType="separate"/>
            </w:r>
            <w:r>
              <w:rPr>
                <w:noProof/>
                <w:webHidden/>
              </w:rPr>
              <w:t>50</w:t>
            </w:r>
            <w:r>
              <w:rPr>
                <w:noProof/>
                <w:webHidden/>
              </w:rPr>
              <w:fldChar w:fldCharType="end"/>
            </w:r>
          </w:hyperlink>
        </w:p>
        <w:p w14:paraId="40ECB691" w14:textId="24AC47F0" w:rsidR="0017192C" w:rsidRDefault="0017192C">
          <w:pPr>
            <w:pStyle w:val="TOC1"/>
            <w:tabs>
              <w:tab w:val="left" w:pos="720"/>
              <w:tab w:val="right" w:leader="dot" w:pos="9350"/>
            </w:tabs>
            <w:rPr>
              <w:rFonts w:eastAsiaTheme="minorEastAsia"/>
              <w:noProof/>
            </w:rPr>
          </w:pPr>
          <w:hyperlink w:anchor="_Toc237678766" w:history="1">
            <w:r w:rsidRPr="000B31B8">
              <w:rPr>
                <w:rStyle w:val="Hyperlink"/>
                <w:rFonts w:ascii="Times New Roman" w:hAnsi="Times New Roman" w:cs="Times New Roman"/>
                <w:b/>
                <w:bCs/>
                <w:noProof/>
              </w:rPr>
              <w:t>7.2.</w:t>
            </w:r>
            <w:r>
              <w:rPr>
                <w:rFonts w:eastAsiaTheme="minorEastAsia"/>
                <w:noProof/>
              </w:rPr>
              <w:tab/>
            </w:r>
            <w:r w:rsidRPr="000B31B8">
              <w:rPr>
                <w:rStyle w:val="Hyperlink"/>
                <w:rFonts w:ascii="Times New Roman" w:hAnsi="Times New Roman" w:cs="Times New Roman"/>
                <w:b/>
                <w:bCs/>
                <w:noProof/>
              </w:rPr>
              <w:t>SSP2 baseline construction</w:t>
            </w:r>
            <w:r>
              <w:rPr>
                <w:noProof/>
                <w:webHidden/>
              </w:rPr>
              <w:tab/>
            </w:r>
            <w:r>
              <w:rPr>
                <w:noProof/>
                <w:webHidden/>
              </w:rPr>
              <w:fldChar w:fldCharType="begin"/>
            </w:r>
            <w:r>
              <w:rPr>
                <w:noProof/>
                <w:webHidden/>
              </w:rPr>
              <w:instrText xml:space="preserve"> PAGEREF _Toc237678766 \h </w:instrText>
            </w:r>
            <w:r>
              <w:rPr>
                <w:noProof/>
                <w:webHidden/>
              </w:rPr>
            </w:r>
            <w:r>
              <w:rPr>
                <w:noProof/>
                <w:webHidden/>
              </w:rPr>
              <w:fldChar w:fldCharType="separate"/>
            </w:r>
            <w:r>
              <w:rPr>
                <w:noProof/>
                <w:webHidden/>
              </w:rPr>
              <w:t>54</w:t>
            </w:r>
            <w:r>
              <w:rPr>
                <w:noProof/>
                <w:webHidden/>
              </w:rPr>
              <w:fldChar w:fldCharType="end"/>
            </w:r>
          </w:hyperlink>
        </w:p>
        <w:p w14:paraId="54249E0F" w14:textId="2C0EF1CA" w:rsidR="0017192C" w:rsidRDefault="0017192C">
          <w:pPr>
            <w:pStyle w:val="TOC1"/>
            <w:tabs>
              <w:tab w:val="left" w:pos="720"/>
              <w:tab w:val="right" w:leader="dot" w:pos="9350"/>
            </w:tabs>
            <w:rPr>
              <w:rFonts w:eastAsiaTheme="minorEastAsia"/>
              <w:noProof/>
            </w:rPr>
          </w:pPr>
          <w:hyperlink w:anchor="_Toc237678767" w:history="1">
            <w:r w:rsidRPr="000B31B8">
              <w:rPr>
                <w:rStyle w:val="Hyperlink"/>
                <w:rFonts w:ascii="Times New Roman" w:hAnsi="Times New Roman" w:cs="Times New Roman"/>
                <w:b/>
                <w:bCs/>
                <w:noProof/>
              </w:rPr>
              <w:t>7.3.</w:t>
            </w:r>
            <w:r>
              <w:rPr>
                <w:rFonts w:eastAsiaTheme="minorEastAsia"/>
                <w:noProof/>
              </w:rPr>
              <w:tab/>
            </w:r>
            <w:r w:rsidRPr="000B31B8">
              <w:rPr>
                <w:rStyle w:val="Hyperlink"/>
                <w:rFonts w:ascii="Times New Roman" w:hAnsi="Times New Roman" w:cs="Times New Roman"/>
                <w:b/>
                <w:bCs/>
                <w:noProof/>
              </w:rPr>
              <w:t>GLP-1 counterfactual demand pathways and model closure</w:t>
            </w:r>
            <w:r>
              <w:rPr>
                <w:noProof/>
                <w:webHidden/>
              </w:rPr>
              <w:tab/>
            </w:r>
            <w:r>
              <w:rPr>
                <w:noProof/>
                <w:webHidden/>
              </w:rPr>
              <w:fldChar w:fldCharType="begin"/>
            </w:r>
            <w:r>
              <w:rPr>
                <w:noProof/>
                <w:webHidden/>
              </w:rPr>
              <w:instrText xml:space="preserve"> PAGEREF _Toc237678767 \h </w:instrText>
            </w:r>
            <w:r>
              <w:rPr>
                <w:noProof/>
                <w:webHidden/>
              </w:rPr>
            </w:r>
            <w:r>
              <w:rPr>
                <w:noProof/>
                <w:webHidden/>
              </w:rPr>
              <w:fldChar w:fldCharType="separate"/>
            </w:r>
            <w:r>
              <w:rPr>
                <w:noProof/>
                <w:webHidden/>
              </w:rPr>
              <w:t>55</w:t>
            </w:r>
            <w:r>
              <w:rPr>
                <w:noProof/>
                <w:webHidden/>
              </w:rPr>
              <w:fldChar w:fldCharType="end"/>
            </w:r>
          </w:hyperlink>
        </w:p>
        <w:p w14:paraId="1BD086EF" w14:textId="4E32F013" w:rsidR="0017192C" w:rsidRDefault="0017192C">
          <w:pPr>
            <w:pStyle w:val="TOC1"/>
            <w:tabs>
              <w:tab w:val="left" w:pos="720"/>
              <w:tab w:val="right" w:leader="dot" w:pos="9350"/>
            </w:tabs>
            <w:rPr>
              <w:rFonts w:eastAsiaTheme="minorEastAsia"/>
              <w:noProof/>
            </w:rPr>
          </w:pPr>
          <w:hyperlink w:anchor="_Toc237678768" w:history="1">
            <w:r w:rsidRPr="000B31B8">
              <w:rPr>
                <w:rStyle w:val="Hyperlink"/>
                <w:rFonts w:ascii="Times New Roman" w:hAnsi="Times New Roman" w:cs="Times New Roman"/>
                <w:b/>
                <w:bCs/>
                <w:noProof/>
              </w:rPr>
              <w:t>7.4.</w:t>
            </w:r>
            <w:r>
              <w:rPr>
                <w:rFonts w:eastAsiaTheme="minorEastAsia"/>
                <w:noProof/>
              </w:rPr>
              <w:tab/>
            </w:r>
            <w:r w:rsidRPr="000B31B8">
              <w:rPr>
                <w:rStyle w:val="Hyperlink"/>
                <w:rFonts w:ascii="Times New Roman" w:hAnsi="Times New Roman" w:cs="Times New Roman"/>
                <w:b/>
                <w:bCs/>
                <w:noProof/>
              </w:rPr>
              <w:t>Production-side environmental accounting</w:t>
            </w:r>
            <w:r>
              <w:rPr>
                <w:noProof/>
                <w:webHidden/>
              </w:rPr>
              <w:tab/>
            </w:r>
            <w:r>
              <w:rPr>
                <w:noProof/>
                <w:webHidden/>
              </w:rPr>
              <w:fldChar w:fldCharType="begin"/>
            </w:r>
            <w:r>
              <w:rPr>
                <w:noProof/>
                <w:webHidden/>
              </w:rPr>
              <w:instrText xml:space="preserve"> PAGEREF _Toc237678768 \h </w:instrText>
            </w:r>
            <w:r>
              <w:rPr>
                <w:noProof/>
                <w:webHidden/>
              </w:rPr>
            </w:r>
            <w:r>
              <w:rPr>
                <w:noProof/>
                <w:webHidden/>
              </w:rPr>
              <w:fldChar w:fldCharType="separate"/>
            </w:r>
            <w:r>
              <w:rPr>
                <w:noProof/>
                <w:webHidden/>
              </w:rPr>
              <w:t>58</w:t>
            </w:r>
            <w:r>
              <w:rPr>
                <w:noProof/>
                <w:webHidden/>
              </w:rPr>
              <w:fldChar w:fldCharType="end"/>
            </w:r>
          </w:hyperlink>
        </w:p>
        <w:p w14:paraId="564B8466" w14:textId="29D53E5D" w:rsidR="00851FC1" w:rsidRDefault="00666730" w:rsidP="00851FC1">
          <w:pPr>
            <w:rPr>
              <w:b/>
              <w:bCs/>
              <w:noProof/>
            </w:rPr>
          </w:pPr>
          <w:r>
            <w:rPr>
              <w:b/>
              <w:bCs/>
              <w:noProof/>
            </w:rPr>
            <w:fldChar w:fldCharType="end"/>
          </w:r>
        </w:p>
      </w:sdtContent>
    </w:sdt>
    <w:p w14:paraId="2AF8241E" w14:textId="0B339E45" w:rsidR="0061081D" w:rsidRPr="00851FC1" w:rsidRDefault="0061081D" w:rsidP="00851FC1">
      <w:r>
        <w:rPr>
          <w:rFonts w:ascii="Times New Roman" w:eastAsia="Times New Roman" w:hAnsi="Times New Roman" w:cs="Times New Roman"/>
          <w:b/>
          <w:bCs/>
          <w:color w:val="EE0000"/>
        </w:rPr>
        <w:br w:type="page"/>
      </w:r>
    </w:p>
    <w:p w14:paraId="55775C04" w14:textId="3D372048" w:rsidR="00F344B9" w:rsidRPr="00F344B9" w:rsidRDefault="00031F30" w:rsidP="00293E36">
      <w:pPr>
        <w:pStyle w:val="Heading1"/>
        <w:numPr>
          <w:ilvl w:val="0"/>
          <w:numId w:val="8"/>
        </w:numPr>
        <w:spacing w:line="480" w:lineRule="auto"/>
        <w:rPr>
          <w:rFonts w:ascii="Times New Roman" w:hAnsi="Times New Roman" w:cs="Times New Roman"/>
          <w:b/>
          <w:bCs/>
          <w:color w:val="auto"/>
          <w:sz w:val="24"/>
          <w:szCs w:val="24"/>
        </w:rPr>
      </w:pPr>
      <w:bookmarkStart w:id="0" w:name="_Toc237678749"/>
      <w:r w:rsidRPr="00031F30">
        <w:rPr>
          <w:rFonts w:ascii="Times New Roman" w:hAnsi="Times New Roman" w:cs="Times New Roman"/>
          <w:b/>
          <w:bCs/>
          <w:color w:val="auto"/>
          <w:sz w:val="24"/>
          <w:szCs w:val="24"/>
        </w:rPr>
        <w:lastRenderedPageBreak/>
        <w:t xml:space="preserve">Supplementary Methods </w:t>
      </w:r>
      <w:r w:rsidR="003B6159">
        <w:rPr>
          <w:rFonts w:ascii="Times New Roman" w:hAnsi="Times New Roman" w:cs="Times New Roman"/>
          <w:b/>
          <w:bCs/>
          <w:color w:val="auto"/>
          <w:sz w:val="24"/>
          <w:szCs w:val="24"/>
        </w:rPr>
        <w:t>O</w:t>
      </w:r>
      <w:r w:rsidRPr="00031F30">
        <w:rPr>
          <w:rFonts w:ascii="Times New Roman" w:hAnsi="Times New Roman" w:cs="Times New Roman"/>
          <w:b/>
          <w:bCs/>
          <w:color w:val="auto"/>
          <w:sz w:val="24"/>
          <w:szCs w:val="24"/>
        </w:rPr>
        <w:t xml:space="preserve">verview and </w:t>
      </w:r>
      <w:r w:rsidR="003B6159">
        <w:rPr>
          <w:rFonts w:ascii="Times New Roman" w:hAnsi="Times New Roman" w:cs="Times New Roman"/>
          <w:b/>
          <w:bCs/>
          <w:color w:val="auto"/>
          <w:sz w:val="24"/>
          <w:szCs w:val="24"/>
        </w:rPr>
        <w:t>S</w:t>
      </w:r>
      <w:r w:rsidRPr="00031F30">
        <w:rPr>
          <w:rFonts w:ascii="Times New Roman" w:hAnsi="Times New Roman" w:cs="Times New Roman"/>
          <w:b/>
          <w:bCs/>
          <w:color w:val="auto"/>
          <w:sz w:val="24"/>
          <w:szCs w:val="24"/>
        </w:rPr>
        <w:t xml:space="preserve">cenario </w:t>
      </w:r>
      <w:r w:rsidR="003B6159">
        <w:rPr>
          <w:rFonts w:ascii="Times New Roman" w:hAnsi="Times New Roman" w:cs="Times New Roman"/>
          <w:b/>
          <w:bCs/>
          <w:color w:val="auto"/>
          <w:sz w:val="24"/>
          <w:szCs w:val="24"/>
        </w:rPr>
        <w:t>D</w:t>
      </w:r>
      <w:r w:rsidRPr="00031F30">
        <w:rPr>
          <w:rFonts w:ascii="Times New Roman" w:hAnsi="Times New Roman" w:cs="Times New Roman"/>
          <w:b/>
          <w:bCs/>
          <w:color w:val="auto"/>
          <w:sz w:val="24"/>
          <w:szCs w:val="24"/>
        </w:rPr>
        <w:t>esign</w:t>
      </w:r>
      <w:bookmarkEnd w:id="0"/>
    </w:p>
    <w:p w14:paraId="2767330F" w14:textId="743492BB" w:rsidR="00FF47A8" w:rsidRPr="00FF47A8" w:rsidRDefault="00FF47A8" w:rsidP="00FF47A8">
      <w:pPr>
        <w:spacing w:after="0" w:line="480" w:lineRule="auto"/>
        <w:jc w:val="both"/>
        <w:rPr>
          <w:rFonts w:ascii="Times New Roman" w:eastAsiaTheme="minorEastAsia" w:hAnsi="Times New Roman" w:cs="Times New Roman"/>
          <w:iCs/>
        </w:rPr>
      </w:pPr>
      <w:r w:rsidRPr="00FF47A8">
        <w:rPr>
          <w:rFonts w:ascii="Times New Roman" w:eastAsiaTheme="minorEastAsia" w:hAnsi="Times New Roman" w:cs="Times New Roman"/>
          <w:iCs/>
        </w:rPr>
        <w:t>The analysis uses a linked framework to trace how pharmaceutical diffusion and treatment persistence translate into population food-demand pathways and, subsequently, into economy-wide food-system outcomes. Pharmaceutical diffusion is modeled using a Bayesian Generalized Bass Model (GBM), which projects first-time GLP-1 adoption under alternative eligibility, access, affordability and awareness conditions. Treatment discontinuation and reinitiation then convert first-time adoption into annual active treatment prevalence. In parallel, clinical and food-demand evidence is used to construct per-user dietary responses. Randomized controlled trials provide the empirical anchor for changes in total energy intake, while complementary experimental, survey, purchase</w:t>
      </w:r>
      <w:r w:rsidR="003A10AF">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demand evidence informs differences across food categories. Active treatment prevalence and per-user dietary responses are combined to construct country-, year-</w:t>
      </w:r>
      <w:r w:rsidR="00AE7D77">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food-category-specific population food-demand pathways. These pathways are introduced into GTAP-RD, a recursive-dynamic computable general equilibrium model calibrated to the 2017 GTAP Data Base, to evaluate economy-wide adjustment from 2026 to 2030. Detailed specification of the diffusion model, dietary calibration</w:t>
      </w:r>
      <w:r w:rsidR="00F606AB">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GTAP-RD implementation is provided in Sections 5–7.</w:t>
      </w:r>
    </w:p>
    <w:p w14:paraId="3D1E81DE" w14:textId="4683B440" w:rsidR="00FF47A8" w:rsidRPr="00FF47A8" w:rsidRDefault="00FF47A8" w:rsidP="000D575E">
      <w:pPr>
        <w:spacing w:after="0" w:line="480" w:lineRule="auto"/>
        <w:ind w:firstLine="720"/>
        <w:jc w:val="both"/>
        <w:rPr>
          <w:rFonts w:ascii="Times New Roman" w:eastAsiaTheme="minorEastAsia" w:hAnsi="Times New Roman" w:cs="Times New Roman"/>
          <w:iCs/>
        </w:rPr>
      </w:pPr>
      <w:r w:rsidRPr="00FF47A8">
        <w:rPr>
          <w:rFonts w:ascii="Times New Roman" w:eastAsiaTheme="minorEastAsia" w:hAnsi="Times New Roman" w:cs="Times New Roman"/>
          <w:iCs/>
        </w:rPr>
        <w:t xml:space="preserve">The counterfactual design </w:t>
      </w:r>
      <w:proofErr w:type="gramStart"/>
      <w:r w:rsidRPr="00FF47A8">
        <w:rPr>
          <w:rFonts w:ascii="Times New Roman" w:eastAsiaTheme="minorEastAsia" w:hAnsi="Times New Roman" w:cs="Times New Roman"/>
          <w:iCs/>
        </w:rPr>
        <w:t>varies</w:t>
      </w:r>
      <w:proofErr w:type="gramEnd"/>
      <w:r w:rsidRPr="00FF47A8">
        <w:rPr>
          <w:rFonts w:ascii="Times New Roman" w:eastAsiaTheme="minorEastAsia" w:hAnsi="Times New Roman" w:cs="Times New Roman"/>
          <w:iCs/>
        </w:rPr>
        <w:t xml:space="preserve"> three dimensions. The first concerns treatment eligibility and access. Under current eligibility and access conditions, market potential is operationalized using the adult population with obesity, defined as BMI ≥30, combined with country- and year-specific practical access to treatment. Expanded weight-management access uses the larger population with overweight, defined as BMI ≥25 and including adults with obesity, together with a broader practical-access trajectory. Market potential therefore reflects both the population potentially eligible for treatment and the share that can realistically obtain it under the applicable regulatory, insurance, reimbursement, prescribing</w:t>
      </w:r>
      <w:r w:rsidR="00EB18B8">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market conditions. In the diffusion model, major changes in eligibility and practical access affect the market-potential ceiling.</w:t>
      </w:r>
    </w:p>
    <w:p w14:paraId="5668FD0F" w14:textId="3C6AE9C4" w:rsidR="00FF47A8" w:rsidRPr="00FF47A8" w:rsidRDefault="00FF47A8" w:rsidP="000D575E">
      <w:pPr>
        <w:spacing w:after="0" w:line="480" w:lineRule="auto"/>
        <w:ind w:firstLine="720"/>
        <w:jc w:val="both"/>
        <w:rPr>
          <w:rFonts w:ascii="Times New Roman" w:eastAsiaTheme="minorEastAsia" w:hAnsi="Times New Roman" w:cs="Times New Roman"/>
          <w:iCs/>
        </w:rPr>
      </w:pPr>
      <w:r w:rsidRPr="00FF47A8">
        <w:rPr>
          <w:rFonts w:ascii="Times New Roman" w:eastAsiaTheme="minorEastAsia" w:hAnsi="Times New Roman" w:cs="Times New Roman"/>
          <w:iCs/>
        </w:rPr>
        <w:t>The second dimension concerns the speed of pharmaceutical diffusion. Within each eligibility and access condition, low, middle and high diffusion pathways represent alternative trajectories for affordability, accessibility</w:t>
      </w:r>
      <w:r w:rsidR="008C42E9">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awareness. These pathways alter the speed at which adoption approaches the scenario-specific market potential</w:t>
      </w:r>
      <w:r w:rsidR="0018662C">
        <w:rPr>
          <w:rFonts w:ascii="Times New Roman" w:eastAsiaTheme="minorEastAsia" w:hAnsi="Times New Roman" w:cs="Times New Roman"/>
          <w:iCs/>
        </w:rPr>
        <w:t>,</w:t>
      </w:r>
      <w:r w:rsidRPr="00FF47A8">
        <w:rPr>
          <w:rFonts w:ascii="Times New Roman" w:eastAsiaTheme="minorEastAsia" w:hAnsi="Times New Roman" w:cs="Times New Roman"/>
          <w:iCs/>
        </w:rPr>
        <w:t xml:space="preserve"> but do not alter the market-potential ceiling itself. The middle pathway is used for the main analysis, while the low and high pathways provide sensitivity analyses around alternative rates of diffusion. Detailed construction of market potential, market-effort variables</w:t>
      </w:r>
      <w:r w:rsidR="00781985">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uncertainty propagation is provided in Sections 5.3–5.8.</w:t>
      </w:r>
    </w:p>
    <w:p w14:paraId="14C1195E" w14:textId="480256F1" w:rsidR="00FF47A8" w:rsidRPr="00FF47A8" w:rsidRDefault="00FF47A8" w:rsidP="000D575E">
      <w:pPr>
        <w:spacing w:after="0" w:line="480" w:lineRule="auto"/>
        <w:ind w:firstLine="720"/>
        <w:jc w:val="both"/>
        <w:rPr>
          <w:rFonts w:ascii="Times New Roman" w:eastAsiaTheme="minorEastAsia" w:hAnsi="Times New Roman" w:cs="Times New Roman"/>
          <w:iCs/>
        </w:rPr>
      </w:pPr>
      <w:r w:rsidRPr="00FF47A8">
        <w:rPr>
          <w:rFonts w:ascii="Times New Roman" w:eastAsiaTheme="minorEastAsia" w:hAnsi="Times New Roman" w:cs="Times New Roman"/>
          <w:iCs/>
        </w:rPr>
        <w:t>The third dimension concerns geographic scope. Under U.S.-only adoption, the resulting GLP-1-induced food-demand pathways are applied only in the United States</w:t>
      </w:r>
      <w:r w:rsidR="007D1D6B" w:rsidRPr="007D1D6B">
        <w:rPr>
          <w:rFonts w:ascii="Times New Roman" w:eastAsiaTheme="minorEastAsia" w:hAnsi="Times New Roman" w:cs="Times New Roman"/>
          <w:iCs/>
        </w:rPr>
        <w:t>, while all other countries, including Canada and Mexico, follow their baseline trajectories with no GLP-1-induced food-demand adjustment.</w:t>
      </w:r>
      <w:r w:rsidRPr="00FF47A8">
        <w:rPr>
          <w:rFonts w:ascii="Times New Roman" w:eastAsiaTheme="minorEastAsia" w:hAnsi="Times New Roman" w:cs="Times New Roman"/>
          <w:iCs/>
        </w:rPr>
        <w:t>. Under North America-wide adoption, corresponding country-specific pathways are applied simultaneously in the United States, Canada and Mexico. This comparison distinguishes domestic adjustment associated with U.S. treatment diffusion from the additional market effects generated when GLP-1 adoption also expands among major regional trading partners.</w:t>
      </w:r>
    </w:p>
    <w:p w14:paraId="4EF6FAB9" w14:textId="4339ACB4" w:rsidR="00FF47A8" w:rsidRPr="00FF47A8" w:rsidRDefault="00FF47A8" w:rsidP="000D575E">
      <w:pPr>
        <w:spacing w:after="0" w:line="480" w:lineRule="auto"/>
        <w:ind w:firstLine="720"/>
        <w:jc w:val="both"/>
        <w:rPr>
          <w:rFonts w:ascii="Times New Roman" w:eastAsiaTheme="minorEastAsia" w:hAnsi="Times New Roman" w:cs="Times New Roman"/>
          <w:iCs/>
        </w:rPr>
      </w:pPr>
      <w:r w:rsidRPr="00FF47A8">
        <w:rPr>
          <w:rFonts w:ascii="Times New Roman" w:eastAsiaTheme="minorEastAsia" w:hAnsi="Times New Roman" w:cs="Times New Roman"/>
          <w:iCs/>
        </w:rPr>
        <w:t>Crossing two eligibility and access conditions, three diffusion pathways</w:t>
      </w:r>
      <w:r w:rsidR="008E5FA0">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two geographic scopes generates 12 counterfactual pathways. The main-text analysis reports the four combinations associated with the middle diffusion pathway. The corresponding eight low- and high-diffusion pathways are reported in the Supplementary Information as sensitivity analyses. For the United States, diffusion uncertainty is propagated from the posterior distribution of the estimated Bayesian GBM. Because comparable historical adoption series are unavailable for Canada and Mexico, projections for these countries are generated using prior-predictive simulations under the same scenario structure.</w:t>
      </w:r>
    </w:p>
    <w:p w14:paraId="73FD614C" w14:textId="0E37AEAF" w:rsidR="00FF47A8" w:rsidRPr="00FF47A8" w:rsidRDefault="00FF47A8" w:rsidP="000D575E">
      <w:pPr>
        <w:spacing w:after="0" w:line="480" w:lineRule="auto"/>
        <w:ind w:firstLine="720"/>
        <w:jc w:val="both"/>
        <w:rPr>
          <w:rFonts w:ascii="Times New Roman" w:eastAsiaTheme="minorEastAsia" w:hAnsi="Times New Roman" w:cs="Times New Roman"/>
          <w:iCs/>
        </w:rPr>
      </w:pPr>
      <w:r w:rsidRPr="00FF47A8">
        <w:rPr>
          <w:rFonts w:ascii="Times New Roman" w:eastAsiaTheme="minorEastAsia" w:hAnsi="Times New Roman" w:cs="Times New Roman"/>
          <w:iCs/>
        </w:rPr>
        <w:t xml:space="preserve">GTAP-RD is </w:t>
      </w:r>
      <w:proofErr w:type="gramStart"/>
      <w:r w:rsidRPr="00FF47A8">
        <w:rPr>
          <w:rFonts w:ascii="Times New Roman" w:eastAsiaTheme="minorEastAsia" w:hAnsi="Times New Roman" w:cs="Times New Roman"/>
          <w:iCs/>
        </w:rPr>
        <w:t>calibrated</w:t>
      </w:r>
      <w:proofErr w:type="gramEnd"/>
      <w:r w:rsidRPr="00FF47A8">
        <w:rPr>
          <w:rFonts w:ascii="Times New Roman" w:eastAsiaTheme="minorEastAsia" w:hAnsi="Times New Roman" w:cs="Times New Roman"/>
          <w:iCs/>
        </w:rPr>
        <w:t xml:space="preserve"> to the 2017 GTAP Data Base and used to generate two sets of linked dynamic simulations. The first is an SSP2 baseline describing the evolution of the economy to 2030 in the absence of GLP-1-induced food-demand changes. The second consists of the corresponding GLP-1 counterfactual pathways, which retain the same underlying macroeconomic baseline assumptions but incorporate the country-, year-</w:t>
      </w:r>
      <w:r w:rsidR="00471EA8">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food-category-specific demand pathways generated by the pharmaceutical-diffusion and dietary-response components. Counterfactual outcomes are evaluated relative to the corresponding SSP2 baseline. Detailed database preparation, dynamic baseline construction, model structure</w:t>
      </w:r>
      <w:r w:rsidR="00E03ADA">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counterfactual implementation are provided in Section 7.</w:t>
      </w:r>
    </w:p>
    <w:p w14:paraId="5F11F0C0" w14:textId="70FFEDE3" w:rsidR="00F344B9" w:rsidRDefault="00FF47A8" w:rsidP="000D575E">
      <w:pPr>
        <w:spacing w:after="0" w:line="480" w:lineRule="auto"/>
        <w:ind w:firstLine="720"/>
        <w:jc w:val="both"/>
        <w:rPr>
          <w:rFonts w:ascii="Times New Roman" w:eastAsiaTheme="minorEastAsia" w:hAnsi="Times New Roman" w:cs="Times New Roman"/>
          <w:iCs/>
        </w:rPr>
      </w:pPr>
      <w:r w:rsidRPr="00FF47A8">
        <w:rPr>
          <w:rFonts w:ascii="Times New Roman" w:eastAsiaTheme="minorEastAsia" w:hAnsi="Times New Roman" w:cs="Times New Roman"/>
          <w:iCs/>
        </w:rPr>
        <w:t>The overall analytical sequence is summarized in main-text Fig. 5. The framework distinguishes first-time adoption from active treatment prevalence, combines active treatment prevalence with per-user dietary responses to construct population food-demand pathways, and links these pathways to the GTAP-RD baseline and counterfactual simulations used to quantify production, price, trade, land-use, factor-return</w:t>
      </w:r>
      <w:r w:rsidR="006644B4">
        <w:rPr>
          <w:rFonts w:ascii="Times New Roman" w:eastAsiaTheme="minorEastAsia" w:hAnsi="Times New Roman" w:cs="Times New Roman"/>
          <w:iCs/>
        </w:rPr>
        <w:t>,</w:t>
      </w:r>
      <w:r w:rsidRPr="00FF47A8">
        <w:rPr>
          <w:rFonts w:ascii="Times New Roman" w:eastAsiaTheme="minorEastAsia" w:hAnsi="Times New Roman" w:cs="Times New Roman"/>
          <w:iCs/>
        </w:rPr>
        <w:t xml:space="preserve"> and production-side environmental outcomes.</w:t>
      </w:r>
    </w:p>
    <w:p w14:paraId="7A7611EB" w14:textId="5519E132" w:rsidR="008E39DB" w:rsidRDefault="00BE6724" w:rsidP="00293E36">
      <w:pPr>
        <w:pStyle w:val="Heading1"/>
        <w:numPr>
          <w:ilvl w:val="0"/>
          <w:numId w:val="8"/>
        </w:numPr>
        <w:spacing w:line="480" w:lineRule="auto"/>
        <w:rPr>
          <w:rFonts w:ascii="Times New Roman" w:hAnsi="Times New Roman" w:cs="Times New Roman"/>
          <w:b/>
          <w:bCs/>
          <w:color w:val="auto"/>
          <w:sz w:val="24"/>
          <w:szCs w:val="24"/>
        </w:rPr>
      </w:pPr>
      <w:bookmarkStart w:id="1" w:name="_Toc237678750"/>
      <w:r w:rsidRPr="00BE6724">
        <w:rPr>
          <w:rFonts w:ascii="Times New Roman" w:hAnsi="Times New Roman" w:cs="Times New Roman"/>
          <w:b/>
          <w:bCs/>
          <w:color w:val="auto"/>
          <w:sz w:val="24"/>
          <w:szCs w:val="24"/>
        </w:rPr>
        <w:t xml:space="preserve">Projected </w:t>
      </w:r>
      <w:r w:rsidR="003B6159">
        <w:rPr>
          <w:rFonts w:ascii="Times New Roman" w:hAnsi="Times New Roman" w:cs="Times New Roman"/>
          <w:b/>
          <w:bCs/>
          <w:color w:val="auto"/>
          <w:sz w:val="24"/>
          <w:szCs w:val="24"/>
        </w:rPr>
        <w:t>A</w:t>
      </w:r>
      <w:r w:rsidRPr="00BE6724">
        <w:rPr>
          <w:rFonts w:ascii="Times New Roman" w:hAnsi="Times New Roman" w:cs="Times New Roman"/>
          <w:b/>
          <w:bCs/>
          <w:color w:val="auto"/>
          <w:sz w:val="24"/>
          <w:szCs w:val="24"/>
        </w:rPr>
        <w:t xml:space="preserve">ctive GLP-1 </w:t>
      </w:r>
      <w:r w:rsidR="003B6159">
        <w:rPr>
          <w:rFonts w:ascii="Times New Roman" w:hAnsi="Times New Roman" w:cs="Times New Roman"/>
          <w:b/>
          <w:bCs/>
          <w:color w:val="auto"/>
          <w:sz w:val="24"/>
          <w:szCs w:val="24"/>
        </w:rPr>
        <w:t>T</w:t>
      </w:r>
      <w:r w:rsidRPr="00BE6724">
        <w:rPr>
          <w:rFonts w:ascii="Times New Roman" w:hAnsi="Times New Roman" w:cs="Times New Roman"/>
          <w:b/>
          <w:bCs/>
          <w:color w:val="auto"/>
          <w:sz w:val="24"/>
          <w:szCs w:val="24"/>
        </w:rPr>
        <w:t xml:space="preserve">reatment </w:t>
      </w:r>
      <w:r w:rsidR="003B6159">
        <w:rPr>
          <w:rFonts w:ascii="Times New Roman" w:hAnsi="Times New Roman" w:cs="Times New Roman"/>
          <w:b/>
          <w:bCs/>
          <w:color w:val="auto"/>
          <w:sz w:val="24"/>
          <w:szCs w:val="24"/>
        </w:rPr>
        <w:t>P</w:t>
      </w:r>
      <w:r w:rsidRPr="00BE6724">
        <w:rPr>
          <w:rFonts w:ascii="Times New Roman" w:hAnsi="Times New Roman" w:cs="Times New Roman"/>
          <w:b/>
          <w:bCs/>
          <w:color w:val="auto"/>
          <w:sz w:val="24"/>
          <w:szCs w:val="24"/>
        </w:rPr>
        <w:t>revalence.</w:t>
      </w:r>
      <w:bookmarkEnd w:id="1"/>
    </w:p>
    <w:p w14:paraId="5BE53F83" w14:textId="35A871B3" w:rsidR="008B5976" w:rsidRPr="008B5976" w:rsidRDefault="008B5976" w:rsidP="008B5976">
      <w:pPr>
        <w:spacing w:after="0" w:line="480" w:lineRule="auto"/>
        <w:jc w:val="both"/>
        <w:rPr>
          <w:rFonts w:ascii="Times New Roman" w:eastAsiaTheme="minorEastAsia" w:hAnsi="Times New Roman" w:cs="Times New Roman"/>
          <w:iCs/>
        </w:rPr>
      </w:pPr>
      <w:r w:rsidRPr="008B5976">
        <w:rPr>
          <w:rFonts w:ascii="Times New Roman" w:eastAsiaTheme="minorEastAsia" w:hAnsi="Times New Roman" w:cs="Times New Roman"/>
          <w:iCs/>
        </w:rPr>
        <w:t>We projected annual active treatment prevalence for the United States, Canada</w:t>
      </w:r>
      <w:r w:rsidR="006644B4">
        <w:rPr>
          <w:rFonts w:ascii="Times New Roman" w:eastAsiaTheme="minorEastAsia" w:hAnsi="Times New Roman" w:cs="Times New Roman"/>
          <w:iCs/>
        </w:rPr>
        <w:t>,</w:t>
      </w:r>
      <w:r w:rsidRPr="008B5976">
        <w:rPr>
          <w:rFonts w:ascii="Times New Roman" w:eastAsiaTheme="minorEastAsia" w:hAnsi="Times New Roman" w:cs="Times New Roman"/>
          <w:iCs/>
        </w:rPr>
        <w:t xml:space="preserve"> and Mexico under low, middle and high diffusion pathways and under current eligibility and access conditions and expanded weight-management access (Fig. S1). The three diffusion pathways represent alternative rates of approach toward the scenario-specific market potential. The middle pathway provides the central projections used in the main analysis, while the low and high pathways are used for sensitivity analysis. </w:t>
      </w:r>
      <w:r w:rsidR="004B4726" w:rsidRPr="004B4726">
        <w:rPr>
          <w:rFonts w:ascii="Times New Roman" w:eastAsiaTheme="minorEastAsia" w:hAnsi="Times New Roman" w:cs="Times New Roman"/>
          <w:iCs/>
        </w:rPr>
        <w:t>The three adoption trajectories have similar overall shapes because they share the same scenario-specific adoption ceiling, but they differ in diffusion speed because the low, middle, and high pathways embody different assumptions about how market access, affordability, insurance and reimbursement, regulatory availability, and awareness evolve over time</w:t>
      </w:r>
      <w:r w:rsidR="004B4726">
        <w:rPr>
          <w:rFonts w:ascii="Times New Roman" w:eastAsiaTheme="minorEastAsia" w:hAnsi="Times New Roman" w:cs="Times New Roman"/>
          <w:iCs/>
        </w:rPr>
        <w:t xml:space="preserve">. </w:t>
      </w:r>
      <w:r w:rsidRPr="008B5976">
        <w:rPr>
          <w:rFonts w:ascii="Times New Roman" w:eastAsiaTheme="minorEastAsia" w:hAnsi="Times New Roman" w:cs="Times New Roman"/>
          <w:iCs/>
        </w:rPr>
        <w:t>For the United States, uncertainty reflects posterior parameter draws from the estimated Bayesian GBM. For Canada and Mexico, comparable historical adoption series are unavailable, so uncertainty reflects prior-predictive simulations. Detailed model specification and forecasting procedures are provided in Section 5.</w:t>
      </w:r>
    </w:p>
    <w:tbl>
      <w:tblPr>
        <w:tblStyle w:val="TableGrid"/>
        <w:tblW w:w="0" w:type="auto"/>
        <w:tblInd w:w="0" w:type="dxa"/>
        <w:tblLook w:val="04A0" w:firstRow="1" w:lastRow="0" w:firstColumn="1" w:lastColumn="0" w:noHBand="0" w:noVBand="1"/>
      </w:tblPr>
      <w:tblGrid>
        <w:gridCol w:w="9350"/>
      </w:tblGrid>
      <w:tr w:rsidR="00F344B9" w14:paraId="1AC29E4A" w14:textId="77777777" w:rsidTr="00046CBD">
        <w:tc>
          <w:tcPr>
            <w:tcW w:w="9350" w:type="dxa"/>
          </w:tcPr>
          <w:p w14:paraId="4E4DD3C9" w14:textId="77777777" w:rsidR="00F344B9" w:rsidRPr="00745E72" w:rsidRDefault="00F344B9" w:rsidP="00046CBD">
            <w:pPr>
              <w:spacing w:line="360" w:lineRule="auto"/>
              <w:rPr>
                <w:rFonts w:ascii="Times New Roman" w:eastAsiaTheme="minorEastAsia" w:hAnsi="Times New Roman" w:cs="Times New Roman"/>
                <w:iCs/>
              </w:rPr>
            </w:pPr>
            <w:r w:rsidRPr="00745E72">
              <w:rPr>
                <w:rFonts w:ascii="Times New Roman" w:eastAsiaTheme="minorEastAsia" w:hAnsi="Times New Roman" w:cs="Times New Roman"/>
                <w:iCs/>
              </w:rPr>
              <w:t>United States</w:t>
            </w:r>
            <w:r w:rsidRPr="00745E72">
              <w:rPr>
                <w:rFonts w:ascii="Times New Roman" w:eastAsiaTheme="minorEastAsia" w:hAnsi="Times New Roman" w:cs="Times New Roman"/>
                <w:iCs/>
                <w:noProof/>
              </w:rPr>
              <w:drawing>
                <wp:inline distT="0" distB="0" distL="0" distR="0" wp14:anchorId="1C7D3D1E" wp14:editId="4FEC49D1">
                  <wp:extent cx="5815771" cy="3331016"/>
                  <wp:effectExtent l="0" t="0" r="0" b="3175"/>
                  <wp:docPr id="1601852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52595" name=""/>
                          <pic:cNvPicPr/>
                        </pic:nvPicPr>
                        <pic:blipFill>
                          <a:blip r:embed="rId8"/>
                          <a:stretch>
                            <a:fillRect/>
                          </a:stretch>
                        </pic:blipFill>
                        <pic:spPr>
                          <a:xfrm>
                            <a:off x="0" y="0"/>
                            <a:ext cx="5815771" cy="3331016"/>
                          </a:xfrm>
                          <a:prstGeom prst="rect">
                            <a:avLst/>
                          </a:prstGeom>
                        </pic:spPr>
                      </pic:pic>
                    </a:graphicData>
                  </a:graphic>
                </wp:inline>
              </w:drawing>
            </w:r>
          </w:p>
        </w:tc>
      </w:tr>
      <w:tr w:rsidR="00F344B9" w14:paraId="241406A5" w14:textId="77777777" w:rsidTr="00046CBD">
        <w:tc>
          <w:tcPr>
            <w:tcW w:w="9350" w:type="dxa"/>
          </w:tcPr>
          <w:p w14:paraId="373F2F4F" w14:textId="77777777" w:rsidR="00F344B9" w:rsidRPr="00745E72" w:rsidRDefault="00F344B9" w:rsidP="00046CBD">
            <w:pPr>
              <w:spacing w:line="360" w:lineRule="auto"/>
              <w:rPr>
                <w:rFonts w:ascii="Times New Roman" w:eastAsiaTheme="minorEastAsia" w:hAnsi="Times New Roman" w:cs="Times New Roman"/>
                <w:iCs/>
              </w:rPr>
            </w:pPr>
            <w:r w:rsidRPr="00745E72">
              <w:rPr>
                <w:rFonts w:ascii="Times New Roman" w:eastAsiaTheme="minorEastAsia" w:hAnsi="Times New Roman" w:cs="Times New Roman"/>
                <w:iCs/>
              </w:rPr>
              <w:t>Canada</w:t>
            </w:r>
          </w:p>
          <w:p w14:paraId="0E06CCE8" w14:textId="77777777" w:rsidR="00F344B9" w:rsidRPr="00745E72" w:rsidRDefault="00F344B9" w:rsidP="00046CBD">
            <w:pPr>
              <w:spacing w:line="360" w:lineRule="auto"/>
              <w:rPr>
                <w:rFonts w:ascii="Times New Roman" w:eastAsiaTheme="minorEastAsia" w:hAnsi="Times New Roman" w:cs="Times New Roman"/>
                <w:iCs/>
              </w:rPr>
            </w:pPr>
            <w:r w:rsidRPr="00745E72">
              <w:rPr>
                <w:rFonts w:ascii="Times New Roman" w:eastAsiaTheme="minorEastAsia" w:hAnsi="Times New Roman" w:cs="Times New Roman"/>
                <w:iCs/>
                <w:noProof/>
              </w:rPr>
              <w:drawing>
                <wp:inline distT="0" distB="0" distL="0" distR="0" wp14:anchorId="5646967C" wp14:editId="052358F9">
                  <wp:extent cx="5836257" cy="2826385"/>
                  <wp:effectExtent l="0" t="0" r="0" b="1905"/>
                  <wp:docPr id="355250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50676" name=""/>
                          <pic:cNvPicPr/>
                        </pic:nvPicPr>
                        <pic:blipFill>
                          <a:blip r:embed="rId9"/>
                          <a:stretch>
                            <a:fillRect/>
                          </a:stretch>
                        </pic:blipFill>
                        <pic:spPr>
                          <a:xfrm>
                            <a:off x="0" y="0"/>
                            <a:ext cx="5836257" cy="2826385"/>
                          </a:xfrm>
                          <a:prstGeom prst="rect">
                            <a:avLst/>
                          </a:prstGeom>
                        </pic:spPr>
                      </pic:pic>
                    </a:graphicData>
                  </a:graphic>
                </wp:inline>
              </w:drawing>
            </w:r>
          </w:p>
          <w:p w14:paraId="43017CE3" w14:textId="77777777" w:rsidR="009C50DD" w:rsidRDefault="009C50DD" w:rsidP="00046CBD">
            <w:pPr>
              <w:spacing w:line="360" w:lineRule="auto"/>
              <w:rPr>
                <w:rFonts w:ascii="Times New Roman" w:eastAsiaTheme="minorEastAsia" w:hAnsi="Times New Roman" w:cs="Times New Roman"/>
                <w:iCs/>
              </w:rPr>
            </w:pPr>
          </w:p>
          <w:p w14:paraId="271497AB" w14:textId="77777777" w:rsidR="009C50DD" w:rsidRDefault="009C50DD" w:rsidP="00046CBD">
            <w:pPr>
              <w:spacing w:line="360" w:lineRule="auto"/>
              <w:rPr>
                <w:rFonts w:ascii="Times New Roman" w:eastAsiaTheme="minorEastAsia" w:hAnsi="Times New Roman" w:cs="Times New Roman"/>
                <w:iCs/>
              </w:rPr>
            </w:pPr>
          </w:p>
          <w:p w14:paraId="35EFA6A4" w14:textId="6E9D3262" w:rsidR="00F344B9" w:rsidRPr="00745E72" w:rsidRDefault="00F344B9" w:rsidP="00046CBD">
            <w:pPr>
              <w:spacing w:line="360" w:lineRule="auto"/>
              <w:rPr>
                <w:rFonts w:ascii="Times New Roman" w:eastAsiaTheme="minorEastAsia" w:hAnsi="Times New Roman" w:cs="Times New Roman"/>
                <w:iCs/>
              </w:rPr>
            </w:pPr>
            <w:r w:rsidRPr="00745E72">
              <w:rPr>
                <w:rFonts w:ascii="Times New Roman" w:eastAsiaTheme="minorEastAsia" w:hAnsi="Times New Roman" w:cs="Times New Roman"/>
                <w:iCs/>
              </w:rPr>
              <w:t>Mexico</w:t>
            </w:r>
          </w:p>
          <w:p w14:paraId="45D8AA8F" w14:textId="77777777" w:rsidR="00F344B9" w:rsidRPr="00745E72" w:rsidRDefault="00F344B9" w:rsidP="00046CBD">
            <w:pPr>
              <w:spacing w:line="360" w:lineRule="auto"/>
              <w:rPr>
                <w:rFonts w:ascii="Times New Roman" w:eastAsiaTheme="minorEastAsia" w:hAnsi="Times New Roman" w:cs="Times New Roman"/>
                <w:iCs/>
              </w:rPr>
            </w:pPr>
            <w:r w:rsidRPr="00745E72">
              <w:rPr>
                <w:rFonts w:ascii="Times New Roman" w:eastAsiaTheme="minorEastAsia" w:hAnsi="Times New Roman" w:cs="Times New Roman"/>
                <w:iCs/>
                <w:noProof/>
              </w:rPr>
              <w:drawing>
                <wp:inline distT="0" distB="0" distL="0" distR="0" wp14:anchorId="64E3A8F4" wp14:editId="0CD5806B">
                  <wp:extent cx="5844208" cy="2846705"/>
                  <wp:effectExtent l="0" t="0" r="4445" b="0"/>
                  <wp:docPr id="476989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989605" name=""/>
                          <pic:cNvPicPr/>
                        </pic:nvPicPr>
                        <pic:blipFill>
                          <a:blip r:embed="rId10"/>
                          <a:stretch>
                            <a:fillRect/>
                          </a:stretch>
                        </pic:blipFill>
                        <pic:spPr>
                          <a:xfrm>
                            <a:off x="0" y="0"/>
                            <a:ext cx="5845960" cy="2847558"/>
                          </a:xfrm>
                          <a:prstGeom prst="rect">
                            <a:avLst/>
                          </a:prstGeom>
                        </pic:spPr>
                      </pic:pic>
                    </a:graphicData>
                  </a:graphic>
                </wp:inline>
              </w:drawing>
            </w:r>
          </w:p>
        </w:tc>
      </w:tr>
      <w:tr w:rsidR="00F344B9" w14:paraId="1CF2FF12" w14:textId="77777777" w:rsidTr="00046CBD">
        <w:tc>
          <w:tcPr>
            <w:tcW w:w="9350" w:type="dxa"/>
          </w:tcPr>
          <w:p w14:paraId="2F4FA17D" w14:textId="1AA04017" w:rsidR="00F344B9" w:rsidRPr="00153245" w:rsidRDefault="00F344B9" w:rsidP="00153245">
            <w:pPr>
              <w:spacing w:line="240" w:lineRule="auto"/>
              <w:rPr>
                <w:rFonts w:ascii="Times New Roman" w:eastAsiaTheme="minorEastAsia" w:hAnsi="Times New Roman" w:cs="Times New Roman"/>
                <w:iCs/>
                <w:color w:val="EE0000"/>
              </w:rPr>
            </w:pPr>
            <w:r w:rsidRPr="00153245">
              <w:rPr>
                <w:rFonts w:ascii="Times New Roman" w:eastAsiaTheme="minorEastAsia" w:hAnsi="Times New Roman" w:cs="Times New Roman"/>
                <w:b/>
                <w:bCs/>
                <w:iCs/>
              </w:rPr>
              <w:t>Fig. S</w:t>
            </w:r>
            <w:r w:rsidR="00667245">
              <w:rPr>
                <w:rFonts w:ascii="Times New Roman" w:eastAsiaTheme="minorEastAsia" w:hAnsi="Times New Roman" w:cs="Times New Roman"/>
                <w:b/>
                <w:bCs/>
                <w:iCs/>
              </w:rPr>
              <w:t>1</w:t>
            </w:r>
            <w:r w:rsidRPr="00153245">
              <w:rPr>
                <w:rFonts w:ascii="Times New Roman" w:eastAsiaTheme="minorEastAsia" w:hAnsi="Times New Roman" w:cs="Times New Roman"/>
                <w:b/>
                <w:bCs/>
                <w:iCs/>
              </w:rPr>
              <w:t xml:space="preserve"> | </w:t>
            </w:r>
            <w:r w:rsidR="00153245" w:rsidRPr="00153245">
              <w:rPr>
                <w:rStyle w:val="Strong"/>
                <w:rFonts w:ascii="Times New Roman" w:hAnsi="Times New Roman" w:cs="Times New Roman"/>
              </w:rPr>
              <w:t>Simulated GLP-1 current active adult adoption rates under low, middle, and high adoption pathways.</w:t>
            </w:r>
            <w:r w:rsidR="00153245" w:rsidRPr="00153245">
              <w:rPr>
                <w:rFonts w:ascii="Times New Roman" w:hAnsi="Times New Roman" w:cs="Times New Roman"/>
              </w:rPr>
              <w:t xml:space="preserve"> </w:t>
            </w:r>
            <w:proofErr w:type="spellStart"/>
            <w:r w:rsidR="00153245" w:rsidRPr="00153245">
              <w:rPr>
                <w:rFonts w:ascii="Times New Roman" w:hAnsi="Times New Roman" w:cs="Times New Roman"/>
              </w:rPr>
              <w:t>Panels</w:t>
            </w:r>
            <w:proofErr w:type="spellEnd"/>
            <w:r w:rsidR="00153245" w:rsidRPr="00153245">
              <w:rPr>
                <w:rFonts w:ascii="Times New Roman" w:hAnsi="Times New Roman" w:cs="Times New Roman"/>
              </w:rPr>
              <w:t xml:space="preserve"> report simulated current active adult adoption rates for the United States, Canada, and Mexico under three market-effort pathways (low, middle, and high adoption; columns) and two coverage scenarios, current clinical coverage and expanded weight-management access. Solid lines denote median simulated </w:t>
            </w:r>
            <w:proofErr w:type="gramStart"/>
            <w:r w:rsidR="00153245" w:rsidRPr="00153245">
              <w:rPr>
                <w:rFonts w:ascii="Times New Roman" w:hAnsi="Times New Roman" w:cs="Times New Roman"/>
              </w:rPr>
              <w:t>trajectories</w:t>
            </w:r>
            <w:proofErr w:type="gramEnd"/>
            <w:r w:rsidR="00153245" w:rsidRPr="00153245">
              <w:rPr>
                <w:rFonts w:ascii="Times New Roman" w:hAnsi="Times New Roman" w:cs="Times New Roman"/>
              </w:rPr>
              <w:t xml:space="preserve"> and the surrounding distributions represent parameter uncertainty. For the United States, uncertainty is propagated from posterior parameter draws from the estimated Bayesian GBM; for Canada and Mexico, it reflects prior-predictive draws because comparable historical adoption data are unavailable for country-specific posterior estimation</w:t>
            </w:r>
            <w:r w:rsidRPr="00153245">
              <w:rPr>
                <w:rFonts w:ascii="Times New Roman" w:hAnsi="Times New Roman" w:cs="Times New Roman"/>
              </w:rPr>
              <w:t>.</w:t>
            </w:r>
          </w:p>
        </w:tc>
      </w:tr>
    </w:tbl>
    <w:p w14:paraId="15DB911D" w14:textId="6BB886E1" w:rsidR="00FE0A7B" w:rsidRDefault="00FE0A7B" w:rsidP="00FE0A7B"/>
    <w:tbl>
      <w:tblPr>
        <w:tblStyle w:val="TableGrid"/>
        <w:tblW w:w="0" w:type="auto"/>
        <w:tblInd w:w="0" w:type="dxa"/>
        <w:tblLook w:val="04A0" w:firstRow="1" w:lastRow="0" w:firstColumn="1" w:lastColumn="0" w:noHBand="0" w:noVBand="1"/>
      </w:tblPr>
      <w:tblGrid>
        <w:gridCol w:w="754"/>
        <w:gridCol w:w="1545"/>
        <w:gridCol w:w="1443"/>
        <w:gridCol w:w="1362"/>
        <w:gridCol w:w="1443"/>
        <w:gridCol w:w="1360"/>
        <w:gridCol w:w="1443"/>
      </w:tblGrid>
      <w:tr w:rsidR="00FE0A7B" w:rsidRPr="00947EC0" w14:paraId="4250B48C" w14:textId="77777777" w:rsidTr="003638E5">
        <w:tc>
          <w:tcPr>
            <w:tcW w:w="9350" w:type="dxa"/>
            <w:gridSpan w:val="7"/>
          </w:tcPr>
          <w:p w14:paraId="389835B2" w14:textId="6E8BA468" w:rsidR="00FE0A7B" w:rsidRPr="00947EC0" w:rsidRDefault="00FE0A7B" w:rsidP="003638E5">
            <w:pPr>
              <w:rPr>
                <w:rFonts w:ascii="Times New Roman" w:eastAsia="Times New Roman" w:hAnsi="Times New Roman" w:cs="Times New Roman"/>
                <w:color w:val="000000" w:themeColor="text1"/>
              </w:rPr>
            </w:pPr>
            <w:r w:rsidRPr="00947EC0">
              <w:rPr>
                <w:rFonts w:ascii="Times New Roman" w:eastAsia="Times New Roman" w:hAnsi="Times New Roman" w:cs="Times New Roman"/>
                <w:color w:val="000000" w:themeColor="text1"/>
              </w:rPr>
              <w:t>Table S</w:t>
            </w:r>
            <w:r w:rsidR="00F07968">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w:t>
            </w:r>
            <w:r w:rsidRPr="00947EC0">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Adoption</w:t>
            </w:r>
            <w:r w:rsidRPr="00947EC0">
              <w:rPr>
                <w:rFonts w:ascii="Times New Roman" w:eastAsia="Times New Roman" w:hAnsi="Times New Roman" w:cs="Times New Roman"/>
                <w:color w:val="000000" w:themeColor="text1"/>
              </w:rPr>
              <w:t xml:space="preserve"> Rate Among Adult for Middle Path</w:t>
            </w:r>
            <w:r>
              <w:rPr>
                <w:rFonts w:ascii="Times New Roman" w:eastAsia="Times New Roman" w:hAnsi="Times New Roman" w:cs="Times New Roman"/>
                <w:color w:val="000000" w:themeColor="text1"/>
              </w:rPr>
              <w:t>way (%)</w:t>
            </w:r>
          </w:p>
        </w:tc>
      </w:tr>
      <w:tr w:rsidR="00FE0A7B" w:rsidRPr="00947EC0" w14:paraId="6248240B" w14:textId="77777777" w:rsidTr="003638E5">
        <w:tc>
          <w:tcPr>
            <w:tcW w:w="754" w:type="dxa"/>
          </w:tcPr>
          <w:p w14:paraId="2D2B3242" w14:textId="77777777" w:rsidR="00FE0A7B" w:rsidRPr="00947EC0" w:rsidRDefault="00FE0A7B" w:rsidP="003638E5">
            <w:pPr>
              <w:rPr>
                <w:rFonts w:ascii="Times New Roman" w:eastAsia="Times New Roman" w:hAnsi="Times New Roman" w:cs="Times New Roman"/>
                <w:color w:val="000000" w:themeColor="text1"/>
              </w:rPr>
            </w:pPr>
          </w:p>
        </w:tc>
        <w:tc>
          <w:tcPr>
            <w:tcW w:w="2988" w:type="dxa"/>
            <w:gridSpan w:val="2"/>
          </w:tcPr>
          <w:p w14:paraId="6D33C7D2" w14:textId="77777777" w:rsidR="00FE0A7B" w:rsidRPr="00947EC0" w:rsidRDefault="00FE0A7B" w:rsidP="003638E5">
            <w:pPr>
              <w:rPr>
                <w:rFonts w:ascii="Times New Roman" w:eastAsia="Times New Roman" w:hAnsi="Times New Roman" w:cs="Times New Roman"/>
                <w:color w:val="000000" w:themeColor="text1"/>
              </w:rPr>
            </w:pPr>
            <w:r w:rsidRPr="00947EC0">
              <w:rPr>
                <w:rFonts w:ascii="Times New Roman" w:eastAsia="Times New Roman" w:hAnsi="Times New Roman" w:cs="Times New Roman"/>
                <w:color w:val="000000" w:themeColor="text1"/>
              </w:rPr>
              <w:t>U</w:t>
            </w:r>
            <w:r>
              <w:rPr>
                <w:rFonts w:ascii="Times New Roman" w:eastAsia="Times New Roman" w:hAnsi="Times New Roman" w:cs="Times New Roman"/>
                <w:color w:val="000000" w:themeColor="text1"/>
              </w:rPr>
              <w:t>.</w:t>
            </w:r>
            <w:r w:rsidRPr="00947EC0">
              <w:rPr>
                <w:rFonts w:ascii="Times New Roman" w:eastAsia="Times New Roman" w:hAnsi="Times New Roman" w:cs="Times New Roman"/>
                <w:color w:val="000000" w:themeColor="text1"/>
              </w:rPr>
              <w:t>S</w:t>
            </w:r>
            <w:r>
              <w:rPr>
                <w:rFonts w:ascii="Times New Roman" w:eastAsia="Times New Roman" w:hAnsi="Times New Roman" w:cs="Times New Roman"/>
                <w:color w:val="000000" w:themeColor="text1"/>
              </w:rPr>
              <w:t>.</w:t>
            </w:r>
          </w:p>
        </w:tc>
        <w:tc>
          <w:tcPr>
            <w:tcW w:w="2805" w:type="dxa"/>
            <w:gridSpan w:val="2"/>
          </w:tcPr>
          <w:p w14:paraId="7685A5D1" w14:textId="77777777" w:rsidR="00FE0A7B" w:rsidRPr="00947EC0" w:rsidRDefault="00FE0A7B" w:rsidP="003638E5">
            <w:pPr>
              <w:rPr>
                <w:rFonts w:ascii="Times New Roman" w:eastAsia="Times New Roman" w:hAnsi="Times New Roman" w:cs="Times New Roman"/>
                <w:color w:val="000000" w:themeColor="text1"/>
              </w:rPr>
            </w:pPr>
            <w:r w:rsidRPr="00947EC0">
              <w:rPr>
                <w:rFonts w:ascii="Times New Roman" w:eastAsia="Times New Roman" w:hAnsi="Times New Roman" w:cs="Times New Roman"/>
                <w:color w:val="000000" w:themeColor="text1"/>
              </w:rPr>
              <w:t>CA</w:t>
            </w:r>
          </w:p>
        </w:tc>
        <w:tc>
          <w:tcPr>
            <w:tcW w:w="2803" w:type="dxa"/>
            <w:gridSpan w:val="2"/>
          </w:tcPr>
          <w:p w14:paraId="00373DBD" w14:textId="77777777" w:rsidR="00FE0A7B" w:rsidRPr="00947EC0" w:rsidRDefault="00FE0A7B" w:rsidP="003638E5">
            <w:pPr>
              <w:rPr>
                <w:rFonts w:ascii="Times New Roman" w:eastAsia="Times New Roman" w:hAnsi="Times New Roman" w:cs="Times New Roman"/>
                <w:color w:val="000000" w:themeColor="text1"/>
              </w:rPr>
            </w:pPr>
            <w:r w:rsidRPr="00947EC0">
              <w:rPr>
                <w:rFonts w:ascii="Times New Roman" w:eastAsia="Times New Roman" w:hAnsi="Times New Roman" w:cs="Times New Roman"/>
                <w:color w:val="000000" w:themeColor="text1"/>
              </w:rPr>
              <w:t>MX</w:t>
            </w:r>
          </w:p>
        </w:tc>
      </w:tr>
      <w:tr w:rsidR="00FE0A7B" w:rsidRPr="00947EC0" w14:paraId="7F3C3502" w14:textId="77777777" w:rsidTr="003638E5">
        <w:tc>
          <w:tcPr>
            <w:tcW w:w="754" w:type="dxa"/>
            <w:tcBorders>
              <w:bottom w:val="single" w:sz="4" w:space="0" w:color="auto"/>
            </w:tcBorders>
          </w:tcPr>
          <w:p w14:paraId="049BB688" w14:textId="77777777" w:rsidR="00FE0A7B" w:rsidRPr="00947EC0" w:rsidRDefault="00FE0A7B" w:rsidP="003638E5">
            <w:pPr>
              <w:rPr>
                <w:rFonts w:ascii="Times New Roman" w:eastAsia="Times New Roman" w:hAnsi="Times New Roman" w:cs="Times New Roman"/>
                <w:color w:val="000000" w:themeColor="text1"/>
              </w:rPr>
            </w:pPr>
          </w:p>
        </w:tc>
        <w:tc>
          <w:tcPr>
            <w:tcW w:w="1545" w:type="dxa"/>
            <w:tcBorders>
              <w:bottom w:val="single" w:sz="4" w:space="0" w:color="auto"/>
            </w:tcBorders>
            <w:vAlign w:val="center"/>
          </w:tcPr>
          <w:p w14:paraId="64B63CEC" w14:textId="77777777" w:rsidR="00FE0A7B" w:rsidRPr="00947EC0" w:rsidRDefault="00FE0A7B" w:rsidP="003638E5">
            <w:pPr>
              <w:rPr>
                <w:rFonts w:ascii="Times New Roman" w:hAnsi="Times New Roman" w:cs="Times New Roman"/>
                <w:color w:val="000000" w:themeColor="text1"/>
              </w:rPr>
            </w:pPr>
            <w:r>
              <w:rPr>
                <w:rFonts w:ascii="Times New Roman" w:hAnsi="Times New Roman" w:cs="Times New Roman"/>
                <w:color w:val="000000" w:themeColor="text1"/>
              </w:rPr>
              <w:t>Current Clinical Coverage</w:t>
            </w:r>
          </w:p>
        </w:tc>
        <w:tc>
          <w:tcPr>
            <w:tcW w:w="1443" w:type="dxa"/>
            <w:tcBorders>
              <w:bottom w:val="single" w:sz="4" w:space="0" w:color="auto"/>
            </w:tcBorders>
          </w:tcPr>
          <w:p w14:paraId="3E4C0872" w14:textId="77777777" w:rsidR="00FE0A7B" w:rsidRPr="00947EC0" w:rsidRDefault="00FE0A7B" w:rsidP="003638E5">
            <w:pPr>
              <w:rPr>
                <w:rFonts w:ascii="Times New Roman" w:hAnsi="Times New Roman" w:cs="Times New Roman"/>
                <w:color w:val="000000" w:themeColor="text1"/>
              </w:rPr>
            </w:pPr>
            <w:r>
              <w:rPr>
                <w:rFonts w:ascii="Times New Roman" w:hAnsi="Times New Roman" w:cs="Times New Roman"/>
                <w:color w:val="000000" w:themeColor="text1"/>
              </w:rPr>
              <w:t>Expanded Weight-management Access</w:t>
            </w:r>
          </w:p>
        </w:tc>
        <w:tc>
          <w:tcPr>
            <w:tcW w:w="1362" w:type="dxa"/>
            <w:tcBorders>
              <w:bottom w:val="single" w:sz="4" w:space="0" w:color="auto"/>
            </w:tcBorders>
            <w:vAlign w:val="center"/>
          </w:tcPr>
          <w:p w14:paraId="05ECC7AC" w14:textId="77777777" w:rsidR="00FE0A7B" w:rsidRPr="00947EC0" w:rsidRDefault="00FE0A7B" w:rsidP="003638E5">
            <w:pPr>
              <w:rPr>
                <w:rFonts w:ascii="Times New Roman" w:hAnsi="Times New Roman" w:cs="Times New Roman"/>
                <w:color w:val="000000" w:themeColor="text1"/>
              </w:rPr>
            </w:pPr>
            <w:r>
              <w:rPr>
                <w:rFonts w:ascii="Times New Roman" w:hAnsi="Times New Roman" w:cs="Times New Roman"/>
                <w:color w:val="000000" w:themeColor="text1"/>
              </w:rPr>
              <w:t>Current Clinical Coverage</w:t>
            </w:r>
          </w:p>
        </w:tc>
        <w:tc>
          <w:tcPr>
            <w:tcW w:w="1443" w:type="dxa"/>
            <w:tcBorders>
              <w:bottom w:val="single" w:sz="4" w:space="0" w:color="auto"/>
            </w:tcBorders>
          </w:tcPr>
          <w:p w14:paraId="67B4C52F" w14:textId="77777777" w:rsidR="00FE0A7B" w:rsidRPr="00947EC0" w:rsidRDefault="00FE0A7B" w:rsidP="003638E5">
            <w:pPr>
              <w:rPr>
                <w:rFonts w:ascii="Times New Roman" w:hAnsi="Times New Roman" w:cs="Times New Roman"/>
                <w:color w:val="000000" w:themeColor="text1"/>
              </w:rPr>
            </w:pPr>
            <w:r>
              <w:rPr>
                <w:rFonts w:ascii="Times New Roman" w:hAnsi="Times New Roman" w:cs="Times New Roman"/>
                <w:color w:val="000000" w:themeColor="text1"/>
              </w:rPr>
              <w:t>Expanded Weight-management Access</w:t>
            </w:r>
          </w:p>
        </w:tc>
        <w:tc>
          <w:tcPr>
            <w:tcW w:w="1360" w:type="dxa"/>
            <w:tcBorders>
              <w:bottom w:val="single" w:sz="4" w:space="0" w:color="auto"/>
            </w:tcBorders>
            <w:vAlign w:val="center"/>
          </w:tcPr>
          <w:p w14:paraId="1CFD82A7" w14:textId="77777777" w:rsidR="00FE0A7B" w:rsidRPr="00947EC0" w:rsidRDefault="00FE0A7B" w:rsidP="003638E5">
            <w:pPr>
              <w:rPr>
                <w:rFonts w:ascii="Times New Roman" w:hAnsi="Times New Roman" w:cs="Times New Roman"/>
                <w:color w:val="000000" w:themeColor="text1"/>
              </w:rPr>
            </w:pPr>
            <w:r>
              <w:rPr>
                <w:rFonts w:ascii="Times New Roman" w:hAnsi="Times New Roman" w:cs="Times New Roman"/>
                <w:color w:val="000000" w:themeColor="text1"/>
              </w:rPr>
              <w:t>Current Clinical Coverage</w:t>
            </w:r>
          </w:p>
        </w:tc>
        <w:tc>
          <w:tcPr>
            <w:tcW w:w="1443" w:type="dxa"/>
            <w:tcBorders>
              <w:bottom w:val="single" w:sz="4" w:space="0" w:color="auto"/>
            </w:tcBorders>
          </w:tcPr>
          <w:p w14:paraId="448A0DB2" w14:textId="77777777" w:rsidR="00FE0A7B" w:rsidRPr="00947EC0" w:rsidRDefault="00FE0A7B" w:rsidP="003638E5">
            <w:pPr>
              <w:rPr>
                <w:rFonts w:ascii="Times New Roman" w:hAnsi="Times New Roman" w:cs="Times New Roman"/>
                <w:color w:val="000000" w:themeColor="text1"/>
              </w:rPr>
            </w:pPr>
            <w:r>
              <w:rPr>
                <w:rFonts w:ascii="Times New Roman" w:hAnsi="Times New Roman" w:cs="Times New Roman"/>
                <w:color w:val="000000" w:themeColor="text1"/>
              </w:rPr>
              <w:t>Expanded Weight-management Access</w:t>
            </w:r>
          </w:p>
        </w:tc>
      </w:tr>
      <w:tr w:rsidR="00FE0A7B" w:rsidRPr="00C90526" w14:paraId="2204B15F" w14:textId="77777777" w:rsidTr="003638E5">
        <w:tc>
          <w:tcPr>
            <w:tcW w:w="754" w:type="dxa"/>
            <w:tcBorders>
              <w:top w:val="single" w:sz="4" w:space="0" w:color="auto"/>
              <w:bottom w:val="single" w:sz="4" w:space="0" w:color="auto"/>
              <w:right w:val="single" w:sz="4" w:space="0" w:color="auto"/>
            </w:tcBorders>
          </w:tcPr>
          <w:p w14:paraId="43CA9BA4" w14:textId="77777777" w:rsidR="00FE0A7B" w:rsidRPr="00C90526" w:rsidRDefault="00FE0A7B" w:rsidP="003638E5">
            <w:pPr>
              <w:rPr>
                <w:rFonts w:ascii="Times New Roman" w:eastAsia="Times New Roman" w:hAnsi="Times New Roman" w:cs="Times New Roman"/>
              </w:rPr>
            </w:pPr>
            <w:r w:rsidRPr="00C90526">
              <w:rPr>
                <w:rFonts w:ascii="Times New Roman" w:eastAsia="Times New Roman" w:hAnsi="Times New Roman" w:cs="Times New Roman"/>
              </w:rPr>
              <w:t>2026</w:t>
            </w:r>
          </w:p>
        </w:tc>
        <w:tc>
          <w:tcPr>
            <w:tcW w:w="1545" w:type="dxa"/>
            <w:tcBorders>
              <w:top w:val="single" w:sz="4" w:space="0" w:color="auto"/>
              <w:left w:val="single" w:sz="4" w:space="0" w:color="auto"/>
              <w:bottom w:val="single" w:sz="4" w:space="0" w:color="auto"/>
              <w:right w:val="single" w:sz="4" w:space="0" w:color="auto"/>
            </w:tcBorders>
            <w:vAlign w:val="bottom"/>
          </w:tcPr>
          <w:p w14:paraId="4EC1BD9E" w14:textId="77777777"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9.00</w:t>
            </w:r>
          </w:p>
        </w:tc>
        <w:tc>
          <w:tcPr>
            <w:tcW w:w="1443" w:type="dxa"/>
            <w:tcBorders>
              <w:top w:val="single" w:sz="4" w:space="0" w:color="auto"/>
              <w:left w:val="single" w:sz="4" w:space="0" w:color="auto"/>
              <w:bottom w:val="single" w:sz="4" w:space="0" w:color="auto"/>
              <w:right w:val="single" w:sz="4" w:space="0" w:color="auto"/>
            </w:tcBorders>
            <w:vAlign w:val="bottom"/>
          </w:tcPr>
          <w:p w14:paraId="79942478" w14:textId="77777777"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9.</w:t>
            </w:r>
            <w:r>
              <w:rPr>
                <w:rFonts w:ascii="Times New Roman" w:hAnsi="Times New Roman" w:cs="Times New Roman"/>
                <w:sz w:val="22"/>
                <w:szCs w:val="22"/>
              </w:rPr>
              <w:t>90</w:t>
            </w:r>
          </w:p>
        </w:tc>
        <w:tc>
          <w:tcPr>
            <w:tcW w:w="1362" w:type="dxa"/>
            <w:tcBorders>
              <w:top w:val="single" w:sz="4" w:space="0" w:color="auto"/>
              <w:left w:val="single" w:sz="4" w:space="0" w:color="auto"/>
              <w:bottom w:val="single" w:sz="4" w:space="0" w:color="auto"/>
              <w:right w:val="single" w:sz="4" w:space="0" w:color="auto"/>
            </w:tcBorders>
            <w:vAlign w:val="bottom"/>
          </w:tcPr>
          <w:p w14:paraId="43481A23" w14:textId="701474DC"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1.93</w:t>
            </w:r>
          </w:p>
        </w:tc>
        <w:tc>
          <w:tcPr>
            <w:tcW w:w="1443" w:type="dxa"/>
            <w:tcBorders>
              <w:top w:val="single" w:sz="4" w:space="0" w:color="auto"/>
              <w:left w:val="single" w:sz="4" w:space="0" w:color="auto"/>
              <w:bottom w:val="single" w:sz="4" w:space="0" w:color="auto"/>
              <w:right w:val="single" w:sz="4" w:space="0" w:color="auto"/>
            </w:tcBorders>
            <w:vAlign w:val="bottom"/>
          </w:tcPr>
          <w:p w14:paraId="401F8502" w14:textId="4D01E3D3"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2.41</w:t>
            </w:r>
          </w:p>
        </w:tc>
        <w:tc>
          <w:tcPr>
            <w:tcW w:w="1360" w:type="dxa"/>
            <w:tcBorders>
              <w:top w:val="single" w:sz="4" w:space="0" w:color="auto"/>
              <w:left w:val="single" w:sz="4" w:space="0" w:color="auto"/>
              <w:bottom w:val="single" w:sz="4" w:space="0" w:color="auto"/>
              <w:right w:val="single" w:sz="4" w:space="0" w:color="auto"/>
            </w:tcBorders>
            <w:vAlign w:val="bottom"/>
          </w:tcPr>
          <w:p w14:paraId="143E84D5" w14:textId="5FC0D0E3"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0.61</w:t>
            </w:r>
          </w:p>
        </w:tc>
        <w:tc>
          <w:tcPr>
            <w:tcW w:w="1443" w:type="dxa"/>
            <w:tcBorders>
              <w:top w:val="single" w:sz="4" w:space="0" w:color="auto"/>
              <w:left w:val="single" w:sz="4" w:space="0" w:color="auto"/>
              <w:bottom w:val="single" w:sz="4" w:space="0" w:color="auto"/>
              <w:right w:val="single" w:sz="4" w:space="0" w:color="auto"/>
            </w:tcBorders>
            <w:vAlign w:val="bottom"/>
          </w:tcPr>
          <w:p w14:paraId="3D7A9075" w14:textId="72A98795"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0.73</w:t>
            </w:r>
          </w:p>
        </w:tc>
      </w:tr>
      <w:tr w:rsidR="00FE0A7B" w:rsidRPr="00C90526" w14:paraId="35598266" w14:textId="77777777" w:rsidTr="003638E5">
        <w:tc>
          <w:tcPr>
            <w:tcW w:w="754" w:type="dxa"/>
            <w:tcBorders>
              <w:top w:val="single" w:sz="4" w:space="0" w:color="auto"/>
              <w:bottom w:val="single" w:sz="4" w:space="0" w:color="auto"/>
              <w:right w:val="single" w:sz="4" w:space="0" w:color="auto"/>
            </w:tcBorders>
          </w:tcPr>
          <w:p w14:paraId="29154D53" w14:textId="77777777" w:rsidR="00FE0A7B" w:rsidRPr="00C90526" w:rsidRDefault="00FE0A7B" w:rsidP="003638E5">
            <w:pPr>
              <w:rPr>
                <w:rFonts w:ascii="Times New Roman" w:eastAsia="Times New Roman" w:hAnsi="Times New Roman" w:cs="Times New Roman"/>
              </w:rPr>
            </w:pPr>
            <w:r w:rsidRPr="00C90526">
              <w:rPr>
                <w:rFonts w:ascii="Times New Roman" w:eastAsia="Times New Roman" w:hAnsi="Times New Roman" w:cs="Times New Roman"/>
              </w:rPr>
              <w:t>2027</w:t>
            </w:r>
          </w:p>
        </w:tc>
        <w:tc>
          <w:tcPr>
            <w:tcW w:w="1545" w:type="dxa"/>
            <w:tcBorders>
              <w:top w:val="single" w:sz="4" w:space="0" w:color="auto"/>
              <w:left w:val="single" w:sz="4" w:space="0" w:color="auto"/>
              <w:bottom w:val="single" w:sz="4" w:space="0" w:color="auto"/>
              <w:right w:val="single" w:sz="4" w:space="0" w:color="auto"/>
            </w:tcBorders>
            <w:vAlign w:val="bottom"/>
          </w:tcPr>
          <w:p w14:paraId="31442B64" w14:textId="77777777"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10.44</w:t>
            </w:r>
          </w:p>
        </w:tc>
        <w:tc>
          <w:tcPr>
            <w:tcW w:w="1443" w:type="dxa"/>
            <w:tcBorders>
              <w:top w:val="single" w:sz="4" w:space="0" w:color="auto"/>
              <w:left w:val="single" w:sz="4" w:space="0" w:color="auto"/>
              <w:bottom w:val="single" w:sz="4" w:space="0" w:color="auto"/>
              <w:right w:val="single" w:sz="4" w:space="0" w:color="auto"/>
            </w:tcBorders>
            <w:vAlign w:val="bottom"/>
          </w:tcPr>
          <w:p w14:paraId="1F4164AF" w14:textId="77777777"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13.12</w:t>
            </w:r>
          </w:p>
        </w:tc>
        <w:tc>
          <w:tcPr>
            <w:tcW w:w="1362" w:type="dxa"/>
            <w:tcBorders>
              <w:top w:val="single" w:sz="4" w:space="0" w:color="auto"/>
              <w:left w:val="single" w:sz="4" w:space="0" w:color="auto"/>
              <w:bottom w:val="single" w:sz="4" w:space="0" w:color="auto"/>
              <w:right w:val="single" w:sz="4" w:space="0" w:color="auto"/>
            </w:tcBorders>
            <w:vAlign w:val="bottom"/>
          </w:tcPr>
          <w:p w14:paraId="2AC060BF" w14:textId="6DA3E60B"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2.55</w:t>
            </w:r>
          </w:p>
        </w:tc>
        <w:tc>
          <w:tcPr>
            <w:tcW w:w="1443" w:type="dxa"/>
            <w:tcBorders>
              <w:top w:val="single" w:sz="4" w:space="0" w:color="auto"/>
              <w:left w:val="single" w:sz="4" w:space="0" w:color="auto"/>
              <w:bottom w:val="single" w:sz="4" w:space="0" w:color="auto"/>
              <w:right w:val="single" w:sz="4" w:space="0" w:color="auto"/>
            </w:tcBorders>
            <w:vAlign w:val="bottom"/>
          </w:tcPr>
          <w:p w14:paraId="314C4AB1" w14:textId="7F14C106"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3.31</w:t>
            </w:r>
          </w:p>
        </w:tc>
        <w:tc>
          <w:tcPr>
            <w:tcW w:w="1360" w:type="dxa"/>
            <w:tcBorders>
              <w:top w:val="single" w:sz="4" w:space="0" w:color="auto"/>
              <w:left w:val="single" w:sz="4" w:space="0" w:color="auto"/>
              <w:bottom w:val="single" w:sz="4" w:space="0" w:color="auto"/>
              <w:right w:val="single" w:sz="4" w:space="0" w:color="auto"/>
            </w:tcBorders>
            <w:vAlign w:val="bottom"/>
          </w:tcPr>
          <w:p w14:paraId="56DA30D5" w14:textId="2AA9DF4C"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0.</w:t>
            </w:r>
            <w:r w:rsidR="007D1D6B">
              <w:rPr>
                <w:rFonts w:ascii="Times New Roman" w:hAnsi="Times New Roman" w:cs="Times New Roman"/>
                <w:sz w:val="22"/>
                <w:szCs w:val="22"/>
              </w:rPr>
              <w:t>90</w:t>
            </w:r>
          </w:p>
        </w:tc>
        <w:tc>
          <w:tcPr>
            <w:tcW w:w="1443" w:type="dxa"/>
            <w:tcBorders>
              <w:top w:val="single" w:sz="4" w:space="0" w:color="auto"/>
              <w:left w:val="single" w:sz="4" w:space="0" w:color="auto"/>
              <w:bottom w:val="single" w:sz="4" w:space="0" w:color="auto"/>
              <w:right w:val="single" w:sz="4" w:space="0" w:color="auto"/>
            </w:tcBorders>
            <w:vAlign w:val="bottom"/>
          </w:tcPr>
          <w:p w14:paraId="0B902EA1" w14:textId="1837E9E5"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1.1</w:t>
            </w:r>
            <w:r w:rsidR="007D1D6B">
              <w:rPr>
                <w:rFonts w:ascii="Times New Roman" w:hAnsi="Times New Roman" w:cs="Times New Roman"/>
                <w:sz w:val="22"/>
                <w:szCs w:val="22"/>
              </w:rPr>
              <w:t>3</w:t>
            </w:r>
          </w:p>
        </w:tc>
      </w:tr>
      <w:tr w:rsidR="00FE0A7B" w:rsidRPr="00C90526" w14:paraId="394490F2" w14:textId="77777777" w:rsidTr="003638E5">
        <w:tc>
          <w:tcPr>
            <w:tcW w:w="754" w:type="dxa"/>
            <w:tcBorders>
              <w:top w:val="single" w:sz="4" w:space="0" w:color="auto"/>
              <w:bottom w:val="single" w:sz="4" w:space="0" w:color="auto"/>
              <w:right w:val="single" w:sz="4" w:space="0" w:color="auto"/>
            </w:tcBorders>
          </w:tcPr>
          <w:p w14:paraId="45EC4777" w14:textId="77777777" w:rsidR="00FE0A7B" w:rsidRPr="00C90526" w:rsidRDefault="00FE0A7B" w:rsidP="003638E5">
            <w:pPr>
              <w:rPr>
                <w:rFonts w:ascii="Times New Roman" w:eastAsia="Times New Roman" w:hAnsi="Times New Roman" w:cs="Times New Roman"/>
              </w:rPr>
            </w:pPr>
            <w:r w:rsidRPr="00C90526">
              <w:rPr>
                <w:rFonts w:ascii="Times New Roman" w:eastAsia="Times New Roman" w:hAnsi="Times New Roman" w:cs="Times New Roman"/>
              </w:rPr>
              <w:t>2028</w:t>
            </w:r>
          </w:p>
        </w:tc>
        <w:tc>
          <w:tcPr>
            <w:tcW w:w="1545" w:type="dxa"/>
            <w:tcBorders>
              <w:top w:val="single" w:sz="4" w:space="0" w:color="auto"/>
              <w:left w:val="single" w:sz="4" w:space="0" w:color="auto"/>
              <w:bottom w:val="single" w:sz="4" w:space="0" w:color="auto"/>
              <w:right w:val="single" w:sz="4" w:space="0" w:color="auto"/>
            </w:tcBorders>
            <w:vAlign w:val="bottom"/>
          </w:tcPr>
          <w:p w14:paraId="147E73DA" w14:textId="77777777"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12.28</w:t>
            </w:r>
          </w:p>
        </w:tc>
        <w:tc>
          <w:tcPr>
            <w:tcW w:w="1443" w:type="dxa"/>
            <w:tcBorders>
              <w:top w:val="single" w:sz="4" w:space="0" w:color="auto"/>
              <w:left w:val="single" w:sz="4" w:space="0" w:color="auto"/>
              <w:bottom w:val="single" w:sz="4" w:space="0" w:color="auto"/>
              <w:right w:val="single" w:sz="4" w:space="0" w:color="auto"/>
            </w:tcBorders>
            <w:vAlign w:val="bottom"/>
          </w:tcPr>
          <w:p w14:paraId="522F40F2" w14:textId="77777777"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17.33</w:t>
            </w:r>
          </w:p>
        </w:tc>
        <w:tc>
          <w:tcPr>
            <w:tcW w:w="1362" w:type="dxa"/>
            <w:tcBorders>
              <w:top w:val="single" w:sz="4" w:space="0" w:color="auto"/>
              <w:left w:val="single" w:sz="4" w:space="0" w:color="auto"/>
              <w:bottom w:val="single" w:sz="4" w:space="0" w:color="auto"/>
              <w:right w:val="single" w:sz="4" w:space="0" w:color="auto"/>
            </w:tcBorders>
            <w:vAlign w:val="bottom"/>
          </w:tcPr>
          <w:p w14:paraId="79DB5A14" w14:textId="4AB49400"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3.20</w:t>
            </w:r>
          </w:p>
        </w:tc>
        <w:tc>
          <w:tcPr>
            <w:tcW w:w="1443" w:type="dxa"/>
            <w:tcBorders>
              <w:top w:val="single" w:sz="4" w:space="0" w:color="auto"/>
              <w:left w:val="single" w:sz="4" w:space="0" w:color="auto"/>
              <w:bottom w:val="single" w:sz="4" w:space="0" w:color="auto"/>
              <w:right w:val="single" w:sz="4" w:space="0" w:color="auto"/>
            </w:tcBorders>
            <w:vAlign w:val="bottom"/>
          </w:tcPr>
          <w:p w14:paraId="6F1BAD1F" w14:textId="56887F95"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4.4</w:t>
            </w:r>
            <w:r w:rsidR="007D1D6B">
              <w:rPr>
                <w:rFonts w:ascii="Times New Roman" w:hAnsi="Times New Roman" w:cs="Times New Roman"/>
                <w:sz w:val="22"/>
                <w:szCs w:val="22"/>
              </w:rPr>
              <w:t>1</w:t>
            </w:r>
          </w:p>
        </w:tc>
        <w:tc>
          <w:tcPr>
            <w:tcW w:w="1360" w:type="dxa"/>
            <w:tcBorders>
              <w:top w:val="single" w:sz="4" w:space="0" w:color="auto"/>
              <w:left w:val="single" w:sz="4" w:space="0" w:color="auto"/>
              <w:bottom w:val="single" w:sz="4" w:space="0" w:color="auto"/>
              <w:right w:val="single" w:sz="4" w:space="0" w:color="auto"/>
            </w:tcBorders>
            <w:vAlign w:val="bottom"/>
          </w:tcPr>
          <w:p w14:paraId="13CD61D8" w14:textId="76C73306"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1.27</w:t>
            </w:r>
          </w:p>
        </w:tc>
        <w:tc>
          <w:tcPr>
            <w:tcW w:w="1443" w:type="dxa"/>
            <w:tcBorders>
              <w:top w:val="single" w:sz="4" w:space="0" w:color="auto"/>
              <w:left w:val="single" w:sz="4" w:space="0" w:color="auto"/>
              <w:bottom w:val="single" w:sz="4" w:space="0" w:color="auto"/>
              <w:right w:val="single" w:sz="4" w:space="0" w:color="auto"/>
            </w:tcBorders>
            <w:vAlign w:val="bottom"/>
          </w:tcPr>
          <w:p w14:paraId="492F5E61" w14:textId="43858A8A"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1.71</w:t>
            </w:r>
          </w:p>
        </w:tc>
      </w:tr>
      <w:tr w:rsidR="00FE0A7B" w:rsidRPr="00C90526" w14:paraId="57DC1AC6" w14:textId="77777777" w:rsidTr="003638E5">
        <w:tc>
          <w:tcPr>
            <w:tcW w:w="754" w:type="dxa"/>
            <w:tcBorders>
              <w:top w:val="single" w:sz="4" w:space="0" w:color="auto"/>
              <w:bottom w:val="single" w:sz="4" w:space="0" w:color="auto"/>
              <w:right w:val="single" w:sz="4" w:space="0" w:color="auto"/>
            </w:tcBorders>
          </w:tcPr>
          <w:p w14:paraId="1679685C" w14:textId="77777777" w:rsidR="00FE0A7B" w:rsidRPr="00C90526" w:rsidRDefault="00FE0A7B" w:rsidP="003638E5">
            <w:pPr>
              <w:rPr>
                <w:rFonts w:ascii="Times New Roman" w:eastAsia="Times New Roman" w:hAnsi="Times New Roman" w:cs="Times New Roman"/>
              </w:rPr>
            </w:pPr>
            <w:r w:rsidRPr="00C90526">
              <w:rPr>
                <w:rFonts w:ascii="Times New Roman" w:eastAsia="Times New Roman" w:hAnsi="Times New Roman" w:cs="Times New Roman"/>
              </w:rPr>
              <w:t>2029</w:t>
            </w:r>
          </w:p>
        </w:tc>
        <w:tc>
          <w:tcPr>
            <w:tcW w:w="1545" w:type="dxa"/>
            <w:tcBorders>
              <w:top w:val="single" w:sz="4" w:space="0" w:color="auto"/>
              <w:left w:val="single" w:sz="4" w:space="0" w:color="auto"/>
              <w:bottom w:val="single" w:sz="4" w:space="0" w:color="auto"/>
              <w:right w:val="single" w:sz="4" w:space="0" w:color="auto"/>
            </w:tcBorders>
            <w:vAlign w:val="bottom"/>
          </w:tcPr>
          <w:p w14:paraId="4AA56019" w14:textId="77777777"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14.3</w:t>
            </w:r>
            <w:r>
              <w:rPr>
                <w:rFonts w:ascii="Times New Roman" w:hAnsi="Times New Roman" w:cs="Times New Roman"/>
                <w:sz w:val="22"/>
                <w:szCs w:val="22"/>
              </w:rPr>
              <w:t>4</w:t>
            </w:r>
          </w:p>
        </w:tc>
        <w:tc>
          <w:tcPr>
            <w:tcW w:w="1443" w:type="dxa"/>
            <w:tcBorders>
              <w:top w:val="single" w:sz="4" w:space="0" w:color="auto"/>
              <w:left w:val="single" w:sz="4" w:space="0" w:color="auto"/>
              <w:bottom w:val="single" w:sz="4" w:space="0" w:color="auto"/>
              <w:right w:val="single" w:sz="4" w:space="0" w:color="auto"/>
            </w:tcBorders>
            <w:vAlign w:val="bottom"/>
          </w:tcPr>
          <w:p w14:paraId="45646E48" w14:textId="77777777"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22.7</w:t>
            </w:r>
            <w:r>
              <w:rPr>
                <w:rFonts w:ascii="Times New Roman" w:hAnsi="Times New Roman" w:cs="Times New Roman"/>
                <w:sz w:val="22"/>
                <w:szCs w:val="22"/>
              </w:rPr>
              <w:t>4</w:t>
            </w:r>
          </w:p>
        </w:tc>
        <w:tc>
          <w:tcPr>
            <w:tcW w:w="1362" w:type="dxa"/>
            <w:tcBorders>
              <w:top w:val="single" w:sz="4" w:space="0" w:color="auto"/>
              <w:left w:val="single" w:sz="4" w:space="0" w:color="auto"/>
              <w:bottom w:val="single" w:sz="4" w:space="0" w:color="auto"/>
              <w:right w:val="single" w:sz="4" w:space="0" w:color="auto"/>
            </w:tcBorders>
            <w:vAlign w:val="bottom"/>
          </w:tcPr>
          <w:p w14:paraId="38E799C5" w14:textId="2E396264"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4.0</w:t>
            </w:r>
            <w:r w:rsidR="007D1D6B">
              <w:rPr>
                <w:rFonts w:ascii="Times New Roman" w:hAnsi="Times New Roman" w:cs="Times New Roman"/>
                <w:sz w:val="22"/>
                <w:szCs w:val="22"/>
              </w:rPr>
              <w:t>1</w:t>
            </w:r>
          </w:p>
        </w:tc>
        <w:tc>
          <w:tcPr>
            <w:tcW w:w="1443" w:type="dxa"/>
            <w:tcBorders>
              <w:top w:val="single" w:sz="4" w:space="0" w:color="auto"/>
              <w:left w:val="single" w:sz="4" w:space="0" w:color="auto"/>
              <w:bottom w:val="single" w:sz="4" w:space="0" w:color="auto"/>
              <w:right w:val="single" w:sz="4" w:space="0" w:color="auto"/>
            </w:tcBorders>
            <w:vAlign w:val="bottom"/>
          </w:tcPr>
          <w:p w14:paraId="2802FDB3" w14:textId="3B4B6C7F"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5.61</w:t>
            </w:r>
          </w:p>
        </w:tc>
        <w:tc>
          <w:tcPr>
            <w:tcW w:w="1360" w:type="dxa"/>
            <w:tcBorders>
              <w:top w:val="single" w:sz="4" w:space="0" w:color="auto"/>
              <w:left w:val="single" w:sz="4" w:space="0" w:color="auto"/>
              <w:bottom w:val="single" w:sz="4" w:space="0" w:color="auto"/>
              <w:right w:val="single" w:sz="4" w:space="0" w:color="auto"/>
            </w:tcBorders>
            <w:vAlign w:val="bottom"/>
          </w:tcPr>
          <w:p w14:paraId="15CB7B6B" w14:textId="3207CFC4"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1.7</w:t>
            </w:r>
            <w:r w:rsidR="007D1D6B">
              <w:rPr>
                <w:rFonts w:ascii="Times New Roman" w:hAnsi="Times New Roman" w:cs="Times New Roman"/>
                <w:sz w:val="22"/>
                <w:szCs w:val="22"/>
              </w:rPr>
              <w:t>6</w:t>
            </w:r>
          </w:p>
        </w:tc>
        <w:tc>
          <w:tcPr>
            <w:tcW w:w="1443" w:type="dxa"/>
            <w:tcBorders>
              <w:top w:val="single" w:sz="4" w:space="0" w:color="auto"/>
              <w:left w:val="single" w:sz="4" w:space="0" w:color="auto"/>
              <w:bottom w:val="single" w:sz="4" w:space="0" w:color="auto"/>
              <w:right w:val="single" w:sz="4" w:space="0" w:color="auto"/>
            </w:tcBorders>
            <w:vAlign w:val="bottom"/>
          </w:tcPr>
          <w:p w14:paraId="3A4A84F9" w14:textId="35BD396A"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2.</w:t>
            </w:r>
            <w:r w:rsidR="007D1D6B">
              <w:rPr>
                <w:rFonts w:ascii="Times New Roman" w:hAnsi="Times New Roman" w:cs="Times New Roman"/>
                <w:sz w:val="22"/>
                <w:szCs w:val="22"/>
              </w:rPr>
              <w:t>50</w:t>
            </w:r>
          </w:p>
        </w:tc>
      </w:tr>
      <w:tr w:rsidR="00FE0A7B" w:rsidRPr="00C90526" w14:paraId="2C6D8177" w14:textId="77777777" w:rsidTr="003638E5">
        <w:trPr>
          <w:trHeight w:val="44"/>
        </w:trPr>
        <w:tc>
          <w:tcPr>
            <w:tcW w:w="754" w:type="dxa"/>
            <w:tcBorders>
              <w:top w:val="single" w:sz="4" w:space="0" w:color="auto"/>
              <w:bottom w:val="single" w:sz="4" w:space="0" w:color="auto"/>
              <w:right w:val="single" w:sz="4" w:space="0" w:color="auto"/>
            </w:tcBorders>
          </w:tcPr>
          <w:p w14:paraId="31FC015C" w14:textId="77777777" w:rsidR="00FE0A7B" w:rsidRPr="00C90526" w:rsidRDefault="00FE0A7B" w:rsidP="003638E5">
            <w:pPr>
              <w:rPr>
                <w:rFonts w:ascii="Times New Roman" w:eastAsia="Times New Roman" w:hAnsi="Times New Roman" w:cs="Times New Roman"/>
              </w:rPr>
            </w:pPr>
            <w:r w:rsidRPr="00C90526">
              <w:rPr>
                <w:rFonts w:ascii="Times New Roman" w:eastAsia="Times New Roman" w:hAnsi="Times New Roman" w:cs="Times New Roman"/>
              </w:rPr>
              <w:t>2030</w:t>
            </w:r>
          </w:p>
        </w:tc>
        <w:tc>
          <w:tcPr>
            <w:tcW w:w="1545" w:type="dxa"/>
            <w:tcBorders>
              <w:top w:val="single" w:sz="4" w:space="0" w:color="auto"/>
              <w:left w:val="single" w:sz="4" w:space="0" w:color="auto"/>
              <w:bottom w:val="single" w:sz="4" w:space="0" w:color="auto"/>
              <w:right w:val="single" w:sz="4" w:space="0" w:color="auto"/>
            </w:tcBorders>
            <w:vAlign w:val="bottom"/>
          </w:tcPr>
          <w:p w14:paraId="2BCD01B0" w14:textId="77777777"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15.58</w:t>
            </w:r>
          </w:p>
        </w:tc>
        <w:tc>
          <w:tcPr>
            <w:tcW w:w="1443" w:type="dxa"/>
            <w:tcBorders>
              <w:top w:val="single" w:sz="4" w:space="0" w:color="auto"/>
              <w:left w:val="single" w:sz="4" w:space="0" w:color="auto"/>
              <w:bottom w:val="single" w:sz="4" w:space="0" w:color="auto"/>
              <w:right w:val="single" w:sz="4" w:space="0" w:color="auto"/>
            </w:tcBorders>
            <w:vAlign w:val="bottom"/>
          </w:tcPr>
          <w:p w14:paraId="72C6798D" w14:textId="77777777"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28.38</w:t>
            </w:r>
          </w:p>
        </w:tc>
        <w:tc>
          <w:tcPr>
            <w:tcW w:w="1362" w:type="dxa"/>
            <w:tcBorders>
              <w:top w:val="single" w:sz="4" w:space="0" w:color="auto"/>
              <w:left w:val="single" w:sz="4" w:space="0" w:color="auto"/>
              <w:bottom w:val="single" w:sz="4" w:space="0" w:color="auto"/>
              <w:right w:val="single" w:sz="4" w:space="0" w:color="auto"/>
            </w:tcBorders>
            <w:vAlign w:val="bottom"/>
          </w:tcPr>
          <w:p w14:paraId="43321467" w14:textId="5B5AA755"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4.8</w:t>
            </w:r>
            <w:r w:rsidR="007D1D6B">
              <w:rPr>
                <w:rFonts w:ascii="Times New Roman" w:hAnsi="Times New Roman" w:cs="Times New Roman"/>
                <w:sz w:val="22"/>
                <w:szCs w:val="22"/>
              </w:rPr>
              <w:t>1</w:t>
            </w:r>
          </w:p>
        </w:tc>
        <w:tc>
          <w:tcPr>
            <w:tcW w:w="1443" w:type="dxa"/>
            <w:tcBorders>
              <w:top w:val="single" w:sz="4" w:space="0" w:color="auto"/>
              <w:left w:val="single" w:sz="4" w:space="0" w:color="auto"/>
              <w:bottom w:val="single" w:sz="4" w:space="0" w:color="auto"/>
              <w:right w:val="single" w:sz="4" w:space="0" w:color="auto"/>
            </w:tcBorders>
            <w:vAlign w:val="bottom"/>
          </w:tcPr>
          <w:p w14:paraId="734588C2" w14:textId="6345C5F9"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6.9</w:t>
            </w:r>
            <w:r w:rsidR="007D1D6B">
              <w:rPr>
                <w:rFonts w:ascii="Times New Roman" w:hAnsi="Times New Roman" w:cs="Times New Roman"/>
                <w:sz w:val="22"/>
                <w:szCs w:val="22"/>
              </w:rPr>
              <w:t>1</w:t>
            </w:r>
          </w:p>
        </w:tc>
        <w:tc>
          <w:tcPr>
            <w:tcW w:w="1360" w:type="dxa"/>
            <w:tcBorders>
              <w:top w:val="single" w:sz="4" w:space="0" w:color="auto"/>
              <w:left w:val="single" w:sz="4" w:space="0" w:color="auto"/>
              <w:bottom w:val="single" w:sz="4" w:space="0" w:color="auto"/>
              <w:right w:val="single" w:sz="4" w:space="0" w:color="auto"/>
            </w:tcBorders>
            <w:vAlign w:val="bottom"/>
          </w:tcPr>
          <w:p w14:paraId="4D9C7668" w14:textId="3972DB09" w:rsidR="00FE0A7B" w:rsidRPr="00C90526" w:rsidRDefault="00FE0A7B" w:rsidP="003638E5">
            <w:pPr>
              <w:rPr>
                <w:rFonts w:ascii="Times New Roman" w:eastAsia="Times New Roman" w:hAnsi="Times New Roman" w:cs="Times New Roman"/>
              </w:rPr>
            </w:pPr>
            <w:r w:rsidRPr="00C90526">
              <w:rPr>
                <w:rFonts w:ascii="Times New Roman" w:hAnsi="Times New Roman" w:cs="Times New Roman"/>
                <w:sz w:val="22"/>
                <w:szCs w:val="22"/>
              </w:rPr>
              <w:t>2.3</w:t>
            </w:r>
            <w:r w:rsidR="007D1D6B">
              <w:rPr>
                <w:rFonts w:ascii="Times New Roman" w:hAnsi="Times New Roman" w:cs="Times New Roman"/>
                <w:sz w:val="22"/>
                <w:szCs w:val="22"/>
              </w:rPr>
              <w:t>6</w:t>
            </w:r>
          </w:p>
        </w:tc>
        <w:tc>
          <w:tcPr>
            <w:tcW w:w="1443" w:type="dxa"/>
            <w:tcBorders>
              <w:top w:val="single" w:sz="4" w:space="0" w:color="auto"/>
              <w:left w:val="single" w:sz="4" w:space="0" w:color="auto"/>
              <w:bottom w:val="single" w:sz="4" w:space="0" w:color="auto"/>
              <w:right w:val="single" w:sz="4" w:space="0" w:color="auto"/>
            </w:tcBorders>
            <w:vAlign w:val="bottom"/>
          </w:tcPr>
          <w:p w14:paraId="06775E68" w14:textId="51EC2E06" w:rsidR="00FE0A7B" w:rsidRPr="00C90526" w:rsidRDefault="00FE0A7B" w:rsidP="003638E5">
            <w:pPr>
              <w:rPr>
                <w:rFonts w:ascii="Times New Roman" w:hAnsi="Times New Roman" w:cs="Times New Roman"/>
              </w:rPr>
            </w:pPr>
            <w:r w:rsidRPr="00C90526">
              <w:rPr>
                <w:rFonts w:ascii="Times New Roman" w:hAnsi="Times New Roman" w:cs="Times New Roman"/>
                <w:sz w:val="22"/>
                <w:szCs w:val="22"/>
              </w:rPr>
              <w:t>3.57</w:t>
            </w:r>
          </w:p>
        </w:tc>
      </w:tr>
    </w:tbl>
    <w:p w14:paraId="38E1B226" w14:textId="77777777" w:rsidR="00F07968" w:rsidRPr="00CF31A3" w:rsidRDefault="00F07968" w:rsidP="00293E36">
      <w:pPr>
        <w:pStyle w:val="Heading1"/>
        <w:numPr>
          <w:ilvl w:val="0"/>
          <w:numId w:val="8"/>
        </w:numPr>
        <w:spacing w:line="480" w:lineRule="auto"/>
        <w:rPr>
          <w:rFonts w:ascii="Times New Roman" w:hAnsi="Times New Roman" w:cs="Times New Roman"/>
          <w:b/>
          <w:bCs/>
          <w:color w:val="auto"/>
          <w:sz w:val="24"/>
          <w:szCs w:val="24"/>
        </w:rPr>
      </w:pPr>
      <w:bookmarkStart w:id="2" w:name="_Toc237678751"/>
      <w:r>
        <w:rPr>
          <w:rFonts w:ascii="Times New Roman" w:hAnsi="Times New Roman" w:cs="Times New Roman"/>
          <w:b/>
          <w:bCs/>
          <w:color w:val="auto"/>
          <w:sz w:val="24"/>
          <w:szCs w:val="24"/>
        </w:rPr>
        <w:t>Definition of Outcome Variables</w:t>
      </w:r>
      <w:bookmarkEnd w:id="2"/>
    </w:p>
    <w:tbl>
      <w:tblPr>
        <w:tblStyle w:val="TableGrid"/>
        <w:tblW w:w="0" w:type="auto"/>
        <w:tblInd w:w="0" w:type="dxa"/>
        <w:tblLook w:val="04A0" w:firstRow="1" w:lastRow="0" w:firstColumn="1" w:lastColumn="0" w:noHBand="0" w:noVBand="1"/>
      </w:tblPr>
      <w:tblGrid>
        <w:gridCol w:w="3055"/>
        <w:gridCol w:w="6295"/>
      </w:tblGrid>
      <w:tr w:rsidR="00F07968" w14:paraId="49288C5B" w14:textId="77777777" w:rsidTr="00EA7C6A">
        <w:tc>
          <w:tcPr>
            <w:tcW w:w="9350" w:type="dxa"/>
            <w:gridSpan w:val="2"/>
          </w:tcPr>
          <w:p w14:paraId="457C35CB" w14:textId="77777777" w:rsidR="00F07968" w:rsidRPr="00583E02" w:rsidRDefault="00F07968" w:rsidP="00EA7C6A">
            <w:pPr>
              <w:rPr>
                <w:rFonts w:ascii="Times New Roman" w:hAnsi="Times New Roman" w:cs="Times New Roman"/>
              </w:rPr>
            </w:pPr>
            <w:r w:rsidRPr="00583E02">
              <w:rPr>
                <w:rFonts w:ascii="Times New Roman" w:hAnsi="Times New Roman" w:cs="Times New Roman"/>
              </w:rPr>
              <w:t>Table S</w:t>
            </w:r>
            <w:r>
              <w:rPr>
                <w:rFonts w:ascii="Times New Roman" w:hAnsi="Times New Roman" w:cs="Times New Roman"/>
              </w:rPr>
              <w:t xml:space="preserve">2. </w:t>
            </w:r>
            <w:r w:rsidRPr="009C3536">
              <w:rPr>
                <w:rFonts w:ascii="Times New Roman" w:hAnsi="Times New Roman" w:cs="Times New Roman"/>
              </w:rPr>
              <w:t xml:space="preserve">Definitions of </w:t>
            </w:r>
            <w:r>
              <w:rPr>
                <w:rFonts w:ascii="Times New Roman" w:hAnsi="Times New Roman" w:cs="Times New Roman"/>
              </w:rPr>
              <w:t>Global Trade Analysis Project (</w:t>
            </w:r>
            <w:r w:rsidRPr="009C3536">
              <w:rPr>
                <w:rFonts w:ascii="Times New Roman" w:hAnsi="Times New Roman" w:cs="Times New Roman"/>
              </w:rPr>
              <w:t>GTAP</w:t>
            </w:r>
            <w:r>
              <w:rPr>
                <w:rFonts w:ascii="Times New Roman" w:hAnsi="Times New Roman" w:cs="Times New Roman"/>
              </w:rPr>
              <w:t>)</w:t>
            </w:r>
            <w:r w:rsidRPr="009C3536">
              <w:rPr>
                <w:rFonts w:ascii="Times New Roman" w:hAnsi="Times New Roman" w:cs="Times New Roman"/>
              </w:rPr>
              <w:t>-</w:t>
            </w:r>
            <w:r>
              <w:rPr>
                <w:rFonts w:ascii="Times New Roman" w:hAnsi="Times New Roman" w:cs="Times New Roman"/>
              </w:rPr>
              <w:t xml:space="preserve"> the Recursive Dynamic (</w:t>
            </w:r>
            <w:r w:rsidRPr="009C3536">
              <w:rPr>
                <w:rFonts w:ascii="Times New Roman" w:hAnsi="Times New Roman" w:cs="Times New Roman"/>
              </w:rPr>
              <w:t>RD</w:t>
            </w:r>
            <w:r>
              <w:rPr>
                <w:rFonts w:ascii="Times New Roman" w:hAnsi="Times New Roman" w:cs="Times New Roman"/>
              </w:rPr>
              <w:t xml:space="preserve">) model </w:t>
            </w:r>
            <w:r w:rsidRPr="009C3536">
              <w:rPr>
                <w:rFonts w:ascii="Times New Roman" w:hAnsi="Times New Roman" w:cs="Times New Roman"/>
              </w:rPr>
              <w:t>outcome variables</w:t>
            </w:r>
          </w:p>
        </w:tc>
      </w:tr>
      <w:tr w:rsidR="00F07968" w14:paraId="60B32C24" w14:textId="77777777" w:rsidTr="00EA7C6A">
        <w:tc>
          <w:tcPr>
            <w:tcW w:w="3055" w:type="dxa"/>
          </w:tcPr>
          <w:p w14:paraId="339D5035" w14:textId="77777777" w:rsidR="00F07968" w:rsidRDefault="00F07968" w:rsidP="00EA7C6A">
            <w:r w:rsidRPr="009B6C45">
              <w:rPr>
                <w:rFonts w:ascii="Times New Roman" w:hAnsi="Times New Roman" w:cs="Times New Roman"/>
              </w:rPr>
              <w:t>Farmgate price</w:t>
            </w:r>
          </w:p>
        </w:tc>
        <w:tc>
          <w:tcPr>
            <w:tcW w:w="6295" w:type="dxa"/>
          </w:tcPr>
          <w:p w14:paraId="351AD03B" w14:textId="77777777" w:rsidR="00F07968" w:rsidRPr="00583E02" w:rsidRDefault="00F07968" w:rsidP="00EA7C6A">
            <w:pPr>
              <w:spacing w:line="240" w:lineRule="auto"/>
              <w:rPr>
                <w:rFonts w:ascii="Times New Roman" w:hAnsi="Times New Roman" w:cs="Times New Roman"/>
              </w:rPr>
            </w:pPr>
            <w:r w:rsidRPr="00583E02">
              <w:rPr>
                <w:rFonts w:ascii="Times New Roman" w:hAnsi="Times New Roman" w:cs="Times New Roman"/>
              </w:rPr>
              <w:t>Price received by domestic producers for a sector’s output at the producer or supply level.</w:t>
            </w:r>
          </w:p>
        </w:tc>
      </w:tr>
      <w:tr w:rsidR="00F07968" w14:paraId="374DD8CA" w14:textId="77777777" w:rsidTr="00EA7C6A">
        <w:tc>
          <w:tcPr>
            <w:tcW w:w="3055" w:type="dxa"/>
          </w:tcPr>
          <w:p w14:paraId="54B15092" w14:textId="77777777" w:rsidR="00F07968" w:rsidRDefault="00F07968" w:rsidP="00EA7C6A">
            <w:r w:rsidRPr="009B6C45">
              <w:rPr>
                <w:rFonts w:ascii="Times New Roman" w:hAnsi="Times New Roman" w:cs="Times New Roman"/>
              </w:rPr>
              <w:t>Domestic production volume</w:t>
            </w:r>
          </w:p>
        </w:tc>
        <w:tc>
          <w:tcPr>
            <w:tcW w:w="6295" w:type="dxa"/>
          </w:tcPr>
          <w:p w14:paraId="316CD5AB" w14:textId="77777777" w:rsidR="00F07968" w:rsidRPr="00583E02" w:rsidRDefault="00F07968" w:rsidP="00EA7C6A">
            <w:pPr>
              <w:spacing w:line="240" w:lineRule="auto"/>
              <w:rPr>
                <w:rFonts w:ascii="Times New Roman" w:hAnsi="Times New Roman" w:cs="Times New Roman"/>
              </w:rPr>
            </w:pPr>
            <w:r w:rsidRPr="00583E02">
              <w:rPr>
                <w:rFonts w:ascii="Times New Roman" w:hAnsi="Times New Roman" w:cs="Times New Roman"/>
              </w:rPr>
              <w:t>Quantity of output produced and supplied by the domestic sector.</w:t>
            </w:r>
          </w:p>
        </w:tc>
      </w:tr>
      <w:tr w:rsidR="00F07968" w14:paraId="5EDF9C86" w14:textId="77777777" w:rsidTr="00EA7C6A">
        <w:tc>
          <w:tcPr>
            <w:tcW w:w="3055" w:type="dxa"/>
          </w:tcPr>
          <w:p w14:paraId="408284CA" w14:textId="77777777" w:rsidR="00F07968" w:rsidRDefault="00F07968" w:rsidP="00EA7C6A">
            <w:r w:rsidRPr="009B6C45">
              <w:rPr>
                <w:rFonts w:ascii="Times New Roman" w:hAnsi="Times New Roman" w:cs="Times New Roman"/>
              </w:rPr>
              <w:t>Import volume</w:t>
            </w:r>
          </w:p>
        </w:tc>
        <w:tc>
          <w:tcPr>
            <w:tcW w:w="6295" w:type="dxa"/>
          </w:tcPr>
          <w:p w14:paraId="6A2D1731" w14:textId="77777777" w:rsidR="00F07968" w:rsidRPr="00583E02" w:rsidRDefault="00F07968" w:rsidP="00EA7C6A">
            <w:pPr>
              <w:spacing w:line="240" w:lineRule="auto"/>
              <w:rPr>
                <w:rFonts w:ascii="Times New Roman" w:hAnsi="Times New Roman" w:cs="Times New Roman"/>
              </w:rPr>
            </w:pPr>
            <w:r w:rsidRPr="00583E02">
              <w:rPr>
                <w:rFonts w:ascii="Times New Roman" w:hAnsi="Times New Roman" w:cs="Times New Roman"/>
              </w:rPr>
              <w:t>Quantity of a sector’s aggregate imports entering the domestic economy from foreign sources.</w:t>
            </w:r>
          </w:p>
        </w:tc>
      </w:tr>
      <w:tr w:rsidR="00F07968" w14:paraId="2CC985CB" w14:textId="77777777" w:rsidTr="00EA7C6A">
        <w:tc>
          <w:tcPr>
            <w:tcW w:w="3055" w:type="dxa"/>
          </w:tcPr>
          <w:p w14:paraId="4384A5D5" w14:textId="77777777" w:rsidR="00F07968" w:rsidRDefault="00F07968" w:rsidP="00EA7C6A">
            <w:r w:rsidRPr="009B6C45">
              <w:rPr>
                <w:rFonts w:ascii="Times New Roman" w:hAnsi="Times New Roman" w:cs="Times New Roman"/>
              </w:rPr>
              <w:t>Export volume</w:t>
            </w:r>
          </w:p>
        </w:tc>
        <w:tc>
          <w:tcPr>
            <w:tcW w:w="6295" w:type="dxa"/>
          </w:tcPr>
          <w:p w14:paraId="52DABE76" w14:textId="77777777" w:rsidR="00F07968" w:rsidRPr="00583E02" w:rsidRDefault="00F07968" w:rsidP="00EA7C6A">
            <w:pPr>
              <w:spacing w:line="240" w:lineRule="auto"/>
              <w:rPr>
                <w:rFonts w:ascii="Times New Roman" w:hAnsi="Times New Roman" w:cs="Times New Roman"/>
              </w:rPr>
            </w:pPr>
            <w:r w:rsidRPr="00583E02">
              <w:rPr>
                <w:rFonts w:ascii="Times New Roman" w:hAnsi="Times New Roman" w:cs="Times New Roman"/>
              </w:rPr>
              <w:t>Quantity of a sector’s aggregate exports supplied by the domestic economy to foreign markets.</w:t>
            </w:r>
          </w:p>
        </w:tc>
      </w:tr>
      <w:tr w:rsidR="00F07968" w14:paraId="40502502" w14:textId="77777777" w:rsidTr="00EA7C6A">
        <w:tc>
          <w:tcPr>
            <w:tcW w:w="3055" w:type="dxa"/>
          </w:tcPr>
          <w:p w14:paraId="4A1E76D1" w14:textId="77777777" w:rsidR="00F07968" w:rsidRDefault="00F07968" w:rsidP="00EA7C6A">
            <w:r w:rsidRPr="009B6C45">
              <w:rPr>
                <w:rFonts w:ascii="Times New Roman" w:hAnsi="Times New Roman" w:cs="Times New Roman"/>
              </w:rPr>
              <w:t>Land use change</w:t>
            </w:r>
          </w:p>
        </w:tc>
        <w:tc>
          <w:tcPr>
            <w:tcW w:w="6295" w:type="dxa"/>
          </w:tcPr>
          <w:p w14:paraId="0DC10100" w14:textId="5799B90C" w:rsidR="00F07968" w:rsidRPr="00583E02" w:rsidRDefault="006F3690" w:rsidP="00EA7C6A">
            <w:pPr>
              <w:spacing w:line="240" w:lineRule="auto"/>
              <w:rPr>
                <w:rFonts w:ascii="Times New Roman" w:hAnsi="Times New Roman" w:cs="Times New Roman"/>
              </w:rPr>
            </w:pPr>
            <w:r w:rsidRPr="006F3690">
              <w:rPr>
                <w:rFonts w:ascii="Times New Roman" w:hAnsi="Times New Roman" w:cs="Times New Roman"/>
              </w:rPr>
              <w:t xml:space="preserve">Percentage change in the quantity of the land endowment employed by a sector relative to the baseline. In GTAP-RD, land is treated as a sluggish factor that is imperfectly mobile across agricultural activities and </w:t>
            </w:r>
            <w:proofErr w:type="gramStart"/>
            <w:r w:rsidRPr="006F3690">
              <w:rPr>
                <w:rFonts w:ascii="Times New Roman" w:hAnsi="Times New Roman" w:cs="Times New Roman"/>
              </w:rPr>
              <w:t>reallocates</w:t>
            </w:r>
            <w:proofErr w:type="gramEnd"/>
            <w:r w:rsidRPr="006F3690">
              <w:rPr>
                <w:rFonts w:ascii="Times New Roman" w:hAnsi="Times New Roman" w:cs="Times New Roman"/>
              </w:rPr>
              <w:t xml:space="preserve"> in response to sector-specific land returns. Aggregate regional land supply may also respond to land rents through the model’s land-supply relationship. The reported measure therefore represents changes in sectoral land-factor use rather than direct physical land-cover change or hectares converted.</w:t>
            </w:r>
          </w:p>
        </w:tc>
      </w:tr>
      <w:tr w:rsidR="00F07968" w14:paraId="78D8B58A" w14:textId="77777777" w:rsidTr="00EA7C6A">
        <w:tc>
          <w:tcPr>
            <w:tcW w:w="3055" w:type="dxa"/>
          </w:tcPr>
          <w:p w14:paraId="5DA8868E" w14:textId="77777777" w:rsidR="00F07968" w:rsidRDefault="00F07968" w:rsidP="00EA7C6A">
            <w:r w:rsidRPr="009B6C45">
              <w:rPr>
                <w:rFonts w:ascii="Times New Roman" w:hAnsi="Times New Roman" w:cs="Times New Roman"/>
              </w:rPr>
              <w:t>Real wages</w:t>
            </w:r>
          </w:p>
        </w:tc>
        <w:tc>
          <w:tcPr>
            <w:tcW w:w="6295" w:type="dxa"/>
          </w:tcPr>
          <w:p w14:paraId="253EE4B5" w14:textId="77777777" w:rsidR="00F07968" w:rsidRPr="00583E02" w:rsidRDefault="00F07968" w:rsidP="00EA7C6A">
            <w:pPr>
              <w:spacing w:line="240" w:lineRule="auto"/>
              <w:rPr>
                <w:rFonts w:ascii="Times New Roman" w:hAnsi="Times New Roman" w:cs="Times New Roman"/>
              </w:rPr>
            </w:pPr>
            <w:r w:rsidRPr="00583E02">
              <w:rPr>
                <w:rFonts w:ascii="Times New Roman" w:hAnsi="Times New Roman" w:cs="Times New Roman"/>
              </w:rPr>
              <w:t>Real return to labor, defined as the return to the labor factor relative to the regional consumer price level.</w:t>
            </w:r>
            <w:r>
              <w:rPr>
                <w:rFonts w:ascii="Times New Roman" w:hAnsi="Times New Roman" w:cs="Times New Roman"/>
              </w:rPr>
              <w:t xml:space="preserve"> </w:t>
            </w:r>
            <w:r w:rsidRPr="00583E02">
              <w:rPr>
                <w:rFonts w:ascii="Times New Roman" w:hAnsi="Times New Roman" w:cs="Times New Roman"/>
              </w:rPr>
              <w:t>It therefore captures the change in labor compensation after accounting for changes in purchasing power.</w:t>
            </w:r>
          </w:p>
        </w:tc>
      </w:tr>
      <w:tr w:rsidR="00F07968" w14:paraId="04A24E5B" w14:textId="77777777" w:rsidTr="00EA7C6A">
        <w:tc>
          <w:tcPr>
            <w:tcW w:w="3055" w:type="dxa"/>
          </w:tcPr>
          <w:p w14:paraId="2CB95B68" w14:textId="77777777" w:rsidR="00F07968" w:rsidRDefault="00F07968" w:rsidP="00EA7C6A">
            <w:r w:rsidRPr="009B6C45">
              <w:rPr>
                <w:rFonts w:ascii="Times New Roman" w:hAnsi="Times New Roman" w:cs="Times New Roman"/>
              </w:rPr>
              <w:t>Capital returns</w:t>
            </w:r>
          </w:p>
        </w:tc>
        <w:tc>
          <w:tcPr>
            <w:tcW w:w="6295" w:type="dxa"/>
          </w:tcPr>
          <w:p w14:paraId="5DF46A63" w14:textId="77777777" w:rsidR="00F07968" w:rsidRPr="00583E02" w:rsidRDefault="00F07968" w:rsidP="00EA7C6A">
            <w:pPr>
              <w:spacing w:line="240" w:lineRule="auto"/>
              <w:rPr>
                <w:rFonts w:ascii="Times New Roman" w:hAnsi="Times New Roman" w:cs="Times New Roman"/>
              </w:rPr>
            </w:pPr>
            <w:r w:rsidRPr="00583E02">
              <w:rPr>
                <w:rFonts w:ascii="Times New Roman" w:hAnsi="Times New Roman" w:cs="Times New Roman"/>
              </w:rPr>
              <w:t>Real return to capital used as a primary factor of production, measured relative to the regional consumer price level.</w:t>
            </w:r>
            <w:r>
              <w:rPr>
                <w:rFonts w:ascii="Times New Roman" w:hAnsi="Times New Roman" w:cs="Times New Roman"/>
              </w:rPr>
              <w:t xml:space="preserve"> </w:t>
            </w:r>
            <w:r w:rsidRPr="00583E02">
              <w:rPr>
                <w:rFonts w:ascii="Times New Roman" w:hAnsi="Times New Roman" w:cs="Times New Roman"/>
              </w:rPr>
              <w:t>It captures changes in the purchasing-power-adjusted compensation to capital services, rather than the value of the capital stock itself.</w:t>
            </w:r>
          </w:p>
        </w:tc>
      </w:tr>
      <w:tr w:rsidR="00F07968" w14:paraId="419E81E1" w14:textId="77777777" w:rsidTr="00EA7C6A">
        <w:tc>
          <w:tcPr>
            <w:tcW w:w="3055" w:type="dxa"/>
          </w:tcPr>
          <w:p w14:paraId="61A4AC3C" w14:textId="77777777" w:rsidR="00F07968" w:rsidRDefault="00F07968" w:rsidP="00EA7C6A">
            <w:r w:rsidRPr="009B6C45">
              <w:rPr>
                <w:rFonts w:ascii="Times New Roman" w:hAnsi="Times New Roman" w:cs="Times New Roman"/>
              </w:rPr>
              <w:t>Agricultural land rents</w:t>
            </w:r>
          </w:p>
        </w:tc>
        <w:tc>
          <w:tcPr>
            <w:tcW w:w="6295" w:type="dxa"/>
          </w:tcPr>
          <w:p w14:paraId="057055F6" w14:textId="77777777" w:rsidR="00F07968" w:rsidRPr="00583E02" w:rsidRDefault="00F07968" w:rsidP="00EA7C6A">
            <w:pPr>
              <w:spacing w:line="240" w:lineRule="auto"/>
              <w:rPr>
                <w:rFonts w:ascii="Times New Roman" w:hAnsi="Times New Roman" w:cs="Times New Roman"/>
              </w:rPr>
            </w:pPr>
            <w:r w:rsidRPr="00583E02">
              <w:rPr>
                <w:rFonts w:ascii="Times New Roman" w:hAnsi="Times New Roman" w:cs="Times New Roman"/>
              </w:rPr>
              <w:t>Real return to agricultural land as a primary factor of production, measured relative to the regional consumer price level. It represents the change in the economic rental return to land and is distinct from the quantity of land used.</w:t>
            </w:r>
          </w:p>
        </w:tc>
      </w:tr>
      <w:tr w:rsidR="00F07968" w14:paraId="2C4CEC12" w14:textId="77777777" w:rsidTr="00EA7C6A">
        <w:tc>
          <w:tcPr>
            <w:tcW w:w="9350" w:type="dxa"/>
            <w:gridSpan w:val="2"/>
          </w:tcPr>
          <w:p w14:paraId="78E96176" w14:textId="77777777" w:rsidR="00F07968" w:rsidRPr="00583E02" w:rsidRDefault="00F07968" w:rsidP="00EA7C6A">
            <w:pPr>
              <w:spacing w:line="240" w:lineRule="auto"/>
              <w:rPr>
                <w:rFonts w:ascii="Times New Roman" w:hAnsi="Times New Roman" w:cs="Times New Roman"/>
              </w:rPr>
            </w:pPr>
            <w:r w:rsidRPr="00604FCD">
              <w:rPr>
                <w:rFonts w:ascii="Times New Roman" w:hAnsi="Times New Roman" w:cs="Times New Roman"/>
                <w:b/>
                <w:bCs/>
              </w:rPr>
              <w:t>Note:</w:t>
            </w:r>
            <w:r w:rsidRPr="00604FCD">
              <w:rPr>
                <w:rFonts w:ascii="Times New Roman" w:hAnsi="Times New Roman" w:cs="Times New Roman"/>
              </w:rPr>
              <w:t xml:space="preserve"> Unless otherwise stated, outcomes are reported as percentage deviations from the corresponding 2030 baseline. Price and quantity measures therefore represent proportional changes relative to the baseline rather than absolute price or quantity changes. Real wages, capital returns, and agricultural land rents are real primary-factor returns derived from the GTAP-RD factor-return measure</w:t>
            </w:r>
            <w:r>
              <w:rPr>
                <w:rFonts w:ascii="Times New Roman" w:hAnsi="Times New Roman" w:cs="Times New Roman"/>
              </w:rPr>
              <w:t>.</w:t>
            </w:r>
          </w:p>
        </w:tc>
      </w:tr>
    </w:tbl>
    <w:p w14:paraId="35E1CB95" w14:textId="2625D526" w:rsidR="00F41D31" w:rsidRPr="00F41D31" w:rsidRDefault="006B152C" w:rsidP="00293E36">
      <w:pPr>
        <w:pStyle w:val="Heading1"/>
        <w:numPr>
          <w:ilvl w:val="0"/>
          <w:numId w:val="8"/>
        </w:numPr>
        <w:spacing w:line="480" w:lineRule="auto"/>
        <w:rPr>
          <w:rFonts w:ascii="Times New Roman" w:hAnsi="Times New Roman" w:cs="Times New Roman"/>
          <w:b/>
          <w:bCs/>
          <w:color w:val="auto"/>
          <w:sz w:val="24"/>
          <w:szCs w:val="24"/>
        </w:rPr>
      </w:pPr>
      <w:bookmarkStart w:id="3" w:name="_Toc237678752"/>
      <w:r w:rsidRPr="006B152C">
        <w:rPr>
          <w:rFonts w:ascii="Times New Roman" w:hAnsi="Times New Roman" w:cs="Times New Roman"/>
          <w:b/>
          <w:bCs/>
          <w:color w:val="auto"/>
          <w:sz w:val="24"/>
          <w:szCs w:val="24"/>
        </w:rPr>
        <w:t xml:space="preserve">Sensitivity </w:t>
      </w:r>
      <w:r w:rsidR="009F52B8">
        <w:rPr>
          <w:rFonts w:ascii="Times New Roman" w:hAnsi="Times New Roman" w:cs="Times New Roman"/>
          <w:b/>
          <w:bCs/>
          <w:color w:val="auto"/>
          <w:sz w:val="24"/>
          <w:szCs w:val="24"/>
        </w:rPr>
        <w:t>A</w:t>
      </w:r>
      <w:r w:rsidRPr="006B152C">
        <w:rPr>
          <w:rFonts w:ascii="Times New Roman" w:hAnsi="Times New Roman" w:cs="Times New Roman"/>
          <w:b/>
          <w:bCs/>
          <w:color w:val="auto"/>
          <w:sz w:val="24"/>
          <w:szCs w:val="24"/>
        </w:rPr>
        <w:t xml:space="preserve">nalysis </w:t>
      </w:r>
      <w:r w:rsidR="009F52B8">
        <w:rPr>
          <w:rFonts w:ascii="Times New Roman" w:hAnsi="Times New Roman" w:cs="Times New Roman"/>
          <w:b/>
          <w:bCs/>
          <w:color w:val="auto"/>
          <w:sz w:val="24"/>
          <w:szCs w:val="24"/>
        </w:rPr>
        <w:t>U</w:t>
      </w:r>
      <w:r w:rsidRPr="006B152C">
        <w:rPr>
          <w:rFonts w:ascii="Times New Roman" w:hAnsi="Times New Roman" w:cs="Times New Roman"/>
          <w:b/>
          <w:bCs/>
          <w:color w:val="auto"/>
          <w:sz w:val="24"/>
          <w:szCs w:val="24"/>
        </w:rPr>
        <w:t xml:space="preserve">nder </w:t>
      </w:r>
      <w:r w:rsidR="009F52B8">
        <w:rPr>
          <w:rFonts w:ascii="Times New Roman" w:hAnsi="Times New Roman" w:cs="Times New Roman"/>
          <w:b/>
          <w:bCs/>
          <w:color w:val="auto"/>
          <w:sz w:val="24"/>
          <w:szCs w:val="24"/>
        </w:rPr>
        <w:t>L</w:t>
      </w:r>
      <w:r w:rsidRPr="006B152C">
        <w:rPr>
          <w:rFonts w:ascii="Times New Roman" w:hAnsi="Times New Roman" w:cs="Times New Roman"/>
          <w:b/>
          <w:bCs/>
          <w:color w:val="auto"/>
          <w:sz w:val="24"/>
          <w:szCs w:val="24"/>
        </w:rPr>
        <w:t xml:space="preserve">ow and </w:t>
      </w:r>
      <w:r w:rsidR="009F52B8">
        <w:rPr>
          <w:rFonts w:ascii="Times New Roman" w:hAnsi="Times New Roman" w:cs="Times New Roman"/>
          <w:b/>
          <w:bCs/>
          <w:color w:val="auto"/>
          <w:sz w:val="24"/>
          <w:szCs w:val="24"/>
        </w:rPr>
        <w:t>H</w:t>
      </w:r>
      <w:r w:rsidRPr="006B152C">
        <w:rPr>
          <w:rFonts w:ascii="Times New Roman" w:hAnsi="Times New Roman" w:cs="Times New Roman"/>
          <w:b/>
          <w:bCs/>
          <w:color w:val="auto"/>
          <w:sz w:val="24"/>
          <w:szCs w:val="24"/>
        </w:rPr>
        <w:t xml:space="preserve">igh </w:t>
      </w:r>
      <w:r w:rsidR="009F52B8">
        <w:rPr>
          <w:rFonts w:ascii="Times New Roman" w:hAnsi="Times New Roman" w:cs="Times New Roman"/>
          <w:b/>
          <w:bCs/>
          <w:color w:val="auto"/>
          <w:sz w:val="24"/>
          <w:szCs w:val="24"/>
        </w:rPr>
        <w:t>D</w:t>
      </w:r>
      <w:r w:rsidRPr="006B152C">
        <w:rPr>
          <w:rFonts w:ascii="Times New Roman" w:hAnsi="Times New Roman" w:cs="Times New Roman"/>
          <w:b/>
          <w:bCs/>
          <w:color w:val="auto"/>
          <w:sz w:val="24"/>
          <w:szCs w:val="24"/>
        </w:rPr>
        <w:t xml:space="preserve">iffusion </w:t>
      </w:r>
      <w:r w:rsidR="009F52B8">
        <w:rPr>
          <w:rFonts w:ascii="Times New Roman" w:hAnsi="Times New Roman" w:cs="Times New Roman"/>
          <w:b/>
          <w:bCs/>
          <w:color w:val="auto"/>
          <w:sz w:val="24"/>
          <w:szCs w:val="24"/>
        </w:rPr>
        <w:t>P</w:t>
      </w:r>
      <w:r w:rsidRPr="006B152C">
        <w:rPr>
          <w:rFonts w:ascii="Times New Roman" w:hAnsi="Times New Roman" w:cs="Times New Roman"/>
          <w:b/>
          <w:bCs/>
          <w:color w:val="auto"/>
          <w:sz w:val="24"/>
          <w:szCs w:val="24"/>
        </w:rPr>
        <w:t>athways</w:t>
      </w:r>
      <w:bookmarkEnd w:id="3"/>
    </w:p>
    <w:tbl>
      <w:tblPr>
        <w:tblStyle w:val="TableGrid"/>
        <w:tblW w:w="0" w:type="auto"/>
        <w:tblInd w:w="0" w:type="dxa"/>
        <w:tblLook w:val="04A0" w:firstRow="1" w:lastRow="0" w:firstColumn="1" w:lastColumn="0" w:noHBand="0" w:noVBand="1"/>
      </w:tblPr>
      <w:tblGrid>
        <w:gridCol w:w="9350"/>
      </w:tblGrid>
      <w:tr w:rsidR="005216DB" w14:paraId="72820EB5" w14:textId="77777777" w:rsidTr="005216DB">
        <w:tc>
          <w:tcPr>
            <w:tcW w:w="9350" w:type="dxa"/>
          </w:tcPr>
          <w:p w14:paraId="06E1C2FE" w14:textId="53C3C983" w:rsidR="005216DB" w:rsidRDefault="00C47CBF" w:rsidP="00F41D31">
            <w:pPr>
              <w:spacing w:before="120" w:line="480" w:lineRule="auto"/>
              <w:rPr>
                <w:rFonts w:ascii="Times New Roman" w:hAnsi="Times New Roman" w:cs="Times New Roman"/>
              </w:rPr>
            </w:pPr>
            <w:r w:rsidRPr="00C47CBF">
              <w:rPr>
                <w:rFonts w:ascii="Times New Roman" w:hAnsi="Times New Roman" w:cs="Times New Roman"/>
                <w:noProof/>
              </w:rPr>
              <w:drawing>
                <wp:inline distT="0" distB="0" distL="0" distR="0" wp14:anchorId="19167E7C" wp14:editId="7F92E6EA">
                  <wp:extent cx="5823975" cy="5814019"/>
                  <wp:effectExtent l="0" t="0" r="5715" b="0"/>
                  <wp:docPr id="1044905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05670" name=""/>
                          <pic:cNvPicPr/>
                        </pic:nvPicPr>
                        <pic:blipFill>
                          <a:blip r:embed="rId11"/>
                          <a:stretch>
                            <a:fillRect/>
                          </a:stretch>
                        </pic:blipFill>
                        <pic:spPr>
                          <a:xfrm>
                            <a:off x="0" y="0"/>
                            <a:ext cx="5830093" cy="5820127"/>
                          </a:xfrm>
                          <a:prstGeom prst="rect">
                            <a:avLst/>
                          </a:prstGeom>
                        </pic:spPr>
                      </pic:pic>
                    </a:graphicData>
                  </a:graphic>
                </wp:inline>
              </w:drawing>
            </w:r>
          </w:p>
          <w:p w14:paraId="14BB5A40" w14:textId="23B3D541" w:rsidR="00457974" w:rsidRDefault="00C47CBF" w:rsidP="00F41D31">
            <w:pPr>
              <w:spacing w:before="120" w:line="480" w:lineRule="auto"/>
              <w:rPr>
                <w:rFonts w:ascii="Times New Roman" w:hAnsi="Times New Roman" w:cs="Times New Roman"/>
              </w:rPr>
            </w:pPr>
            <w:r w:rsidRPr="00C47CBF">
              <w:rPr>
                <w:rFonts w:ascii="Times New Roman" w:hAnsi="Times New Roman" w:cs="Times New Roman"/>
                <w:noProof/>
              </w:rPr>
              <w:drawing>
                <wp:inline distT="0" distB="0" distL="0" distR="0" wp14:anchorId="44DF6F24" wp14:editId="0FBE9266">
                  <wp:extent cx="5789697" cy="5796501"/>
                  <wp:effectExtent l="0" t="0" r="1905" b="0"/>
                  <wp:docPr id="1688062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62222" name=""/>
                          <pic:cNvPicPr/>
                        </pic:nvPicPr>
                        <pic:blipFill>
                          <a:blip r:embed="rId12"/>
                          <a:stretch>
                            <a:fillRect/>
                          </a:stretch>
                        </pic:blipFill>
                        <pic:spPr>
                          <a:xfrm>
                            <a:off x="0" y="0"/>
                            <a:ext cx="5794867" cy="5801677"/>
                          </a:xfrm>
                          <a:prstGeom prst="rect">
                            <a:avLst/>
                          </a:prstGeom>
                        </pic:spPr>
                      </pic:pic>
                    </a:graphicData>
                  </a:graphic>
                </wp:inline>
              </w:drawing>
            </w:r>
          </w:p>
        </w:tc>
      </w:tr>
      <w:tr w:rsidR="005216DB" w:rsidRPr="00C2193D" w14:paraId="484292D2" w14:textId="77777777" w:rsidTr="005216DB">
        <w:tc>
          <w:tcPr>
            <w:tcW w:w="9350" w:type="dxa"/>
          </w:tcPr>
          <w:p w14:paraId="027B1E35" w14:textId="45EDE993" w:rsidR="005216DB" w:rsidRPr="005F6E37" w:rsidRDefault="003368CF" w:rsidP="003368CF">
            <w:pPr>
              <w:spacing w:before="120" w:line="240" w:lineRule="auto"/>
              <w:rPr>
                <w:rFonts w:ascii="Times New Roman" w:hAnsi="Times New Roman" w:cs="Times New Roman"/>
              </w:rPr>
            </w:pPr>
            <w:r w:rsidRPr="005F6E37">
              <w:rPr>
                <w:rFonts w:ascii="Times New Roman" w:eastAsiaTheme="minorEastAsia" w:hAnsi="Times New Roman" w:cs="Times New Roman"/>
                <w:b/>
                <w:bCs/>
                <w:iCs/>
              </w:rPr>
              <w:t>Fig. S</w:t>
            </w:r>
            <w:r w:rsidR="00572962">
              <w:rPr>
                <w:rFonts w:ascii="Times New Roman" w:eastAsiaTheme="minorEastAsia" w:hAnsi="Times New Roman" w:cs="Times New Roman"/>
                <w:b/>
                <w:bCs/>
                <w:iCs/>
              </w:rPr>
              <w:t>2</w:t>
            </w:r>
            <w:r w:rsidRPr="005F6E37">
              <w:rPr>
                <w:rFonts w:ascii="Times New Roman" w:eastAsiaTheme="minorEastAsia" w:hAnsi="Times New Roman" w:cs="Times New Roman"/>
                <w:b/>
                <w:bCs/>
                <w:iCs/>
              </w:rPr>
              <w:t xml:space="preserve"> | </w:t>
            </w:r>
            <w:r w:rsidR="00C2193D" w:rsidRPr="005F6E37">
              <w:rPr>
                <w:rFonts w:ascii="Times New Roman" w:eastAsiaTheme="majorEastAsia" w:hAnsi="Times New Roman" w:cs="Times New Roman"/>
                <w:b/>
                <w:bCs/>
              </w:rPr>
              <w:t xml:space="preserve">Cumulative sectoral deviations from the 2030 baseline in the U.S. under low- and high-adoption pathway across different scenarios. </w:t>
            </w:r>
            <w:r w:rsidR="00C2193D" w:rsidRPr="005F6E37">
              <w:rPr>
                <w:rFonts w:ascii="Times New Roman" w:eastAsiaTheme="majorEastAsia" w:hAnsi="Times New Roman" w:cs="Times New Roman"/>
              </w:rPr>
              <w:t>Panels A to D report farmgate prices, domestic production volume, import volume, and export volume, respectively. Together, the nine food-related sectors shown account for approximately 7% of total U.S. domestic production value in the 2030 GTAP baseline. Marker size represents each sector’s relative share, and sectors are ordered from smallest to largest from left to right. For each sector, filled and hollow circles represent sector-specific percentage changes relative to the baseline under current clinical coverage with U.S.-only and North America-wide GLP-1 adoption, respectively. Filled and hollow diamonds represent the corresponding changes under expanded weight-management access with U.S.-only and North America-wide GLP-1 adoption, respectively. Positive values indicate increases relative to the baseline, whereas negative values indicate contractions.</w:t>
            </w:r>
          </w:p>
        </w:tc>
      </w:tr>
    </w:tbl>
    <w:p w14:paraId="6FD3C1A9" w14:textId="77777777" w:rsidR="005216DB" w:rsidRDefault="005216DB" w:rsidP="00F41D31">
      <w:pPr>
        <w:spacing w:before="120" w:line="480" w:lineRule="auto"/>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9350"/>
      </w:tblGrid>
      <w:tr w:rsidR="00457974" w14:paraId="1A71F45E" w14:textId="77777777" w:rsidTr="00457974">
        <w:tc>
          <w:tcPr>
            <w:tcW w:w="9350" w:type="dxa"/>
          </w:tcPr>
          <w:p w14:paraId="649B444E" w14:textId="3CF67335" w:rsidR="00457974" w:rsidRDefault="005B2B50" w:rsidP="00F41D31">
            <w:pPr>
              <w:spacing w:before="120" w:line="480" w:lineRule="auto"/>
              <w:rPr>
                <w:rFonts w:ascii="Times New Roman" w:hAnsi="Times New Roman" w:cs="Times New Roman"/>
              </w:rPr>
            </w:pPr>
            <w:r w:rsidRPr="005B2B50">
              <w:rPr>
                <w:rFonts w:ascii="Times New Roman" w:hAnsi="Times New Roman" w:cs="Times New Roman"/>
                <w:noProof/>
              </w:rPr>
              <w:drawing>
                <wp:inline distT="0" distB="0" distL="0" distR="0" wp14:anchorId="55AE8FD8" wp14:editId="5FCD5AC8">
                  <wp:extent cx="5814010" cy="5807798"/>
                  <wp:effectExtent l="0" t="0" r="0" b="2540"/>
                  <wp:docPr id="36169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97855" name=""/>
                          <pic:cNvPicPr/>
                        </pic:nvPicPr>
                        <pic:blipFill>
                          <a:blip r:embed="rId13"/>
                          <a:stretch>
                            <a:fillRect/>
                          </a:stretch>
                        </pic:blipFill>
                        <pic:spPr>
                          <a:xfrm>
                            <a:off x="0" y="0"/>
                            <a:ext cx="5823704" cy="5817482"/>
                          </a:xfrm>
                          <a:prstGeom prst="rect">
                            <a:avLst/>
                          </a:prstGeom>
                        </pic:spPr>
                      </pic:pic>
                    </a:graphicData>
                  </a:graphic>
                </wp:inline>
              </w:drawing>
            </w:r>
          </w:p>
          <w:p w14:paraId="4C63599F" w14:textId="40CB6255" w:rsidR="003E63A8" w:rsidRDefault="005B2B50" w:rsidP="00F41D31">
            <w:pPr>
              <w:spacing w:before="120" w:line="480" w:lineRule="auto"/>
              <w:rPr>
                <w:rFonts w:ascii="Times New Roman" w:hAnsi="Times New Roman" w:cs="Times New Roman"/>
              </w:rPr>
            </w:pPr>
            <w:r w:rsidRPr="005B2B50">
              <w:rPr>
                <w:rFonts w:ascii="Times New Roman" w:hAnsi="Times New Roman" w:cs="Times New Roman"/>
                <w:noProof/>
              </w:rPr>
              <w:drawing>
                <wp:inline distT="0" distB="0" distL="0" distR="0" wp14:anchorId="79D61DE9" wp14:editId="485FBA73">
                  <wp:extent cx="5814897" cy="5798745"/>
                  <wp:effectExtent l="0" t="0" r="0" b="0"/>
                  <wp:docPr id="1228126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26604" name=""/>
                          <pic:cNvPicPr/>
                        </pic:nvPicPr>
                        <pic:blipFill>
                          <a:blip r:embed="rId14"/>
                          <a:stretch>
                            <a:fillRect/>
                          </a:stretch>
                        </pic:blipFill>
                        <pic:spPr>
                          <a:xfrm>
                            <a:off x="0" y="0"/>
                            <a:ext cx="5822439" cy="5806266"/>
                          </a:xfrm>
                          <a:prstGeom prst="rect">
                            <a:avLst/>
                          </a:prstGeom>
                        </pic:spPr>
                      </pic:pic>
                    </a:graphicData>
                  </a:graphic>
                </wp:inline>
              </w:drawing>
            </w:r>
          </w:p>
        </w:tc>
      </w:tr>
      <w:tr w:rsidR="00457974" w14:paraId="5FE7B28F" w14:textId="77777777" w:rsidTr="00457974">
        <w:tc>
          <w:tcPr>
            <w:tcW w:w="9350" w:type="dxa"/>
          </w:tcPr>
          <w:p w14:paraId="20B87831" w14:textId="0969F861" w:rsidR="00457974" w:rsidRPr="00886786" w:rsidRDefault="00C2193D" w:rsidP="002C4EFF">
            <w:pPr>
              <w:spacing w:before="120" w:line="240" w:lineRule="auto"/>
              <w:rPr>
                <w:rFonts w:ascii="Times New Roman" w:hAnsi="Times New Roman" w:cs="Times New Roman"/>
              </w:rPr>
            </w:pPr>
            <w:r w:rsidRPr="00886786">
              <w:rPr>
                <w:rStyle w:val="Strong"/>
                <w:rFonts w:ascii="Times New Roman" w:eastAsiaTheme="majorEastAsia" w:hAnsi="Times New Roman" w:cs="Times New Roman"/>
              </w:rPr>
              <w:t>Fig. S</w:t>
            </w:r>
            <w:r w:rsidR="00572962">
              <w:rPr>
                <w:rStyle w:val="Strong"/>
                <w:rFonts w:ascii="Times New Roman" w:eastAsiaTheme="majorEastAsia" w:hAnsi="Times New Roman" w:cs="Times New Roman"/>
              </w:rPr>
              <w:t>3</w:t>
            </w:r>
            <w:r w:rsidRPr="00886786">
              <w:rPr>
                <w:rStyle w:val="Strong"/>
                <w:rFonts w:ascii="Times New Roman" w:eastAsiaTheme="majorEastAsia" w:hAnsi="Times New Roman" w:cs="Times New Roman"/>
              </w:rPr>
              <w:t xml:space="preserve"> | Differences in U.S. cumulative import and export responses relative to the 2030 baseline between North America-wide and U.S.-only GLP-1 adoption scenarios under the low- and high--adoption pathway. </w:t>
            </w:r>
            <w:proofErr w:type="spellStart"/>
            <w:r w:rsidRPr="00886786">
              <w:rPr>
                <w:rStyle w:val="Strong"/>
                <w:rFonts w:ascii="Times New Roman" w:eastAsiaTheme="majorEastAsia" w:hAnsi="Times New Roman" w:cs="Times New Roman"/>
                <w:b w:val="0"/>
                <w:bCs w:val="0"/>
              </w:rPr>
              <w:t>Panels</w:t>
            </w:r>
            <w:proofErr w:type="spellEnd"/>
            <w:r w:rsidRPr="00886786">
              <w:rPr>
                <w:rStyle w:val="Strong"/>
                <w:rFonts w:ascii="Times New Roman" w:eastAsiaTheme="majorEastAsia" w:hAnsi="Times New Roman" w:cs="Times New Roman"/>
                <w:b w:val="0"/>
                <w:bCs w:val="0"/>
              </w:rPr>
              <w:t xml:space="preserve"> report percentage-point differences in U.S. imports from and exports to Canada, Mexico, and the rest of the world. Together, the nine food-related sectors shown account for approximately 7% of total U.S. domestic production value in the 2030 GTAP baseline. Marker size represents each sector’s relative share, and sectors are ordered from smallest to largest from left to right. For each sector, circles and diamonds represents the North America-wide minus U.S. only deviation from 2030 baseline under the middle adoption path for current clinical coverage and expanded weight-management access, respectively. Positive values indicate larger U.S. imports or exports deviation under the North America-wide scenario relative to the U.S.-only scenario, while negative values indicate smaller trade flows under North America-wide adoption.</w:t>
            </w:r>
          </w:p>
        </w:tc>
      </w:tr>
    </w:tbl>
    <w:p w14:paraId="2AAABC67" w14:textId="77777777" w:rsidR="00C91141" w:rsidRDefault="00C91141" w:rsidP="00F41D31">
      <w:pPr>
        <w:spacing w:before="120" w:line="480" w:lineRule="auto"/>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9350"/>
      </w:tblGrid>
      <w:tr w:rsidR="00572962" w14:paraId="528587D0" w14:textId="77777777" w:rsidTr="009B7FCA">
        <w:tc>
          <w:tcPr>
            <w:tcW w:w="9350" w:type="dxa"/>
          </w:tcPr>
          <w:p w14:paraId="7AF63614" w14:textId="7755AB0C" w:rsidR="00572962" w:rsidRDefault="008E2859" w:rsidP="00572962">
            <w:pPr>
              <w:spacing w:before="120" w:line="480" w:lineRule="auto"/>
              <w:jc w:val="center"/>
              <w:rPr>
                <w:rFonts w:ascii="Times New Roman" w:hAnsi="Times New Roman" w:cs="Times New Roman"/>
              </w:rPr>
            </w:pPr>
            <w:r w:rsidRPr="008E2859">
              <w:rPr>
                <w:rFonts w:ascii="Times New Roman" w:hAnsi="Times New Roman" w:cs="Times New Roman"/>
                <w:noProof/>
              </w:rPr>
              <w:drawing>
                <wp:inline distT="0" distB="0" distL="0" distR="0" wp14:anchorId="2C8FEA37" wp14:editId="28190764">
                  <wp:extent cx="3784600" cy="8229600"/>
                  <wp:effectExtent l="0" t="0" r="6350" b="0"/>
                  <wp:docPr id="276092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92247" name=""/>
                          <pic:cNvPicPr/>
                        </pic:nvPicPr>
                        <pic:blipFill>
                          <a:blip r:embed="rId15"/>
                          <a:stretch>
                            <a:fillRect/>
                          </a:stretch>
                        </pic:blipFill>
                        <pic:spPr>
                          <a:xfrm>
                            <a:off x="0" y="0"/>
                            <a:ext cx="3784600" cy="8229600"/>
                          </a:xfrm>
                          <a:prstGeom prst="rect">
                            <a:avLst/>
                          </a:prstGeom>
                        </pic:spPr>
                      </pic:pic>
                    </a:graphicData>
                  </a:graphic>
                </wp:inline>
              </w:drawing>
            </w:r>
          </w:p>
        </w:tc>
      </w:tr>
      <w:tr w:rsidR="00572962" w14:paraId="1D0EFD6F" w14:textId="77777777" w:rsidTr="009B7FCA">
        <w:tc>
          <w:tcPr>
            <w:tcW w:w="9350" w:type="dxa"/>
          </w:tcPr>
          <w:p w14:paraId="67B81BCA" w14:textId="5C73A6F8" w:rsidR="00E828CF" w:rsidRDefault="00572962" w:rsidP="009B7FCA">
            <w:pPr>
              <w:spacing w:before="120" w:line="240" w:lineRule="auto"/>
              <w:rPr>
                <w:rFonts w:ascii="Times New Roman" w:hAnsi="Times New Roman" w:cs="Times New Roman"/>
              </w:rPr>
            </w:pPr>
            <w:r w:rsidRPr="00F10626">
              <w:rPr>
                <w:rFonts w:ascii="Times New Roman" w:eastAsia="DengXian Light" w:hAnsi="Times New Roman" w:cs="Times New Roman"/>
                <w:b/>
                <w:bCs/>
                <w:kern w:val="0"/>
                <w14:ligatures w14:val="none"/>
              </w:rPr>
              <w:t xml:space="preserve">Fig. </w:t>
            </w:r>
            <w:r>
              <w:rPr>
                <w:rFonts w:ascii="Times New Roman" w:eastAsia="DengXian Light" w:hAnsi="Times New Roman" w:cs="Times New Roman"/>
                <w:b/>
                <w:bCs/>
                <w:kern w:val="0"/>
                <w14:ligatures w14:val="none"/>
              </w:rPr>
              <w:t>S4 |</w:t>
            </w:r>
            <w:r w:rsidRPr="00F10626">
              <w:rPr>
                <w:rFonts w:ascii="Times New Roman" w:eastAsia="DengXian Light" w:hAnsi="Times New Roman" w:cs="Times New Roman"/>
                <w:kern w:val="0"/>
                <w14:ligatures w14:val="none"/>
              </w:rPr>
              <w:t xml:space="preserve"> </w:t>
            </w:r>
            <w:r w:rsidR="00E828CF" w:rsidRPr="00E828CF">
              <w:rPr>
                <w:rFonts w:ascii="Times New Roman" w:eastAsiaTheme="majorEastAsia" w:hAnsi="Times New Roman" w:cs="Times New Roman"/>
                <w:b/>
                <w:bCs/>
              </w:rPr>
              <w:t>Cumulative land-use and factor-return deviations from the 2030 U.S. baseline under low- and high-adoption pathways.</w:t>
            </w:r>
            <w:r w:rsidR="00E828CF" w:rsidRPr="00E828CF">
              <w:rPr>
                <w:rFonts w:ascii="Times New Roman" w:eastAsiaTheme="majorEastAsia" w:hAnsi="Times New Roman" w:cs="Times New Roman"/>
              </w:rPr>
              <w:t xml:space="preserve"> Panel A reports cumulative percentage changes in land use across nine food-related sectors, which together account for approximately 7% of total U.S. domestic production value in the 2030 GTAP baseline. Marker size represents each sector’s baseline share, and sectors are ordered from smallest to largest from left to right. Filled and hollow circles represent current clinical coverage with U.S.-only and North America-wide GLP-1 adoption, respectively, while filled and hollow diamonds represent expanded weight-management access under U.S.-only and North America-wide adoption. Positive values indicate increases relative to the baseline, whereas negative values indicate contractions. Panel B reports cumulative percentage deviations in real wages, capital returns, and agricultural land rents under the corresponding coverage and geographic-adoption scenarios for the low- and high-adoption pathways. Across scenarios, changes in real wages and capital returns are small, while agricultural land rents exhibit substantially larger declines, particularly under expanded weight-management access.</w:t>
            </w:r>
          </w:p>
        </w:tc>
      </w:tr>
    </w:tbl>
    <w:p w14:paraId="1B485D80" w14:textId="77777777" w:rsidR="00572962" w:rsidRDefault="00572962" w:rsidP="00F41D31">
      <w:pPr>
        <w:spacing w:before="120" w:line="480" w:lineRule="auto"/>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9350"/>
      </w:tblGrid>
      <w:tr w:rsidR="006577FF" w14:paraId="2D3ABE7D" w14:textId="77777777" w:rsidTr="006577FF">
        <w:tc>
          <w:tcPr>
            <w:tcW w:w="9350" w:type="dxa"/>
          </w:tcPr>
          <w:p w14:paraId="7317DAC9" w14:textId="77777777" w:rsidR="00DB1B71" w:rsidRDefault="008E16C0" w:rsidP="00F41D31">
            <w:pPr>
              <w:spacing w:before="120" w:line="480" w:lineRule="auto"/>
              <w:rPr>
                <w:rFonts w:ascii="Times New Roman" w:hAnsi="Times New Roman" w:cs="Times New Roman"/>
              </w:rPr>
            </w:pPr>
            <w:r w:rsidRPr="008E16C0">
              <w:rPr>
                <w:rFonts w:ascii="Times New Roman" w:hAnsi="Times New Roman" w:cs="Times New Roman"/>
                <w:noProof/>
              </w:rPr>
              <w:drawing>
                <wp:inline distT="0" distB="0" distL="0" distR="0" wp14:anchorId="3DB3C6DC" wp14:editId="2878B713">
                  <wp:extent cx="5807593" cy="5006567"/>
                  <wp:effectExtent l="0" t="0" r="3175" b="3810"/>
                  <wp:docPr id="42132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32889" name=""/>
                          <pic:cNvPicPr/>
                        </pic:nvPicPr>
                        <pic:blipFill>
                          <a:blip r:embed="rId16"/>
                          <a:stretch>
                            <a:fillRect/>
                          </a:stretch>
                        </pic:blipFill>
                        <pic:spPr>
                          <a:xfrm>
                            <a:off x="0" y="0"/>
                            <a:ext cx="5810225" cy="5008836"/>
                          </a:xfrm>
                          <a:prstGeom prst="rect">
                            <a:avLst/>
                          </a:prstGeom>
                        </pic:spPr>
                      </pic:pic>
                    </a:graphicData>
                  </a:graphic>
                </wp:inline>
              </w:drawing>
            </w:r>
          </w:p>
          <w:p w14:paraId="1B3722B2" w14:textId="179CFA13" w:rsidR="008E16C0" w:rsidRDefault="008E16C0" w:rsidP="00F41D31">
            <w:pPr>
              <w:spacing w:before="120" w:line="480" w:lineRule="auto"/>
              <w:rPr>
                <w:rFonts w:ascii="Times New Roman" w:hAnsi="Times New Roman" w:cs="Times New Roman"/>
              </w:rPr>
            </w:pPr>
            <w:r w:rsidRPr="008E16C0">
              <w:rPr>
                <w:rFonts w:ascii="Times New Roman" w:hAnsi="Times New Roman" w:cs="Times New Roman"/>
                <w:noProof/>
              </w:rPr>
              <w:drawing>
                <wp:inline distT="0" distB="0" distL="0" distR="0" wp14:anchorId="7C326531" wp14:editId="34611524">
                  <wp:extent cx="5943600" cy="5118735"/>
                  <wp:effectExtent l="0" t="0" r="0" b="5715"/>
                  <wp:docPr id="753823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23820" name=""/>
                          <pic:cNvPicPr/>
                        </pic:nvPicPr>
                        <pic:blipFill>
                          <a:blip r:embed="rId17"/>
                          <a:stretch>
                            <a:fillRect/>
                          </a:stretch>
                        </pic:blipFill>
                        <pic:spPr>
                          <a:xfrm>
                            <a:off x="0" y="0"/>
                            <a:ext cx="5943600" cy="5118735"/>
                          </a:xfrm>
                          <a:prstGeom prst="rect">
                            <a:avLst/>
                          </a:prstGeom>
                        </pic:spPr>
                      </pic:pic>
                    </a:graphicData>
                  </a:graphic>
                </wp:inline>
              </w:drawing>
            </w:r>
          </w:p>
        </w:tc>
      </w:tr>
      <w:tr w:rsidR="006577FF" w14:paraId="452D44CC" w14:textId="77777777" w:rsidTr="006577FF">
        <w:tc>
          <w:tcPr>
            <w:tcW w:w="9350" w:type="dxa"/>
          </w:tcPr>
          <w:p w14:paraId="41AA8140" w14:textId="362A759E" w:rsidR="006577FF" w:rsidRDefault="00A63F6A" w:rsidP="006577FF">
            <w:pPr>
              <w:spacing w:before="120" w:line="240" w:lineRule="auto"/>
              <w:rPr>
                <w:rFonts w:ascii="Times New Roman" w:hAnsi="Times New Roman" w:cs="Times New Roman"/>
              </w:rPr>
            </w:pPr>
            <w:r w:rsidRPr="00DC189E">
              <w:rPr>
                <w:rFonts w:ascii="Times New Roman" w:eastAsia="Times New Roman" w:hAnsi="Times New Roman" w:cs="Times New Roman"/>
                <w:b/>
                <w:bCs/>
              </w:rPr>
              <w:t xml:space="preserve">Fig. </w:t>
            </w:r>
            <w:r w:rsidR="00E72AA1">
              <w:rPr>
                <w:rFonts w:ascii="Times New Roman" w:eastAsia="Times New Roman" w:hAnsi="Times New Roman" w:cs="Times New Roman"/>
                <w:b/>
                <w:bCs/>
              </w:rPr>
              <w:t>S5 |</w:t>
            </w:r>
            <w:r w:rsidRPr="00DC189E">
              <w:rPr>
                <w:rFonts w:ascii="Times New Roman" w:eastAsia="Times New Roman" w:hAnsi="Times New Roman" w:cs="Times New Roman"/>
              </w:rPr>
              <w:t xml:space="preserve"> </w:t>
            </w:r>
            <w:r w:rsidRPr="00DC189E">
              <w:rPr>
                <w:rFonts w:ascii="Times New Roman" w:eastAsia="Times New Roman" w:hAnsi="Times New Roman" w:cs="Times New Roman"/>
                <w:b/>
                <w:bCs/>
              </w:rPr>
              <w:t xml:space="preserve">Cumulative sectoral </w:t>
            </w:r>
            <w:r>
              <w:rPr>
                <w:rFonts w:ascii="Times New Roman" w:eastAsia="Times New Roman" w:hAnsi="Times New Roman" w:cs="Times New Roman"/>
                <w:b/>
                <w:bCs/>
              </w:rPr>
              <w:t xml:space="preserve">emissions deviation from the </w:t>
            </w:r>
            <w:r w:rsidRPr="00DC189E">
              <w:rPr>
                <w:rFonts w:ascii="Times New Roman" w:eastAsia="Times New Roman" w:hAnsi="Times New Roman" w:cs="Times New Roman"/>
                <w:b/>
                <w:bCs/>
              </w:rPr>
              <w:t xml:space="preserve">2030 </w:t>
            </w:r>
            <w:r>
              <w:rPr>
                <w:rFonts w:ascii="Times New Roman" w:eastAsia="Times New Roman" w:hAnsi="Times New Roman" w:cs="Times New Roman"/>
                <w:b/>
                <w:bCs/>
              </w:rPr>
              <w:t>baseline under the low- and high-adoption pathway across different scenarios</w:t>
            </w:r>
            <w:r w:rsidRPr="00DC189E">
              <w:rPr>
                <w:rFonts w:ascii="Times New Roman" w:eastAsia="Times New Roman" w:hAnsi="Times New Roman" w:cs="Times New Roman"/>
                <w:b/>
                <w:bCs/>
              </w:rPr>
              <w:t xml:space="preserve">. </w:t>
            </w:r>
            <w:r w:rsidRPr="00732666">
              <w:rPr>
                <w:rFonts w:ascii="Times New Roman" w:eastAsia="Times New Roman" w:hAnsi="Times New Roman" w:cs="Times New Roman"/>
              </w:rPr>
              <w:t>The left panel reports total GHG emissions</w:t>
            </w:r>
            <w:r>
              <w:rPr>
                <w:rFonts w:ascii="Times New Roman" w:eastAsia="Times New Roman" w:hAnsi="Times New Roman" w:cs="Times New Roman"/>
              </w:rPr>
              <w:t>,</w:t>
            </w:r>
            <w:r w:rsidRPr="00732666">
              <w:rPr>
                <w:rFonts w:ascii="Times New Roman" w:eastAsia="Times New Roman" w:hAnsi="Times New Roman" w:cs="Times New Roman"/>
              </w:rPr>
              <w:t xml:space="preserve"> including CO2</w:t>
            </w:r>
            <w:r>
              <w:rPr>
                <w:rFonts w:ascii="Times New Roman" w:eastAsia="Times New Roman" w:hAnsi="Times New Roman" w:cs="Times New Roman"/>
              </w:rPr>
              <w:t>,</w:t>
            </w:r>
            <w:r w:rsidRPr="00732666">
              <w:rPr>
                <w:rFonts w:ascii="Times New Roman" w:eastAsia="Times New Roman" w:hAnsi="Times New Roman" w:cs="Times New Roman"/>
              </w:rPr>
              <w:t xml:space="preserve"> and the right panel reports CO2 emissions</w:t>
            </w:r>
            <w:r>
              <w:rPr>
                <w:rFonts w:ascii="Times New Roman" w:eastAsia="Times New Roman" w:hAnsi="Times New Roman" w:cs="Times New Roman"/>
              </w:rPr>
              <w:t xml:space="preserve"> only</w:t>
            </w:r>
            <w:r w:rsidRPr="00732666">
              <w:rPr>
                <w:rFonts w:ascii="Times New Roman" w:eastAsia="Times New Roman" w:hAnsi="Times New Roman" w:cs="Times New Roman"/>
              </w:rPr>
              <w:t>.</w:t>
            </w:r>
            <w:r>
              <w:t xml:space="preserve"> </w:t>
            </w:r>
            <w:r w:rsidRPr="00732666">
              <w:rPr>
                <w:rFonts w:ascii="Times New Roman" w:eastAsia="Times New Roman" w:hAnsi="Times New Roman" w:cs="Times New Roman"/>
              </w:rPr>
              <w:t xml:space="preserve">Together, the nine food-related sectors shown account for approximately </w:t>
            </w:r>
            <w:r>
              <w:rPr>
                <w:rFonts w:ascii="Times New Roman" w:eastAsia="Times New Roman" w:hAnsi="Times New Roman" w:cs="Times New Roman"/>
              </w:rPr>
              <w:t>4.5</w:t>
            </w:r>
            <w:r w:rsidRPr="00732666">
              <w:rPr>
                <w:rFonts w:ascii="Times New Roman" w:eastAsia="Times New Roman" w:hAnsi="Times New Roman" w:cs="Times New Roman"/>
              </w:rPr>
              <w:t>%</w:t>
            </w:r>
            <w:r>
              <w:rPr>
                <w:rFonts w:ascii="Times New Roman" w:eastAsia="Times New Roman" w:hAnsi="Times New Roman" w:cs="Times New Roman"/>
              </w:rPr>
              <w:t xml:space="preserve"> and 2.2%</w:t>
            </w:r>
            <w:r w:rsidRPr="00732666">
              <w:rPr>
                <w:rFonts w:ascii="Times New Roman" w:eastAsia="Times New Roman" w:hAnsi="Times New Roman" w:cs="Times New Roman"/>
              </w:rPr>
              <w:t xml:space="preserve"> of total U.S. </w:t>
            </w:r>
            <w:r>
              <w:rPr>
                <w:rFonts w:ascii="Times New Roman" w:eastAsia="Times New Roman" w:hAnsi="Times New Roman" w:cs="Times New Roman"/>
              </w:rPr>
              <w:t xml:space="preserve">GHG emissions and CO2 emissions from </w:t>
            </w:r>
            <w:r w:rsidRPr="00732666">
              <w:rPr>
                <w:rFonts w:ascii="Times New Roman" w:eastAsia="Times New Roman" w:hAnsi="Times New Roman" w:cs="Times New Roman"/>
              </w:rPr>
              <w:t>production</w:t>
            </w:r>
            <w:r>
              <w:rPr>
                <w:rFonts w:ascii="Times New Roman" w:eastAsia="Times New Roman" w:hAnsi="Times New Roman" w:cs="Times New Roman"/>
              </w:rPr>
              <w:t>, respectively,</w:t>
            </w:r>
            <w:r w:rsidRPr="00732666">
              <w:rPr>
                <w:rFonts w:ascii="Times New Roman" w:eastAsia="Times New Roman" w:hAnsi="Times New Roman" w:cs="Times New Roman"/>
              </w:rPr>
              <w:t xml:space="preserve"> in the 2030 GTAP baseline.</w:t>
            </w:r>
            <w:r>
              <w:rPr>
                <w:rFonts w:ascii="Times New Roman" w:eastAsia="Times New Roman" w:hAnsi="Times New Roman" w:cs="Times New Roman"/>
              </w:rPr>
              <w:t xml:space="preserve"> </w:t>
            </w:r>
            <w:r w:rsidRPr="00D857D5">
              <w:rPr>
                <w:rFonts w:ascii="Times New Roman" w:eastAsia="Times New Roman" w:hAnsi="Times New Roman" w:cs="Times New Roman"/>
              </w:rPr>
              <w:t>Marker size represents each sector’s relative share, and sectors are ordered from smallest to largest from left to right</w:t>
            </w:r>
            <w:r>
              <w:rPr>
                <w:rFonts w:ascii="Times New Roman" w:eastAsia="Times New Roman" w:hAnsi="Times New Roman" w:cs="Times New Roman"/>
              </w:rPr>
              <w:t xml:space="preserve"> within each panel</w:t>
            </w:r>
            <w:r w:rsidRPr="00D857D5">
              <w:rPr>
                <w:rFonts w:ascii="Times New Roman" w:eastAsia="Times New Roman" w:hAnsi="Times New Roman" w:cs="Times New Roman"/>
              </w:rPr>
              <w:t>.</w:t>
            </w:r>
            <w:r>
              <w:rPr>
                <w:rFonts w:ascii="Times New Roman" w:eastAsia="Times New Roman" w:hAnsi="Times New Roman" w:cs="Times New Roman"/>
              </w:rPr>
              <w:t xml:space="preserve"> </w:t>
            </w:r>
            <w:r w:rsidRPr="00D857D5">
              <w:rPr>
                <w:rFonts w:ascii="Times New Roman" w:eastAsia="Times New Roman" w:hAnsi="Times New Roman" w:cs="Times New Roman"/>
              </w:rPr>
              <w:t>For each sector, filled and hollow circles represent sector-specific percentage changes relative to the baseline under current clinical coverage with U.S.-only and North America-wide GLP-1 adoption, respectively. Filled and hollow diamonds represent the corresponding changes under expanded weight-management access with U.S.-only and North America-wide GLP-1 adoption, respectively</w:t>
            </w:r>
            <w:r>
              <w:rPr>
                <w:rFonts w:ascii="Times New Roman" w:eastAsia="Times New Roman" w:hAnsi="Times New Roman" w:cs="Times New Roman"/>
              </w:rPr>
              <w:t xml:space="preserve">. </w:t>
            </w:r>
            <w:r w:rsidRPr="00DC189E">
              <w:rPr>
                <w:rFonts w:ascii="Times New Roman" w:eastAsia="Times New Roman" w:hAnsi="Times New Roman" w:cs="Times New Roman"/>
              </w:rPr>
              <w:t>Positive values indicate an increase relative to the baseline, while negative values denote a contraction.</w:t>
            </w:r>
          </w:p>
        </w:tc>
      </w:tr>
    </w:tbl>
    <w:p w14:paraId="2ED4D001" w14:textId="77777777" w:rsidR="006577FF" w:rsidRDefault="006577FF" w:rsidP="00F41D31">
      <w:pPr>
        <w:spacing w:before="120" w:line="480" w:lineRule="auto"/>
        <w:rPr>
          <w:rFonts w:ascii="Times New Roman" w:hAnsi="Times New Roman" w:cs="Times New Roman"/>
        </w:rPr>
      </w:pPr>
    </w:p>
    <w:p w14:paraId="386C494A" w14:textId="3A0DF930" w:rsidR="002D0FE1" w:rsidRPr="00F74A58" w:rsidRDefault="002D0FE1" w:rsidP="002D0FE1">
      <w:pPr>
        <w:pStyle w:val="Heading1"/>
        <w:numPr>
          <w:ilvl w:val="0"/>
          <w:numId w:val="8"/>
        </w:numPr>
        <w:spacing w:line="480" w:lineRule="auto"/>
        <w:rPr>
          <w:rFonts w:ascii="Times New Roman" w:hAnsi="Times New Roman" w:cs="Times New Roman"/>
          <w:b/>
          <w:bCs/>
          <w:color w:val="auto"/>
          <w:sz w:val="24"/>
          <w:szCs w:val="24"/>
        </w:rPr>
      </w:pPr>
      <w:bookmarkStart w:id="4" w:name="_Toc237678753"/>
      <w:r w:rsidRPr="00F74A58">
        <w:rPr>
          <w:rFonts w:ascii="Times New Roman" w:hAnsi="Times New Roman" w:cs="Times New Roman"/>
          <w:b/>
          <w:bCs/>
          <w:color w:val="auto"/>
          <w:sz w:val="24"/>
          <w:szCs w:val="24"/>
        </w:rPr>
        <w:t>GLP-1</w:t>
      </w:r>
      <w:r>
        <w:rPr>
          <w:rFonts w:ascii="Times New Roman" w:hAnsi="Times New Roman" w:cs="Times New Roman"/>
          <w:b/>
          <w:bCs/>
          <w:color w:val="auto"/>
          <w:sz w:val="24"/>
          <w:szCs w:val="24"/>
        </w:rPr>
        <w:t xml:space="preserve"> </w:t>
      </w:r>
      <w:r w:rsidR="003B6159">
        <w:rPr>
          <w:rFonts w:ascii="Times New Roman" w:hAnsi="Times New Roman" w:cs="Times New Roman"/>
          <w:b/>
          <w:bCs/>
          <w:color w:val="auto"/>
          <w:sz w:val="24"/>
          <w:szCs w:val="24"/>
        </w:rPr>
        <w:t>I</w:t>
      </w:r>
      <w:r w:rsidRPr="003A5A05">
        <w:rPr>
          <w:rFonts w:ascii="Times New Roman" w:hAnsi="Times New Roman" w:cs="Times New Roman"/>
          <w:b/>
          <w:bCs/>
          <w:color w:val="auto"/>
          <w:sz w:val="24"/>
          <w:szCs w:val="24"/>
        </w:rPr>
        <w:t xml:space="preserve">nduced </w:t>
      </w:r>
      <w:r w:rsidR="003B6159">
        <w:rPr>
          <w:rFonts w:ascii="Times New Roman" w:hAnsi="Times New Roman" w:cs="Times New Roman"/>
          <w:b/>
          <w:bCs/>
          <w:color w:val="auto"/>
          <w:sz w:val="24"/>
          <w:szCs w:val="24"/>
        </w:rPr>
        <w:t>D</w:t>
      </w:r>
      <w:r w:rsidRPr="003A5A05">
        <w:rPr>
          <w:rFonts w:ascii="Times New Roman" w:hAnsi="Times New Roman" w:cs="Times New Roman"/>
          <w:b/>
          <w:bCs/>
          <w:color w:val="auto"/>
          <w:sz w:val="24"/>
          <w:szCs w:val="24"/>
        </w:rPr>
        <w:t xml:space="preserve">ietary </w:t>
      </w:r>
      <w:r w:rsidR="003B6159">
        <w:rPr>
          <w:rFonts w:ascii="Times New Roman" w:hAnsi="Times New Roman" w:cs="Times New Roman"/>
          <w:b/>
          <w:bCs/>
          <w:color w:val="auto"/>
          <w:sz w:val="24"/>
          <w:szCs w:val="24"/>
        </w:rPr>
        <w:t>R</w:t>
      </w:r>
      <w:r w:rsidRPr="003A5A05">
        <w:rPr>
          <w:rFonts w:ascii="Times New Roman" w:hAnsi="Times New Roman" w:cs="Times New Roman"/>
          <w:b/>
          <w:bCs/>
          <w:color w:val="auto"/>
          <w:sz w:val="24"/>
          <w:szCs w:val="24"/>
        </w:rPr>
        <w:t xml:space="preserve">esponses and </w:t>
      </w:r>
      <w:r w:rsidR="003B6159">
        <w:rPr>
          <w:rFonts w:ascii="Times New Roman" w:hAnsi="Times New Roman" w:cs="Times New Roman"/>
          <w:b/>
          <w:bCs/>
          <w:color w:val="auto"/>
          <w:sz w:val="24"/>
          <w:szCs w:val="24"/>
        </w:rPr>
        <w:t>F</w:t>
      </w:r>
      <w:r w:rsidRPr="003A5A05">
        <w:rPr>
          <w:rFonts w:ascii="Times New Roman" w:hAnsi="Times New Roman" w:cs="Times New Roman"/>
          <w:b/>
          <w:bCs/>
          <w:color w:val="auto"/>
          <w:sz w:val="24"/>
          <w:szCs w:val="24"/>
        </w:rPr>
        <w:t xml:space="preserve">ood-demand </w:t>
      </w:r>
      <w:r w:rsidR="003B6159">
        <w:rPr>
          <w:rFonts w:ascii="Times New Roman" w:hAnsi="Times New Roman" w:cs="Times New Roman"/>
          <w:b/>
          <w:bCs/>
          <w:color w:val="auto"/>
          <w:sz w:val="24"/>
          <w:szCs w:val="24"/>
        </w:rPr>
        <w:t>P</w:t>
      </w:r>
      <w:r w:rsidRPr="003A5A05">
        <w:rPr>
          <w:rFonts w:ascii="Times New Roman" w:hAnsi="Times New Roman" w:cs="Times New Roman"/>
          <w:b/>
          <w:bCs/>
          <w:color w:val="auto"/>
          <w:sz w:val="24"/>
          <w:szCs w:val="24"/>
        </w:rPr>
        <w:t>athways</w:t>
      </w:r>
      <w:bookmarkEnd w:id="4"/>
    </w:p>
    <w:p w14:paraId="2D446564" w14:textId="3EAC2FC7" w:rsidR="002D0FE1" w:rsidRPr="006E3D93" w:rsidRDefault="002D0FE1" w:rsidP="002D0FE1">
      <w:pPr>
        <w:spacing w:line="480" w:lineRule="auto"/>
        <w:jc w:val="both"/>
        <w:rPr>
          <w:rFonts w:ascii="Times New Roman" w:eastAsia="Times New Roman" w:hAnsi="Times New Roman" w:cs="Times New Roman"/>
        </w:rPr>
      </w:pPr>
      <w:r w:rsidRPr="006E3D93">
        <w:rPr>
          <w:rFonts w:ascii="Times New Roman" w:eastAsia="Times New Roman" w:hAnsi="Times New Roman" w:cs="Times New Roman"/>
        </w:rPr>
        <w:t>Emerging evidence indicates that GLP-1 receptor agonists affect food demand through both lower total energy intake and changes in the composition of food choices. Clinical evidence is strongest for the reduction in total intake. A recent review of 10 dietary-intake studies reports reductions in caloric intake of 16–39% among users of GLP-1 or dual GIP/GLP-1 receptor agonists relative to placebo, while also noting that substantially fewer studies directly measure changes in dietary composition</w:t>
      </w:r>
      <w:r w:rsidR="00D649BB">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{"citationID":"FNtQCHlR","properties":{"unsorted":false,"formattedCitation":"\\super 1\\nosupersub{}","plainCitation":"1","noteIndex":0},"citationItems":[{"id":628,"uris":["http://zotero.org/users/12629452/items/7FQF24KL"],"itemData":{"id":628,"type":"article-journal","abstract":"Background\nObesity and type 2 diabetes mellitus (T2DM) are increasingly common in the United States and worldwide. Because both conditions are associated with serious health consequences, weight reduction is recommended by professional medical and nutrition societies to improve outcomes. Due to the striking efficacy of glucagon-like peptide receptor agonists (GLP-1RAs) and dual mechanism glucose-dependent insulinotropic polypeptide/glucagon-like peptide receptor agonists (GIP/GLP-1RAs) for weight reduction and glycemic control, there is increased utilization for patients with obesity and/or T2DM. Yet, the impact of these medications on dietary intake is less understood.\nMethods\nThis narrative literature review summarizes clinical studies quantifying and characterizing dietary intake in people with obesity and/or T2DM using GLP-1 or GIP/GLP-1 RAs.\nResults\nThough data from these studies reveal that total caloric intake was reduced by 16–39 %, few studies evaluated the actual composition of the diet.\nConclusions\nFurther research is needed to understand the unique nutritional needs of adults on GLP-1 or dual GIP/GLP-1RAs and to support the development of nutritional guidelines for these individuals.","container-title":"Obesity Pillars","DOI":"10.1016/j.obpill.2024.100121","ISSN":"2667-3681","journalAbbreviation":"Obesity Pillars","page":"100121","source":"ScienceDirect","title":"Dietary intake by patients taking GLP-1 and dual GIP/GLP-1 receptor agonists: A narrative review and discussion of research needs","title-short":"Dietary intake by patients taking GLP-1 and dual GIP/GLP-1 receptor agonists","volume":"11","author":[{"family":"Christensen","given":"Sandra"},{"family":"Robinson","given":"Katie"},{"family":"Thomas","given":"Sara"},{"family":"Williams","given":"Dominique R."}],"issued":{"date-parts":[["2024",9,1]]}}}],"schema":"https://github.com/citation-style-language/schema/raw/master/csl-citation.json"} </w:instrText>
      </w:r>
      <w:r w:rsidR="00D649BB">
        <w:rPr>
          <w:rFonts w:ascii="Times New Roman" w:eastAsia="Times New Roman" w:hAnsi="Times New Roman" w:cs="Times New Roman"/>
        </w:rPr>
        <w:fldChar w:fldCharType="separate"/>
      </w:r>
      <w:r w:rsidR="00D649BB" w:rsidRPr="00D649BB">
        <w:rPr>
          <w:rFonts w:ascii="Times New Roman" w:hAnsi="Times New Roman" w:cs="Times New Roman"/>
          <w:kern w:val="0"/>
          <w:vertAlign w:val="superscript"/>
        </w:rPr>
        <w:t>1</w:t>
      </w:r>
      <w:r w:rsidR="00D649BB">
        <w:rPr>
          <w:rFonts w:ascii="Times New Roman" w:eastAsia="Times New Roman" w:hAnsi="Times New Roman" w:cs="Times New Roman"/>
        </w:rPr>
        <w:fldChar w:fldCharType="end"/>
      </w:r>
      <w:r w:rsidRPr="006E3D93">
        <w:rPr>
          <w:rFonts w:ascii="Times New Roman" w:eastAsia="Times New Roman" w:hAnsi="Times New Roman" w:cs="Times New Roman"/>
        </w:rPr>
        <w:t>. In individual randomized trials, semaglutide reduced total ad libitum daily energy intake by approximately 24% and reduced intake of high-fat, non-sweet foods by about 35%</w:t>
      </w:r>
      <w:r w:rsidR="00D649BB">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{"citationID":"TIGh3LmK","properties":{"unsorted":false,"formattedCitation":"\\super 2\\nosupersub{}","plainCitation":"2","noteIndex":0},"citationItems":[{"id":538,"uris":["http://zotero.org/users/12629452/items/2UTV3HQK"],"itemData":{"id":538,"type":"article-journal","abstract":"Aim The aim of this trial was to investigate the mechanism of action for body weight loss with semaglutide. Materials and methods This randomised, double-blind, placebo-controlled, two-period crossover trial investigated the effects of 12 weeks of treatment with once-weekly subcutaneous semaglutide, dose-escalated to 1.0 mg, in 30 subjects with obesity. Ad libitum energy intake, ratings of appetite, thirst, nausea and well-being, control of eating, food preference, resting metabolic rate, body weight and body composition were assessed. Results After a standardised breakfast, semaglutide, compared with placebo, led to a lower ad libitum energy intake during lunch (−1255 kJ; P &lt; .0001) and during the subsequent evening meal ( P = .0401) and snacks ( P = .0034), resulting in a 24% reduction in total energy intake across all ad libitum meals throughout the day (−3036 kJ; P &lt; .0001). Fasting overall appetite suppression scores were improved with semaglutide vs placebo, while nausea ratings were similar. Semaglutide was associated with less hunger and food cravings, better control of eating and a lower preference for high-fat foods. Resting metabolic rate, adjusted for lean body mass, did not differ between treatments. Semaglutide led to a reduction from baseline in mean body weight of 5.0 kg, predominantly from body fat mass. Conclusion After 12 weeks of treatment, ad libitum energy intake was substantially lower with semaglutide vs placebo with a corresponding loss of body weight observed with semaglutide. In addition to reduced energy intake, likely mechanisms for semaglutide-induced weight loss included less appetite and food cravings, better control of eating and lower relative preference for fatty, energy-dense foods. Video Abstract A free Video Abstract to accompany this article is available at: https://player.vimeo.com/video/218478638.","container-title":"Diabetes, Obesity and Metabolism","DOI":"10.1111/dom.12932","ISSN":"1463-1326","issue":"9","language":"en","license":"© 2017 The Authors. Diabetes, Obesity and Metabolism published by John Wiley &amp; Sons Ltd.","note":"_eprint: https://dom-pubs.onlinelibrary.wiley.com/doi/pdf/10.1111/dom.12932","page":"1242-1251","source":"Wiley Online Library","title":"Effects of once-weekly semaglutide on appetite, energy intake, control of eating, food preference and body weight in subjects with obesity","volume":"19","author":[{"family":"Blundell","given":"John"},{"family":"Finlayson","given":"Graham"},{"family":"Axelsen","given":"Mads"},{"family":"Flint","given":"Anne"},{"family":"Gibbons","given":"Catherine"},{"family":"Kvist","given":"Trine"},{"family":"Hjerpsted","given":"Julie B."}],"issued":{"date-parts":[["2017"]]}}}],"schema":"https://github.com/citation-style-language/schema/raw/master/csl-citation.json"} </w:instrText>
      </w:r>
      <w:r w:rsidR="00D649BB">
        <w:rPr>
          <w:rFonts w:ascii="Times New Roman" w:eastAsia="Times New Roman" w:hAnsi="Times New Roman" w:cs="Times New Roman"/>
        </w:rPr>
        <w:fldChar w:fldCharType="separate"/>
      </w:r>
      <w:r w:rsidR="00D649BB" w:rsidRPr="00D649BB">
        <w:rPr>
          <w:rFonts w:ascii="Times New Roman" w:hAnsi="Times New Roman" w:cs="Times New Roman"/>
          <w:kern w:val="0"/>
          <w:vertAlign w:val="superscript"/>
        </w:rPr>
        <w:t>2</w:t>
      </w:r>
      <w:r w:rsidR="00D649BB">
        <w:rPr>
          <w:rFonts w:ascii="Times New Roman" w:eastAsia="Times New Roman" w:hAnsi="Times New Roman" w:cs="Times New Roman"/>
        </w:rPr>
        <w:fldChar w:fldCharType="end"/>
      </w:r>
      <w:r w:rsidRPr="006E3D93">
        <w:rPr>
          <w:rFonts w:ascii="Times New Roman" w:eastAsia="Times New Roman" w:hAnsi="Times New Roman" w:cs="Times New Roman"/>
        </w:rPr>
        <w:t>. Other experimental evidence reports a 40.7% reduction in energy intake from high-fat foods with semaglutide</w:t>
      </w:r>
      <w:r w:rsidR="00D649BB">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{"citationID":"HwZDLAsW","properties":{"unsorted":false,"formattedCitation":"\\super 3\\nosupersub{}","plainCitation":"3","noteIndex":0},"citationItems":[{"id":541,"uris":["http://zotero.org/users/12629452/items/6ZWTYGII"],"itemData":{"id":541,"type":"article-journal","abstract":"Aim To evaluate the effect of oral semaglutide on energy intake and appetite in subjects with type 2 diabetes (T2D). Materials and Methods In this randomized, double-blind, placebo-controlled, two-period cross-over trial, 15 subjects with T2D received 12 weeks of treatment with once-daily oral semaglutide (4-week dose escalation from 3 to 7 to 14 mg) followed by placebo, or vice versa. Energy intake was measured during an ad libitum lunch, evening meal and snack box after a standard breakfast. Appetite ratings were measured using a visual analogue scale after standard and fat-rich breakfasts. Other assessments included eating and craving control (using the Control of Eating Questionnaire), and changes in body weight and composition. Results Following a standard breakfast, total daily ad libitum energy intake was significantly lower (38.9%) with oral semaglutide versus placebo in 13 evaluable subjects (estimated treatment difference, −5096.0 kJ; 95% CI –7000.0, −3192.1; P = .0001). After a fat-rich breakfast, there were significant differences in favour of oral semaglutide versus placebo for measures of satiety, hunger and for overall appetite score, with no significant differences following a standard breakfast. Fewer food cravings and better eating control were seen with oral semaglutide versus placebo. Overall, mean body weight decreased by 2.7 kg with oral semaglutide and 0.1 kg with placebo, mostly attributable to body fat mass loss. Conclusion After 12 weeks of treatment, ad libitum energy intake was lower with oral semaglutide versus placebo, resulting in reduced body fat mass, and was associated with increased satiety and fullness after a fat-rich breakfast, and improved eating control. Trial registration number NCT02773381","container-title":"Diabetes, Obesity and Metabolism","DOI":"10.1111/dom.14255","ISSN":"1463-1326","issue":"2","language":"en","license":"© 2020 The Authors. Diabetes, Obesity and Metabolism published by John Wiley &amp; Sons Ltd.","note":"_eprint: https://dom-pubs.onlinelibrary.wiley.com/doi/pdf/10.1111/dom.14255","page":"581-588","source":"Wiley Online Library","title":"Effects of oral semaglutide on energy intake, food preference, appetite, control of eating and body weight in subjects with type 2 diabetes","volume":"23","author":[{"family":"Gibbons","given":"Catherine"},{"family":"Blundell","given":"John"},{"family":"Tetens Hoff","given":"Søren"},{"family":"Dahl","given":"Kirsten"},{"family":"Bauer","given":"Robert"},{"family":"Bækdal","given":"Tine"}],"issued":{"date-parts":[["2021"]]}}}],"schema":"https://github.com/citation-style-language/schema/raw/master/csl-citation.json"} </w:instrText>
      </w:r>
      <w:r w:rsidR="00D649BB">
        <w:rPr>
          <w:rFonts w:ascii="Times New Roman" w:eastAsia="Times New Roman" w:hAnsi="Times New Roman" w:cs="Times New Roman"/>
        </w:rPr>
        <w:fldChar w:fldCharType="separate"/>
      </w:r>
      <w:r w:rsidR="00D649BB" w:rsidRPr="00D649BB">
        <w:rPr>
          <w:rFonts w:ascii="Times New Roman" w:hAnsi="Times New Roman" w:cs="Times New Roman"/>
          <w:kern w:val="0"/>
          <w:vertAlign w:val="superscript"/>
        </w:rPr>
        <w:t>3</w:t>
      </w:r>
      <w:r w:rsidR="00D649BB">
        <w:rPr>
          <w:rFonts w:ascii="Times New Roman" w:eastAsia="Times New Roman" w:hAnsi="Times New Roman" w:cs="Times New Roman"/>
        </w:rPr>
        <w:fldChar w:fldCharType="end"/>
      </w:r>
      <w:r w:rsidRPr="006E3D93">
        <w:rPr>
          <w:rFonts w:ascii="Times New Roman" w:eastAsia="Times New Roman" w:hAnsi="Times New Roman" w:cs="Times New Roman"/>
        </w:rPr>
        <w:t xml:space="preserve">, while </w:t>
      </w:r>
      <w:r w:rsidR="00D649BB">
        <w:rPr>
          <w:rFonts w:ascii="Times New Roman" w:eastAsia="Times New Roman" w:hAnsi="Times New Roman" w:cs="Times New Roman"/>
        </w:rPr>
        <w:t>another</w:t>
      </w:r>
      <w:r w:rsidRPr="006E3D93">
        <w:rPr>
          <w:rFonts w:ascii="Times New Roman" w:eastAsia="Times New Roman" w:hAnsi="Times New Roman" w:cs="Times New Roman"/>
        </w:rPr>
        <w:t xml:space="preserve"> r</w:t>
      </w:r>
      <w:r w:rsidR="00D649BB">
        <w:rPr>
          <w:rFonts w:ascii="Times New Roman" w:eastAsia="Times New Roman" w:hAnsi="Times New Roman" w:cs="Times New Roman"/>
        </w:rPr>
        <w:t>esearch</w:t>
      </w:r>
      <w:r w:rsidR="00D649BB">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{"citationID":"BerRomdM","properties":{"unsorted":false,"formattedCitation":"\\super 4\\nosupersub{}","plainCitation":"4","noteIndex":0},"citationItems":[{"id":544,"uris":["http://zotero.org/users/12629452/items/BPHGQV7P"],"itemData":{"id":544,"type":"article-journal","abstract":"Aim To investigate the effects of once-weekly subcutaneous (s.c.) semaglutide 2.4 mg on gastric emptying, appetite, and energy intake in adults with obesity. Materials and Methods A double-blind, parallel-group trial was conducted in 72 adults with obesity, randomized to once-weekly s.c. semaglutide (dose-escalated to 2.4 mg) or placebo for 20 weeks. Gastric emptying was assessed using paracetamol absorption following a standardized breakfast. Participant-reported appetite ratings and Control of Eating Questionnaire (CoEQ) responses were assessed, and energy intake was measured during ad libitum lunch. Results The area under the concentration–time curve (AUC) for paracetamol 0 to 5 hours after a standardized meal (AUC0–5h,para; primary endpoint) was increased by 8% (P = 0.005) with semaglutide 2.4 mg versus placebo at week 20 (non-significant when corrected for week 20 body weight; P = 0.12). No effect was seen on AUC0–1h,para, maximum observed paracetamol concentration, or time to maximum observed paracetamol concentration. Ad libitum energy intake was 35% lower with semaglutide versus placebo (1736 versus 2676 kJ; estimated treatment difference −940 kJ; P &lt;0.0001). Semaglutide reduced hunger and prospective food consumption, and increased fullness and satiety when compared with placebo (all P &lt;0.02). The CoEQ indicated better control of eating and fewer/weaker food cravings with semaglutide versus placebo (P &lt;0.05). Body weight was reduced by 9.9% with semaglutide and 0.4% with placebo. Safety was consistent with the known profile of semaglutide. Conclusions In adults with obesity, once-weekly s.c. semaglutide 2.4 mg suppressed appetite, improved control of eating, and reduced food cravings, ad libitum energy intake and body weight versus placebo. There was no evidence of delayed gastric emptying at week 20, assessed indirectly via paracetamol absorption.","container-title":"Diabetes, Obesity and Metabolism","DOI":"10.1111/dom.14280","ISSN":"1463-1326","issue":"3","language":"en","license":"© 2020 The Authors. Diabetes, Obesity and Metabolism published by John Wiley &amp; Sons Ltd.","note":"_eprint: https://dom-pubs.onlinelibrary.wiley.com/doi/pdf/10.1111/dom.14280","page":"754-762","source":"Wiley Online Library","title":"The effect of semaglutide 2.4 mg once weekly on energy intake, appetite, control of eating, and gastric emptying in adults with obesity","volume":"23","author":[{"family":"Friedrichsen","given":"Martin"},{"family":"Breitschaft","given":"Astrid"},{"family":"Tadayon","given":"Sayeh"},{"family":"Wizert","given":"Alicja"},{"family":"Skovgaard","given":"Dorthe"}],"issued":{"date-parts":[["2021"]]}}}],"schema":"https://github.com/citation-style-language/schema/raw/master/csl-citation.json"} </w:instrText>
      </w:r>
      <w:r w:rsidR="00D649BB">
        <w:rPr>
          <w:rFonts w:ascii="Times New Roman" w:eastAsia="Times New Roman" w:hAnsi="Times New Roman" w:cs="Times New Roman"/>
        </w:rPr>
        <w:fldChar w:fldCharType="separate"/>
      </w:r>
      <w:r w:rsidR="00D649BB" w:rsidRPr="00D649BB">
        <w:rPr>
          <w:rFonts w:ascii="Times New Roman" w:hAnsi="Times New Roman" w:cs="Times New Roman"/>
          <w:kern w:val="0"/>
          <w:vertAlign w:val="superscript"/>
        </w:rPr>
        <w:t>4</w:t>
      </w:r>
      <w:r w:rsidR="00D649BB">
        <w:rPr>
          <w:rFonts w:ascii="Times New Roman" w:eastAsia="Times New Roman" w:hAnsi="Times New Roman" w:cs="Times New Roman"/>
        </w:rPr>
        <w:fldChar w:fldCharType="end"/>
      </w:r>
      <w:r w:rsidRPr="006E3D93">
        <w:rPr>
          <w:rFonts w:ascii="Times New Roman" w:eastAsia="Times New Roman" w:hAnsi="Times New Roman" w:cs="Times New Roman"/>
        </w:rPr>
        <w:t xml:space="preserve"> </w:t>
      </w:r>
      <w:r w:rsidR="00D649BB">
        <w:rPr>
          <w:rFonts w:ascii="Times New Roman" w:eastAsia="Times New Roman" w:hAnsi="Times New Roman" w:cs="Times New Roman"/>
        </w:rPr>
        <w:t xml:space="preserve">shows </w:t>
      </w:r>
      <w:r w:rsidRPr="006E3D93">
        <w:rPr>
          <w:rFonts w:ascii="Times New Roman" w:eastAsia="Times New Roman" w:hAnsi="Times New Roman" w:cs="Times New Roman"/>
        </w:rPr>
        <w:t>a substantial reduction in energy intake at an ad libitum meal. Evidence on food composition is more heterogeneous. Randomized studies indicate lower liking or craving for high-fat, sweet, savory, dairy</w:t>
      </w:r>
      <w:r w:rsidR="00A560E6">
        <w:rPr>
          <w:rFonts w:ascii="Times New Roman" w:eastAsia="Times New Roman" w:hAnsi="Times New Roman" w:cs="Times New Roman"/>
        </w:rPr>
        <w:t>,</w:t>
      </w:r>
      <w:r w:rsidRPr="006E3D93">
        <w:rPr>
          <w:rFonts w:ascii="Times New Roman" w:eastAsia="Times New Roman" w:hAnsi="Times New Roman" w:cs="Times New Roman"/>
        </w:rPr>
        <w:t xml:space="preserve"> and starchy foods, but the number of studies measuring food preferences remains limited</w:t>
      </w:r>
      <w:r w:rsidR="00D649BB">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{"citationID":"VLeYKl7A","properties":{"unsorted":false,"formattedCitation":"\\super 5\\nosupersub{}","plainCitation":"5","noteIndex":0},"citationItems":[{"id":650,"uris":["http://zotero.org/users/12629452/items/MSYJ9SQD"],"itemData":{"id":650,"type":"article-journal","abstract":"BACKGROUND: Obesity is an epidemiological issue that negatively affects public health and has led to a high global burden on the healthcare system. Several approaches to control and overcome the obesity crisis have been established. However, Nobel discoverers found that glucagon-like peptide-1 analogues (GLP-1 analogues) positively regulate appetite and food intake, eventually leading to weight loss.\nOBJECTIVE: The present systematic review aims to summarize the currently available evidence of the impact of GLP-1 analogues on appetite, gastric emptying, taste sensitivity, and food preferences among adults with obesity without other chronic diseases.\nMETHODS: A systematic literature search was conducted from October 2021 to December 2021 from three electronic databases (PubMed, Scopus, and ScienceDirect), including only randomized clinical trials (RCTs). Studies were based on the use of GLP-1 analogues, of any dosage and duration among adults with obesity without other medical diseases; studies measured appetite, gastric emptying, food preferences, and taste as a primary or secondary outcome. The risk of publication bias in each study was assessed independently using the updated Cochrane risk-of-bias tool (RoB2).\nRESULTS: Twelve studies met the inclusion criteria with a total sample size of 445 participants. All the included studies measured at least one or more of the primary outcomes. The promising effect was evidenced by most studies showing appetite suppression, delayed gastric emptying, and changes in taste and food preferences.\nCONCLUSION: GLP-1 analogues are effective obesity management therapy that could decrease food intake and eventually reduce weight by suppressing appetite, reducing hunger, decreasing gastric emptying, and altering food preferences and taste. However, high-quality, long-term, large sample size studies are crucial to examine the efficacy and effective dose of GLP-1 analogues intervention.","container-title":"Diabetes, Metabolic Syndrome and Obesity: Targets and Therapy","DOI":"10.2147/DMSO.S387116","ISSN":"1178-7007","journalAbbreviation":"Diabetes Metab Syndr Obes","language":"eng","page":"575-595","PMID":"36890965","PMCID":"PMC9987242","source":"PubMed","title":"The Efficacy of GLP-1 Analogues on Appetite Parameters, Gastric Emptying, Food Preference and Taste Among Adults with Obesity: Systematic Review of Randomized Controlled Trials","title-short":"The Efficacy of GLP-1 Analogues on Appetite Parameters, Gastric Emptying, Food Preference and Taste Among Adults with Obesity","volume":"16","author":[{"family":"Aldawsari","given":"Malikah"},{"family":"Almadani","given":"Fatima A."},{"family":"Almuhammadi","given":"Nujud"},{"family":"Algabsani","given":"Sarah"},{"family":"Alamro","given":"Yara"},{"family":"Aldhwayan","given":"Madhawi"}],"issued":{"date-parts":[["2023"]]}}}],"schema":"https://github.com/citation-style-language/schema/raw/master/csl-citation.json"} </w:instrText>
      </w:r>
      <w:r w:rsidR="00D649BB">
        <w:rPr>
          <w:rFonts w:ascii="Times New Roman" w:eastAsia="Times New Roman" w:hAnsi="Times New Roman" w:cs="Times New Roman"/>
        </w:rPr>
        <w:fldChar w:fldCharType="separate"/>
      </w:r>
      <w:r w:rsidR="00D649BB" w:rsidRPr="00D649BB">
        <w:rPr>
          <w:rFonts w:ascii="Times New Roman" w:hAnsi="Times New Roman" w:cs="Times New Roman"/>
          <w:kern w:val="0"/>
          <w:vertAlign w:val="superscript"/>
        </w:rPr>
        <w:t>5</w:t>
      </w:r>
      <w:r w:rsidR="00D649BB">
        <w:rPr>
          <w:rFonts w:ascii="Times New Roman" w:eastAsia="Times New Roman" w:hAnsi="Times New Roman" w:cs="Times New Roman"/>
        </w:rPr>
        <w:fldChar w:fldCharType="end"/>
      </w:r>
      <w:r w:rsidRPr="006E3D93">
        <w:rPr>
          <w:rFonts w:ascii="Times New Roman" w:eastAsia="Times New Roman" w:hAnsi="Times New Roman" w:cs="Times New Roman"/>
        </w:rPr>
        <w:t>. Survey and revealed-purchase evidence similarly indicate lower overall consumption and shifts away from several energy-dense food categories</w:t>
      </w:r>
      <w:r w:rsidR="00D649BB">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{"citationID":"AuBzrGgd","properties":{"unsorted":false,"formattedCitation":"\\super 6,7\\nosupersub{}","plainCitation":"6,7","noteIndex":0},"citationItems":[{"id":10,"uris":["http://zotero.org/users/12629452/items/CFU736PR"],"itemData":{"id":10,"type":"article-journal","abstract":"Widespread adoption of Glucagon-like peptide-1 (GLP-1) agonists could cause significant changes in food consumption and preferences that disrupt the food industry. In this study, we survey four consumer groups to better understand how GLP-1 s may affect food consumption and preferences. The four groups were: 1) consumers currently using a GLP-1, 2) consumers who have previously used a GLP-1, 3) consumers who haven't used a GLP-1 but plan to in the future, and 4) consumers who haven't used a GLP-1 and don't plan to in the future. Results show that consumers currently taking a GLP-1 consume significantly fewer calories than the other groups surveyed, and calorie reduction while taking a GLP-1 for weight loss could be around 720 to 990 cal. Additionally, those taking GLP-1 s most likely reduce consumption of processed foods, sugar-sweetened beverages, refined grains, and beef. The results of this study will inform potential consumers and food companies of valuable insights into the broader effects of GLP-1 s on caloric intake and food preferences.","container-title":"Food Quality and Preference","DOI":"10.1016/j.foodqual.2025.105507","ISSN":"0950-3293","journalAbbreviation":"Food Quality and Preference","page":"105507","source":"ScienceDirect","title":"Characteristics and food consumption for current, previous, and potential consumers of GLP-1 s","volume":"129","author":[{"family":"Dilley","given":"Andrew"},{"family":"Adhikari","given":"Saroj"},{"family":"Silwal","given":"Pratikshya"},{"family":"L. Lusk","given":"Jayson."},{"family":"McFadden","given":"Brandon R."}],"issued":{"date-parts":[["2025",8,1]]}}},{"id":549,"uris":["http://zotero.org/users/12629452/items/JLCQ4CV7"],"itemData":{"id":549,"type":"article-journal","container-title":"JAMA Network Open","DOI":"10.1001/jamanetworkopen.2025.55449","ISSN":"2574-3805","issue":"1","journalAbbreviation":"JAMA Netw Open","page":"e2555449","source":"Silverchair","title":"Consumer Food Purchases After Glucagon-Like Peptide-1 Receptor Agonist Initiation","volume":"9","author":[{"family":"Sørensen","given":"Kathrine Kold"},{"family":"Møller","given":"Frederik Trier"},{"family":"Yazdanfard","given":"Puriya Daniel Würtz"},{"family":"Hasselbalch","given":"Rasmus"},{"family":"Kragholm","given":"Kristian Hay"},{"family":"Andersen","given":"Mikkel Porsborg"},{"family":"Torp-Pedersen","given":"Christian"}],"issued":{"date-parts":[["2026",1,26]]}}}],"schema":"https://github.com/citation-style-language/schema/raw/master/csl-citation.json"} </w:instrText>
      </w:r>
      <w:r w:rsidR="00D649BB">
        <w:rPr>
          <w:rFonts w:ascii="Times New Roman" w:eastAsia="Times New Roman" w:hAnsi="Times New Roman" w:cs="Times New Roman"/>
        </w:rPr>
        <w:fldChar w:fldCharType="separate"/>
      </w:r>
      <w:r w:rsidR="00D649BB" w:rsidRPr="00D649BB">
        <w:rPr>
          <w:rFonts w:ascii="Times New Roman" w:hAnsi="Times New Roman" w:cs="Times New Roman"/>
          <w:kern w:val="0"/>
          <w:vertAlign w:val="superscript"/>
        </w:rPr>
        <w:t>6,7</w:t>
      </w:r>
      <w:r w:rsidR="00D649BB">
        <w:rPr>
          <w:rFonts w:ascii="Times New Roman" w:eastAsia="Times New Roman" w:hAnsi="Times New Roman" w:cs="Times New Roman"/>
        </w:rPr>
        <w:fldChar w:fldCharType="end"/>
      </w:r>
      <w:r w:rsidRPr="006E3D93">
        <w:rPr>
          <w:rFonts w:ascii="Times New Roman" w:eastAsia="Times New Roman" w:hAnsi="Times New Roman" w:cs="Times New Roman"/>
        </w:rPr>
        <w:t xml:space="preserve">. At the same time, protein demand need not decline proportionally with total food intake. </w:t>
      </w:r>
      <w:r w:rsidR="00D649BB">
        <w:rPr>
          <w:rFonts w:ascii="Times New Roman" w:eastAsia="Times New Roman" w:hAnsi="Times New Roman" w:cs="Times New Roman"/>
        </w:rPr>
        <w:t>H</w:t>
      </w:r>
      <w:r w:rsidRPr="006E3D93">
        <w:rPr>
          <w:rFonts w:ascii="Times New Roman" w:eastAsia="Times New Roman" w:hAnsi="Times New Roman" w:cs="Times New Roman"/>
        </w:rPr>
        <w:t>igher willingness to pay and lower price sensitivity for several protein products among GLP-1 users, consistent with users consuming smaller quantities while placing greater value on protein-dense foods</w:t>
      </w:r>
      <w:r w:rsidR="00D649BB">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{"citationID":"c6H656Jm","properties":{"unsorted":false,"formattedCitation":"\\super 8\\nosupersub{}","plainCitation":"8","noteIndex":0},"citationItems":[{"id":16,"uris":["http://zotero.org/users/12629452/items/MFIQAU5U"],"itemData":{"id":16,"type":"article-journal","abstract":"The use of glucagon-like peptide-1 (GLP-1) receptor agonists for weight loss is reshaping food demand, particularly for protein. This research estimates how GLP-1 use alters protein demand curves using methods of causal inference applied to structural demand modeling. Data from a public survey are balanced via matching to address endogenous selection into GLP-1 treatment. Demand shifts and rotations are then estimated using a discrete choice model and an Almost Ideal Demand System. GLP-1 use increases willingness-to-pay for most evaluated protein products, though the effects vary by product and outlet. Own-price elasticities for several retail products become up to 0.22 more inelastic. Our findings of shift effects of GLP-1 use on protein demand indicate externalities that are internal to the U.S. food system and that extend beyond simple consumption changes.","container-title":"Food Policy","DOI":"10.1016/j.foodpol.2025.103026","ISSN":"0306-9192","journalAbbreviation":"Food Policy","page":"103026","source":"ScienceDirect","title":"GLP-1 use and protein demand","volume":"138","author":[{"family":"Bina","given":"Justin D."},{"family":"Tonsor","given":"Glynn T."},{"family":"Richards","given":"Timothy J."}],"issued":{"date-parts":[["2026",1,1]]}}}],"schema":"https://github.com/citation-style-language/schema/raw/master/csl-citation.json"} </w:instrText>
      </w:r>
      <w:r w:rsidR="00D649BB">
        <w:rPr>
          <w:rFonts w:ascii="Times New Roman" w:eastAsia="Times New Roman" w:hAnsi="Times New Roman" w:cs="Times New Roman"/>
        </w:rPr>
        <w:fldChar w:fldCharType="separate"/>
      </w:r>
      <w:r w:rsidR="00D649BB" w:rsidRPr="00D649BB">
        <w:rPr>
          <w:rFonts w:ascii="Times New Roman" w:hAnsi="Times New Roman" w:cs="Times New Roman"/>
          <w:kern w:val="0"/>
          <w:vertAlign w:val="superscript"/>
        </w:rPr>
        <w:t>8</w:t>
      </w:r>
      <w:r w:rsidR="00D649BB">
        <w:rPr>
          <w:rFonts w:ascii="Times New Roman" w:eastAsia="Times New Roman" w:hAnsi="Times New Roman" w:cs="Times New Roman"/>
        </w:rPr>
        <w:fldChar w:fldCharType="end"/>
      </w:r>
      <w:r w:rsidRPr="006E3D93">
        <w:rPr>
          <w:rFonts w:ascii="Times New Roman" w:eastAsia="Times New Roman" w:hAnsi="Times New Roman" w:cs="Times New Roman"/>
        </w:rPr>
        <w:t>. Because the clinical evidence identifies the overall energy response more precisely than category-specific quantity effects, we treat the food-category responses below as RCT-anchored, evidence-constrained scenario inputs rather than independently identified category-specific causal effects.</w:t>
      </w:r>
    </w:p>
    <w:p w14:paraId="33F26813" w14:textId="2013438A" w:rsidR="002D0FE1" w:rsidRPr="006E3D93" w:rsidRDefault="002D0FE1" w:rsidP="002D0FE1">
      <w:pPr>
        <w:spacing w:line="480" w:lineRule="auto"/>
        <w:ind w:firstLine="720"/>
        <w:jc w:val="both"/>
        <w:rPr>
          <w:rFonts w:ascii="Times New Roman" w:eastAsia="Times New Roman" w:hAnsi="Times New Roman" w:cs="Times New Roman"/>
        </w:rPr>
      </w:pPr>
      <w:r w:rsidRPr="006E3D93">
        <w:rPr>
          <w:rFonts w:ascii="Times New Roman" w:eastAsia="Times New Roman" w:hAnsi="Times New Roman" w:cs="Times New Roman"/>
        </w:rPr>
        <w:t>Supplementary Table S</w:t>
      </w:r>
      <w:r w:rsidR="005041C1">
        <w:rPr>
          <w:rFonts w:ascii="Times New Roman" w:eastAsia="Times New Roman" w:hAnsi="Times New Roman" w:cs="Times New Roman"/>
        </w:rPr>
        <w:t>3</w:t>
      </w:r>
      <w:r w:rsidRPr="006E3D93">
        <w:rPr>
          <w:rFonts w:ascii="Times New Roman" w:eastAsia="Times New Roman" w:hAnsi="Times New Roman" w:cs="Times New Roman"/>
        </w:rPr>
        <w:t xml:space="preserve"> reports the calibrated per-user dietary responses for the nine food categories matched to the GTAP sector aggregation. We first use FAO Food Balance Sheets to characterize country-specific baseline caloric availability and map the underlying commodities to the nine GTAP food categories. The aggregate reduction in food intake is anchored to the randomized clinical evidence on GLP-1-induced energy-intake reductions, while the relative distribution of that reduction across food categories is informed by the experimental, survey, purchase and demand evidence described above. Country-specific baseline caloric composition is then used to reconcile these category patterns with the aggregate energy-intake response. The resulting calibration places the largest reduction on vegetable oils and fats, at approximately 41% in each country, consistent with experimental estimates showing reductions of approximately 35–41% in high-fat food intake. Meat and meat products </w:t>
      </w:r>
      <w:proofErr w:type="gramStart"/>
      <w:r w:rsidRPr="006E3D93">
        <w:rPr>
          <w:rFonts w:ascii="Times New Roman" w:eastAsia="Times New Roman" w:hAnsi="Times New Roman" w:cs="Times New Roman"/>
        </w:rPr>
        <w:t>decline</w:t>
      </w:r>
      <w:proofErr w:type="gramEnd"/>
      <w:r w:rsidRPr="006E3D93">
        <w:rPr>
          <w:rFonts w:ascii="Times New Roman" w:eastAsia="Times New Roman" w:hAnsi="Times New Roman" w:cs="Times New Roman"/>
        </w:rPr>
        <w:t xml:space="preserve"> by approximately 36%. This reduction is consistent with evidence of lower meat quantities among GLP-1 users while allowing for the higher per-unit valuation of protein documented in recent demand studies. Cereals decline by approximately 33% in the United States, 36% in Canada and 35% in Mexico, with the modest cross-country differences reflecting differences in baseline dietary composition. Fruit and vegetables and fish and seafood are assigned more moderate reductions of 25%. Dairy, sugar and sugar products, beverages and tobacco, and processed food and other products </w:t>
      </w:r>
      <w:proofErr w:type="gramStart"/>
      <w:r w:rsidRPr="006E3D93">
        <w:rPr>
          <w:rFonts w:ascii="Times New Roman" w:eastAsia="Times New Roman" w:hAnsi="Times New Roman" w:cs="Times New Roman"/>
        </w:rPr>
        <w:t>decline</w:t>
      </w:r>
      <w:proofErr w:type="gramEnd"/>
      <w:r w:rsidRPr="006E3D93">
        <w:rPr>
          <w:rFonts w:ascii="Times New Roman" w:eastAsia="Times New Roman" w:hAnsi="Times New Roman" w:cs="Times New Roman"/>
        </w:rPr>
        <w:t xml:space="preserve"> by approximately 36%. Evidence for the exact magnitudes in these latter categories is less direct, and their values therefore primarily reflect the calibration needed to obtain a coherent food-basket response consistent with the aggregate clinical evidence. Because beverages and tobacco are represented as a single GTAP commodity, the calibrated response for this composite should not be interpreted as evidence of a tobacco-specific behavioral effect.</w:t>
      </w:r>
    </w:p>
    <w:p w14:paraId="758F63F6" w14:textId="60FF3B89" w:rsidR="002D0FE1" w:rsidRPr="006E3D93" w:rsidRDefault="002D0FE1" w:rsidP="002D0FE1">
      <w:pPr>
        <w:spacing w:line="480" w:lineRule="auto"/>
        <w:ind w:firstLine="720"/>
        <w:jc w:val="both"/>
        <w:rPr>
          <w:rFonts w:ascii="Times New Roman" w:eastAsia="Times New Roman" w:hAnsi="Times New Roman" w:cs="Times New Roman"/>
        </w:rPr>
      </w:pPr>
      <w:r w:rsidRPr="006E3D93">
        <w:rPr>
          <w:rFonts w:ascii="Times New Roman" w:eastAsia="Times New Roman" w:hAnsi="Times New Roman" w:cs="Times New Roman"/>
        </w:rPr>
        <w:t>The calibrated per-user responses are converted into country-, year-</w:t>
      </w:r>
      <w:r w:rsidR="00CA6766">
        <w:rPr>
          <w:rFonts w:ascii="Times New Roman" w:eastAsia="Times New Roman" w:hAnsi="Times New Roman" w:cs="Times New Roman"/>
        </w:rPr>
        <w:t>,</w:t>
      </w:r>
      <w:r w:rsidRPr="006E3D93">
        <w:rPr>
          <w:rFonts w:ascii="Times New Roman" w:eastAsia="Times New Roman" w:hAnsi="Times New Roman" w:cs="Times New Roman"/>
        </w:rPr>
        <w:t xml:space="preserve"> and food-category-specific aggregate household food-demand pathways using projected active treatment prevalence, rather than first-time adoption. For country </w:t>
      </w:r>
      <w:r w:rsidRPr="0004342E">
        <w:rPr>
          <w:rFonts w:ascii="Times New Roman" w:eastAsia="Times New Roman" w:hAnsi="Times New Roman" w:cs="Times New Roman"/>
          <w:i/>
          <w:iCs/>
        </w:rPr>
        <w:t>r</w:t>
      </w:r>
      <w:r w:rsidRPr="006E3D93">
        <w:rPr>
          <w:rFonts w:ascii="Times New Roman" w:eastAsia="Times New Roman" w:hAnsi="Times New Roman" w:cs="Times New Roman"/>
        </w:rPr>
        <w:t xml:space="preserve">, food category </w:t>
      </w:r>
      <w:r w:rsidRPr="0004342E">
        <w:rPr>
          <w:rFonts w:ascii="Times New Roman" w:eastAsia="Times New Roman" w:hAnsi="Times New Roman" w:cs="Times New Roman"/>
          <w:i/>
          <w:iCs/>
        </w:rPr>
        <w:t>c</w:t>
      </w:r>
      <w:r w:rsidRPr="006E3D93">
        <w:rPr>
          <w:rFonts w:ascii="Times New Roman" w:eastAsia="Times New Roman" w:hAnsi="Times New Roman" w:cs="Times New Roman"/>
        </w:rPr>
        <w:t xml:space="preserve">, and year </w:t>
      </w:r>
      <w:r w:rsidRPr="0004342E">
        <w:rPr>
          <w:rFonts w:ascii="Times New Roman" w:eastAsia="Times New Roman" w:hAnsi="Times New Roman" w:cs="Times New Roman"/>
          <w:i/>
          <w:iCs/>
        </w:rPr>
        <w:t>t</w:t>
      </w:r>
      <w:r w:rsidRPr="006E3D93">
        <w:rPr>
          <w:rFonts w:ascii="Times New Roman" w:eastAsia="Times New Roman" w:hAnsi="Times New Roman" w:cs="Times New Roman"/>
        </w:rPr>
        <w:t>, the demand pathway is defined as</w:t>
      </w:r>
    </w:p>
    <w:p w14:paraId="18FAC403" w14:textId="77777777" w:rsidR="002D0FE1" w:rsidRPr="006E3D93" w:rsidRDefault="001371D5" w:rsidP="002D0FE1">
      <w:pPr>
        <w:spacing w:line="480" w:lineRule="auto"/>
        <w:ind w:firstLine="720"/>
        <w:jc w:val="both"/>
        <w:rPr>
          <w:rFonts w:ascii="Times New Roman" w:eastAsia="Times New Roman" w:hAnsi="Times New Roman" w:cs="Times New Roman"/>
        </w:rPr>
      </w:pPr>
      <m:oMathPara>
        <m:oMath>
          <m:sSub>
            <m:sSubPr>
              <m:ctrlPr>
                <w:rPr>
                  <w:rFonts w:ascii="Cambria Math" w:eastAsia="Times New Roman" w:hAnsi="Cambria Math" w:cs="Times New Roman"/>
                </w:rPr>
              </m:ctrlPr>
            </m:sSubPr>
            <m:e>
              <m:r>
                <w:rPr>
                  <w:rFonts w:ascii="Cambria Math" w:eastAsia="Times New Roman" w:hAnsi="Cambria Math" w:cs="Times New Roman"/>
                </w:rPr>
                <m:t>D</m:t>
              </m:r>
            </m:e>
            <m:sub>
              <m:r>
                <w:rPr>
                  <w:rFonts w:ascii="Cambria Math" w:eastAsia="Times New Roman" w:hAnsi="Cambria Math" w:cs="Times New Roman"/>
                </w:rPr>
                <m:t>crt</m:t>
              </m:r>
            </m:sub>
          </m:sSub>
          <m:r>
            <m:rPr>
              <m:sty m:val="p"/>
            </m:rPr>
            <w:rPr>
              <w:rFonts w:ascii="Cambria Math" w:eastAsia="Times New Roman" w:hAnsi="Cambria Math" w:cs="Times New Roman"/>
            </w:rPr>
            <m:t xml:space="preserve"> = </m:t>
          </m:r>
          <m:sSub>
            <m:sSubPr>
              <m:ctrlPr>
                <w:rPr>
                  <w:rFonts w:ascii="Cambria Math" w:eastAsia="Times New Roman" w:hAnsi="Cambria Math" w:cs="Times New Roman"/>
                </w:rPr>
              </m:ctrlPr>
            </m:sSubPr>
            <m:e>
              <m:r>
                <w:rPr>
                  <w:rFonts w:ascii="Cambria Math" w:eastAsia="Times New Roman" w:hAnsi="Cambria Math" w:cs="Times New Roman"/>
                </w:rPr>
                <m:t>A</m:t>
              </m:r>
            </m:e>
            <m:sub>
              <m:r>
                <w:rPr>
                  <w:rFonts w:ascii="Cambria Math" w:eastAsia="Times New Roman" w:hAnsi="Cambria Math" w:cs="Times New Roman"/>
                </w:rPr>
                <m:t>rt</m:t>
              </m:r>
            </m:sub>
          </m:sSub>
          <m:sSub>
            <m:sSubPr>
              <m:ctrlPr>
                <w:rPr>
                  <w:rFonts w:ascii="Cambria Math" w:eastAsia="Times New Roman" w:hAnsi="Cambria Math" w:cs="Times New Roman"/>
                </w:rPr>
              </m:ctrlPr>
            </m:sSubPr>
            <m:e>
              <m:r>
                <w:rPr>
                  <w:rFonts w:ascii="Cambria Math" w:eastAsia="Times New Roman" w:hAnsi="Cambria Math" w:cs="Times New Roman"/>
                </w:rPr>
                <m:t>δ</m:t>
              </m:r>
            </m:e>
            <m:sub>
              <m:r>
                <w:rPr>
                  <w:rFonts w:ascii="Cambria Math" w:eastAsia="Times New Roman" w:hAnsi="Cambria Math" w:cs="Times New Roman"/>
                </w:rPr>
                <m:t>cr</m:t>
              </m:r>
            </m:sub>
          </m:sSub>
        </m:oMath>
      </m:oMathPara>
    </w:p>
    <w:p w14:paraId="61DF9369" w14:textId="1C5DDF6E" w:rsidR="002D0FE1" w:rsidRPr="009F52B8" w:rsidRDefault="002D0FE1" w:rsidP="009F52B8">
      <w:pPr>
        <w:spacing w:line="480" w:lineRule="auto"/>
        <w:jc w:val="both"/>
        <w:rPr>
          <w:rFonts w:ascii="Times New Roman" w:eastAsia="Times New Roman" w:hAnsi="Times New Roman" w:cs="Times New Roman"/>
        </w:rPr>
      </w:pPr>
      <w:r w:rsidRPr="006E3D93">
        <w:rPr>
          <w:rFonts w:ascii="Times New Roman" w:eastAsia="Times New Roman" w:hAnsi="Times New Roman" w:cs="Times New Roman"/>
        </w:rPr>
        <w:t xml:space="preserve">where </w:t>
      </w:r>
      <w:r w:rsidRPr="0004342E">
        <w:rPr>
          <w:rFonts w:ascii="Times New Roman" w:eastAsia="Times New Roman" w:hAnsi="Times New Roman" w:cs="Times New Roman"/>
          <w:i/>
          <w:iCs/>
        </w:rPr>
        <w:t>A</w:t>
      </w:r>
      <w:r w:rsidRPr="0004342E">
        <w:rPr>
          <w:rFonts w:ascii="Times New Roman" w:eastAsia="Times New Roman" w:hAnsi="Times New Roman" w:cs="Times New Roman"/>
          <w:i/>
          <w:iCs/>
          <w:vertAlign w:val="subscript"/>
        </w:rPr>
        <w:t>rt</w:t>
      </w:r>
      <w:r w:rsidRPr="006E3D93">
        <w:rPr>
          <w:rFonts w:ascii="Times New Roman" w:eastAsia="Times New Roman" w:hAnsi="Times New Roman" w:cs="Times New Roman"/>
        </w:rPr>
        <w:t xml:space="preserve"> denotes active treatment prevalence, </w:t>
      </w:r>
      <w:proofErr w:type="spellStart"/>
      <w:r w:rsidRPr="0004342E">
        <w:rPr>
          <w:rFonts w:ascii="Times New Roman" w:eastAsia="Times New Roman" w:hAnsi="Times New Roman" w:cs="Times New Roman"/>
          <w:i/>
          <w:iCs/>
        </w:rPr>
        <w:t>δ</w:t>
      </w:r>
      <w:r w:rsidRPr="0004342E">
        <w:rPr>
          <w:rFonts w:ascii="Times New Roman" w:eastAsia="Times New Roman" w:hAnsi="Times New Roman" w:cs="Times New Roman"/>
          <w:i/>
          <w:iCs/>
          <w:vertAlign w:val="subscript"/>
        </w:rPr>
        <w:t>cr</w:t>
      </w:r>
      <w:proofErr w:type="spellEnd"/>
      <w:r w:rsidRPr="006E3D93">
        <w:rPr>
          <w:rFonts w:ascii="Times New Roman" w:eastAsia="Times New Roman" w:hAnsi="Times New Roman" w:cs="Times New Roman"/>
        </w:rPr>
        <w:t xml:space="preserve"> denotes the calibrated per-user dietary response and </w:t>
      </w:r>
      <w:proofErr w:type="spellStart"/>
      <w:r w:rsidRPr="0004342E">
        <w:rPr>
          <w:rFonts w:ascii="Times New Roman" w:eastAsia="Times New Roman" w:hAnsi="Times New Roman" w:cs="Times New Roman"/>
          <w:i/>
          <w:iCs/>
        </w:rPr>
        <w:t>D</w:t>
      </w:r>
      <w:r w:rsidRPr="0004342E">
        <w:rPr>
          <w:rFonts w:ascii="Times New Roman" w:eastAsia="Times New Roman" w:hAnsi="Times New Roman" w:cs="Times New Roman"/>
          <w:i/>
          <w:iCs/>
          <w:vertAlign w:val="subscript"/>
        </w:rPr>
        <w:t>crt</w:t>
      </w:r>
      <w:proofErr w:type="spellEnd"/>
      <w:r w:rsidRPr="006E3D93">
        <w:rPr>
          <w:rFonts w:ascii="Times New Roman" w:eastAsia="Times New Roman" w:hAnsi="Times New Roman" w:cs="Times New Roman"/>
        </w:rPr>
        <w:t xml:space="preserve"> denotes the resulting aggregate household-demand change. Because GTAP private-household demand is not age-stratified, the projected adult active-treatment prevalence is used as the scaling share for the corresponding household food-demand composite. This provides a transparent approximation linking the treated adult population to aggregate household food demand. The resulting pathways are externally constructed before the economy-wide simulation and enter GTAP-RD as exogenous household quantity-demand changes. This treatment is consistent with established food-system scenario analyses in which dietary or behavioral pathways are specified outside the equilibrium model and the resulting production, price, trade and resource adjustments are determined endogenously. Springmann et al.</w:t>
      </w:r>
      <w:r w:rsidR="005B14DE">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{"citationID":"r3ngJloy","properties":{"unsorted":false,"formattedCitation":"\\super 9\\nosupersub{}","plainCitation":"9","noteIndex":0},"citationItems":[{"id":620,"uris":["http://zotero.org/users/12629452/items/P3D9UA5Z"],"itemData":{"id":620,"type":"article-journal","abstract":"The food system is a major driver of climate change, changes in land use, depletion of freshwater resources, and pollution of aquatic and terrestrial ecosystems through excessive nitrogen and phosphorus inputs. Here we show that between 2010 and 2050, as a result of expected changes in population and income levels, the environmental effects of the food system could increase by 50–90% in the absence of technological changes and dedicated mitigation measures, reaching levels that are beyond the planetary boundaries that define a safe operating space for humanity. We analyse several options for reducing the environmental effects of the food system, including dietary changes towards healthier, more plant-based diets, improvements in technologies and management, and reductions in food loss and waste. We find that no single measure is enough to keep these effects within all planetary boundaries simultaneously, and that a synergistic combination of measures will be needed to sufficiently mitigate the projected increase in environmental pressures.","container-title":"Nature","DOI":"10.1038/s41586-018-0594-0","ISSN":"1476-4687","issue":"7728","language":"en","license":"2018 Springer Nature Limited","page":"519-525","publisher":"Nature Publishing Group","source":"www.nature.com","title":"Options for keeping the food system within environmental limits","volume":"562","author":[{"family":"Springmann","given":"Marco"},{"family":"Clark","given":"Michael"},{"family":"Mason-D’Croz","given":"Daniel"},{"family":"Wiebe","given":"Keith"},{"family":"Bodirsky","given":"Benjamin Leon"},{"family":"Lassaletta","given":"Luis"},{"family":"Vries","given":"Wim","non-dropping-particle":"de"},{"family":"Vermeulen","given":"Sonja J."},{"family":"Herrero","given":"Mario"},{"family":"Carlson","given":"Kimberly M."},{"family":"Jonell","given":"Malin"},{"family":"Troell","given":"Max"},{"family":"DeClerck","given":"Fabrice"},{"family":"Gordon","given":"Line J."},{"family":"Zurayk","given":"Rami"},{"family":"Scarborough","given":"Peter"},{"family":"Rayner","given":"Mike"},{"family":"Loken","given":"Brent"},{"family":"Fanzo","given":"Jess"},{"family":"Godfray","given":"H. Charles J."},{"family":"Tilman","given":"David"},{"family":"Rockström","given":"Johan"},{"family":"Willett","given":"Walter"}],"issued":{"date-parts":[["2018",10]]}}}],"schema":"https://github.com/citation-style-language/schema/raw/master/csl-citation.json"} </w:instrText>
      </w:r>
      <w:r w:rsidR="005B14DE">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9</w:t>
      </w:r>
      <w:r w:rsidR="005B14DE">
        <w:rPr>
          <w:rFonts w:ascii="Times New Roman" w:eastAsia="Times New Roman" w:hAnsi="Times New Roman" w:cs="Times New Roman"/>
        </w:rPr>
        <w:fldChar w:fldCharType="end"/>
      </w:r>
      <w:r w:rsidRPr="006E3D93">
        <w:rPr>
          <w:rFonts w:ascii="Times New Roman" w:eastAsia="Times New Roman" w:hAnsi="Times New Roman" w:cs="Times New Roman"/>
        </w:rPr>
        <w:t>, for example, construct counterfactual dietary scenarios by imposing changes in food composition and energy intake relative to a socioeconomic baseline, while Lopez Barrera and Hertel</w:t>
      </w:r>
      <w:r w:rsidR="005B14DE">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{"citationID":"knoE95pM","properties":{"unsorted":false,"formattedCitation":"\\super 10\\nosupersub{}","plainCitation":"10","noteIndex":0},"citationItems":[{"id":624,"uris":["http://zotero.org/users/12629452/items/QHMNI5SD"],"itemData":{"id":624,"type":"article-journal","abstract":"Present food consumption patterns will intensify pressure on natural resources, while poor nutrition is expected to prevail at both low and high levels of calorie consumption. To better understand the interplay between food security, environment and health, we use an integrated framework that allows for the analysis of the dynamics of the double burden of malnutrition and its health and environmental impacts by 2050. We find that excessive caloric intake will be key in rising body mass index levels, particularly in emerging economies. Because higher levels of body mass index will be reached at younger ages, future cohorts will increase their exposure to health risks, including coronary heart disease, stroke, site-specific cancers and type 2 diabetes. This framework also offers insights into the health, food and environmental security impacts of changing food demand behaviour. We find that reductions in food purchasing—associated with the mitigation of food waste and excessive food intake—are more important than changes in dietary composition in increasing food affordability and reducing pressure on cropland expansion, whereas dietary composition is critical in driving greenhouse gas emissions.","container-title":"Nature Food","DOI":"10.1038/s43016-023-00798-7","ISSN":"2662-1355","issue":"7","journalAbbreviation":"Nat Food","language":"en","license":"2023 The Author(s), under exclusive licence to Springer Nature Limited","page":"616-624","publisher":"Nature Publishing Group","source":"www.nature.com","title":"Solutions to the double burden of malnutrition also generate health and environmental benefits","volume":"4","author":[{"family":"Lopez Barrera","given":"Emiliano"},{"family":"Hertel","given":"Thomas"}],"issued":{"date-parts":[["2023",7]]}}}],"schema":"https://github.com/citation-style-language/schema/raw/master/csl-citation.json"} </w:instrText>
      </w:r>
      <w:r w:rsidR="005B14DE">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10</w:t>
      </w:r>
      <w:r w:rsidR="005B14DE">
        <w:rPr>
          <w:rFonts w:ascii="Times New Roman" w:eastAsia="Times New Roman" w:hAnsi="Times New Roman" w:cs="Times New Roman"/>
        </w:rPr>
        <w:fldChar w:fldCharType="end"/>
      </w:r>
      <w:r w:rsidR="005B14DE">
        <w:rPr>
          <w:rFonts w:ascii="Times New Roman" w:eastAsia="Times New Roman" w:hAnsi="Times New Roman" w:cs="Times New Roman"/>
        </w:rPr>
        <w:t xml:space="preserve"> </w:t>
      </w:r>
      <w:r w:rsidRPr="006E3D93">
        <w:rPr>
          <w:rFonts w:ascii="Times New Roman" w:eastAsia="Times New Roman" w:hAnsi="Times New Roman" w:cs="Times New Roman"/>
        </w:rPr>
        <w:t>explicitly impose exogenous shifts in food demand in selected regions and allow the resulting market adjustments elsewhere to occur endogenously.</w:t>
      </w:r>
    </w:p>
    <w:tbl>
      <w:tblPr>
        <w:tblStyle w:val="TableGrid"/>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783"/>
        <w:gridCol w:w="2158"/>
        <w:gridCol w:w="2159"/>
        <w:gridCol w:w="2244"/>
      </w:tblGrid>
      <w:tr w:rsidR="002D0FE1" w14:paraId="49A14BC0" w14:textId="77777777" w:rsidTr="009B7FCA">
        <w:tc>
          <w:tcPr>
            <w:tcW w:w="9350" w:type="dxa"/>
            <w:gridSpan w:val="4"/>
          </w:tcPr>
          <w:p w14:paraId="5927096C" w14:textId="03D0AEF5" w:rsidR="002D0FE1" w:rsidRPr="0019104A" w:rsidRDefault="002D0FE1" w:rsidP="009B7FCA">
            <w:pPr>
              <w:spacing w:line="480" w:lineRule="auto"/>
              <w:rPr>
                <w:rFonts w:ascii="Times New Roman" w:hAnsi="Times New Roman" w:cs="Times New Roman"/>
              </w:rPr>
            </w:pPr>
            <w:r>
              <w:rPr>
                <w:rFonts w:ascii="Times New Roman" w:hAnsi="Times New Roman" w:cs="Times New Roman"/>
              </w:rPr>
              <w:t>Table S</w:t>
            </w:r>
            <w:r w:rsidR="009E61C5">
              <w:rPr>
                <w:rFonts w:ascii="Times New Roman" w:hAnsi="Times New Roman" w:cs="Times New Roman"/>
              </w:rPr>
              <w:t>3</w:t>
            </w:r>
            <w:r>
              <w:rPr>
                <w:rFonts w:ascii="Times New Roman" w:hAnsi="Times New Roman" w:cs="Times New Roman"/>
              </w:rPr>
              <w:t>. The Calibrated Food Basket Changes (%) based on Calories per Capita per Day</w:t>
            </w:r>
          </w:p>
        </w:tc>
      </w:tr>
      <w:tr w:rsidR="002D0FE1" w14:paraId="1C8F2200" w14:textId="77777777" w:rsidTr="009B7FCA">
        <w:tc>
          <w:tcPr>
            <w:tcW w:w="2785" w:type="dxa"/>
          </w:tcPr>
          <w:p w14:paraId="4BE3E495" w14:textId="77777777" w:rsidR="002D0FE1" w:rsidRPr="0019104A" w:rsidRDefault="002D0FE1" w:rsidP="009B7FCA">
            <w:pPr>
              <w:spacing w:line="480" w:lineRule="auto"/>
              <w:rPr>
                <w:rFonts w:ascii="Times New Roman" w:hAnsi="Times New Roman" w:cs="Times New Roman"/>
              </w:rPr>
            </w:pPr>
          </w:p>
        </w:tc>
        <w:tc>
          <w:tcPr>
            <w:tcW w:w="2160" w:type="dxa"/>
          </w:tcPr>
          <w:p w14:paraId="00C50E2F"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U.S.</w:t>
            </w:r>
          </w:p>
        </w:tc>
        <w:tc>
          <w:tcPr>
            <w:tcW w:w="2160" w:type="dxa"/>
          </w:tcPr>
          <w:p w14:paraId="22BDE3B0"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Canada</w:t>
            </w:r>
          </w:p>
        </w:tc>
        <w:tc>
          <w:tcPr>
            <w:tcW w:w="2245" w:type="dxa"/>
          </w:tcPr>
          <w:p w14:paraId="69D49CC5"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Mexico</w:t>
            </w:r>
          </w:p>
        </w:tc>
      </w:tr>
      <w:tr w:rsidR="002D0FE1" w14:paraId="4A9A1C43" w14:textId="77777777" w:rsidTr="009B7FCA">
        <w:tc>
          <w:tcPr>
            <w:tcW w:w="2785" w:type="dxa"/>
            <w:vAlign w:val="bottom"/>
          </w:tcPr>
          <w:p w14:paraId="3A180F80"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Cereal</w:t>
            </w:r>
          </w:p>
        </w:tc>
        <w:tc>
          <w:tcPr>
            <w:tcW w:w="2160" w:type="dxa"/>
            <w:vAlign w:val="center"/>
          </w:tcPr>
          <w:p w14:paraId="48176F80"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-33.24</w:t>
            </w:r>
          </w:p>
        </w:tc>
        <w:tc>
          <w:tcPr>
            <w:tcW w:w="2160" w:type="dxa"/>
            <w:vAlign w:val="center"/>
          </w:tcPr>
          <w:p w14:paraId="461D5EB6"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-35.6</w:t>
            </w:r>
          </w:p>
        </w:tc>
        <w:tc>
          <w:tcPr>
            <w:tcW w:w="2245" w:type="dxa"/>
            <w:vAlign w:val="center"/>
          </w:tcPr>
          <w:p w14:paraId="6FC74474"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-35.27</w:t>
            </w:r>
          </w:p>
        </w:tc>
      </w:tr>
      <w:tr w:rsidR="002D0FE1" w14:paraId="030B98D3" w14:textId="77777777" w:rsidTr="009B7FCA">
        <w:tc>
          <w:tcPr>
            <w:tcW w:w="2785" w:type="dxa"/>
            <w:vAlign w:val="bottom"/>
          </w:tcPr>
          <w:p w14:paraId="153B1594" w14:textId="77777777" w:rsidR="002D0FE1" w:rsidRPr="0019104A" w:rsidRDefault="002D0FE1" w:rsidP="009B7FCA">
            <w:pPr>
              <w:spacing w:line="480" w:lineRule="auto"/>
              <w:rPr>
                <w:rFonts w:ascii="Times New Roman" w:hAnsi="Times New Roman" w:cs="Times New Roman"/>
              </w:rPr>
            </w:pPr>
            <w:proofErr w:type="spellStart"/>
            <w:r w:rsidRPr="0019104A">
              <w:rPr>
                <w:rFonts w:ascii="Times New Roman" w:hAnsi="Times New Roman" w:cs="Times New Roman"/>
              </w:rPr>
              <w:t>Veg_Fru</w:t>
            </w:r>
            <w:proofErr w:type="spellEnd"/>
          </w:p>
        </w:tc>
        <w:tc>
          <w:tcPr>
            <w:tcW w:w="2160" w:type="dxa"/>
            <w:vAlign w:val="center"/>
          </w:tcPr>
          <w:p w14:paraId="16B77D13"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-25</w:t>
            </w:r>
          </w:p>
        </w:tc>
        <w:tc>
          <w:tcPr>
            <w:tcW w:w="2160" w:type="dxa"/>
            <w:vAlign w:val="center"/>
          </w:tcPr>
          <w:p w14:paraId="1845FF1F"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-25</w:t>
            </w:r>
          </w:p>
        </w:tc>
        <w:tc>
          <w:tcPr>
            <w:tcW w:w="2245" w:type="dxa"/>
            <w:vAlign w:val="center"/>
          </w:tcPr>
          <w:p w14:paraId="50590B19"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-25</w:t>
            </w:r>
          </w:p>
        </w:tc>
      </w:tr>
      <w:tr w:rsidR="002D0FE1" w14:paraId="044D09CE" w14:textId="77777777" w:rsidTr="009B7FCA">
        <w:tc>
          <w:tcPr>
            <w:tcW w:w="2785" w:type="dxa"/>
            <w:vAlign w:val="bottom"/>
          </w:tcPr>
          <w:p w14:paraId="6EF288DA"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Fish &amp; Seafood</w:t>
            </w:r>
          </w:p>
        </w:tc>
        <w:tc>
          <w:tcPr>
            <w:tcW w:w="2160" w:type="dxa"/>
            <w:vAlign w:val="center"/>
          </w:tcPr>
          <w:p w14:paraId="697907DC"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-25</w:t>
            </w:r>
          </w:p>
        </w:tc>
        <w:tc>
          <w:tcPr>
            <w:tcW w:w="2160" w:type="dxa"/>
            <w:vAlign w:val="center"/>
          </w:tcPr>
          <w:p w14:paraId="632F6CA5"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-25</w:t>
            </w:r>
          </w:p>
        </w:tc>
        <w:tc>
          <w:tcPr>
            <w:tcW w:w="2245" w:type="dxa"/>
            <w:vAlign w:val="center"/>
          </w:tcPr>
          <w:p w14:paraId="2D67DB19"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-25</w:t>
            </w:r>
          </w:p>
        </w:tc>
      </w:tr>
      <w:tr w:rsidR="002D0FE1" w14:paraId="5FEE2A2C" w14:textId="77777777" w:rsidTr="009B7FCA">
        <w:tc>
          <w:tcPr>
            <w:tcW w:w="2785" w:type="dxa"/>
            <w:vAlign w:val="bottom"/>
          </w:tcPr>
          <w:p w14:paraId="1A7DCE66"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Meat &amp; Meat products</w:t>
            </w:r>
          </w:p>
        </w:tc>
        <w:tc>
          <w:tcPr>
            <w:tcW w:w="2160" w:type="dxa"/>
            <w:vAlign w:val="center"/>
          </w:tcPr>
          <w:p w14:paraId="6763D91F"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-35.84</w:t>
            </w:r>
          </w:p>
        </w:tc>
        <w:tc>
          <w:tcPr>
            <w:tcW w:w="2160" w:type="dxa"/>
            <w:vAlign w:val="center"/>
          </w:tcPr>
          <w:p w14:paraId="7C8D71B2"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-35.84</w:t>
            </w:r>
          </w:p>
        </w:tc>
        <w:tc>
          <w:tcPr>
            <w:tcW w:w="2245" w:type="dxa"/>
            <w:vAlign w:val="center"/>
          </w:tcPr>
          <w:p w14:paraId="594FA808"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-35.84</w:t>
            </w:r>
          </w:p>
        </w:tc>
      </w:tr>
      <w:tr w:rsidR="002D0FE1" w14:paraId="7F122D24" w14:textId="77777777" w:rsidTr="009B7FCA">
        <w:tc>
          <w:tcPr>
            <w:tcW w:w="2785" w:type="dxa"/>
            <w:vAlign w:val="bottom"/>
          </w:tcPr>
          <w:p w14:paraId="4ED4D012" w14:textId="77777777" w:rsidR="002D0FE1" w:rsidRPr="0019104A" w:rsidRDefault="002D0FE1" w:rsidP="009B7FCA">
            <w:pPr>
              <w:spacing w:line="480" w:lineRule="auto"/>
              <w:rPr>
                <w:rFonts w:ascii="Times New Roman" w:hAnsi="Times New Roman" w:cs="Times New Roman"/>
              </w:rPr>
            </w:pPr>
            <w:proofErr w:type="spellStart"/>
            <w:r w:rsidRPr="0019104A">
              <w:rPr>
                <w:rFonts w:ascii="Times New Roman" w:hAnsi="Times New Roman" w:cs="Times New Roman"/>
              </w:rPr>
              <w:t>Vegoil_F</w:t>
            </w:r>
            <w:proofErr w:type="spellEnd"/>
          </w:p>
        </w:tc>
        <w:tc>
          <w:tcPr>
            <w:tcW w:w="2160" w:type="dxa"/>
            <w:vAlign w:val="center"/>
          </w:tcPr>
          <w:p w14:paraId="553F2691"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-40.8</w:t>
            </w:r>
          </w:p>
        </w:tc>
        <w:tc>
          <w:tcPr>
            <w:tcW w:w="2160" w:type="dxa"/>
            <w:vAlign w:val="center"/>
          </w:tcPr>
          <w:p w14:paraId="72B77552"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-40.8</w:t>
            </w:r>
          </w:p>
        </w:tc>
        <w:tc>
          <w:tcPr>
            <w:tcW w:w="2245" w:type="dxa"/>
            <w:vAlign w:val="center"/>
          </w:tcPr>
          <w:p w14:paraId="031CB32B"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-40.8</w:t>
            </w:r>
          </w:p>
        </w:tc>
      </w:tr>
      <w:tr w:rsidR="002D0FE1" w14:paraId="0740950E" w14:textId="77777777" w:rsidTr="009B7FCA">
        <w:tc>
          <w:tcPr>
            <w:tcW w:w="2785" w:type="dxa"/>
            <w:vAlign w:val="bottom"/>
          </w:tcPr>
          <w:p w14:paraId="775ACAF1"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Dairy</w:t>
            </w:r>
          </w:p>
        </w:tc>
        <w:tc>
          <w:tcPr>
            <w:tcW w:w="2160" w:type="dxa"/>
            <w:vAlign w:val="center"/>
          </w:tcPr>
          <w:p w14:paraId="7128830C"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c>
          <w:tcPr>
            <w:tcW w:w="2160" w:type="dxa"/>
            <w:vAlign w:val="center"/>
          </w:tcPr>
          <w:p w14:paraId="3A385B2C"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c>
          <w:tcPr>
            <w:tcW w:w="2245" w:type="dxa"/>
            <w:vAlign w:val="center"/>
          </w:tcPr>
          <w:p w14:paraId="1F0E6B8C"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r>
      <w:tr w:rsidR="002D0FE1" w14:paraId="0382E0FD" w14:textId="77777777" w:rsidTr="009B7FCA">
        <w:tc>
          <w:tcPr>
            <w:tcW w:w="2785" w:type="dxa"/>
            <w:vAlign w:val="bottom"/>
          </w:tcPr>
          <w:p w14:paraId="53A30098"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Sugar</w:t>
            </w:r>
          </w:p>
        </w:tc>
        <w:tc>
          <w:tcPr>
            <w:tcW w:w="2160" w:type="dxa"/>
            <w:vAlign w:val="center"/>
          </w:tcPr>
          <w:p w14:paraId="2F5A9E23"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c>
          <w:tcPr>
            <w:tcW w:w="2160" w:type="dxa"/>
            <w:vAlign w:val="center"/>
          </w:tcPr>
          <w:p w14:paraId="4271732A"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c>
          <w:tcPr>
            <w:tcW w:w="2245" w:type="dxa"/>
            <w:vAlign w:val="center"/>
          </w:tcPr>
          <w:p w14:paraId="155BF2EB"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r>
      <w:tr w:rsidR="002D0FE1" w14:paraId="46FECBBF" w14:textId="77777777" w:rsidTr="009B7FCA">
        <w:tc>
          <w:tcPr>
            <w:tcW w:w="2785" w:type="dxa"/>
            <w:vAlign w:val="bottom"/>
          </w:tcPr>
          <w:p w14:paraId="4EFE058D" w14:textId="77777777" w:rsidR="002D0FE1" w:rsidRPr="0019104A" w:rsidRDefault="002D0FE1" w:rsidP="009B7FCA">
            <w:pPr>
              <w:spacing w:line="480" w:lineRule="auto"/>
              <w:rPr>
                <w:rFonts w:ascii="Times New Roman" w:hAnsi="Times New Roman" w:cs="Times New Roman"/>
              </w:rPr>
            </w:pPr>
            <w:proofErr w:type="spellStart"/>
            <w:r w:rsidRPr="0019104A">
              <w:rPr>
                <w:rFonts w:ascii="Times New Roman" w:hAnsi="Times New Roman" w:cs="Times New Roman"/>
              </w:rPr>
              <w:t>Beve_Tob</w:t>
            </w:r>
            <w:proofErr w:type="spellEnd"/>
          </w:p>
        </w:tc>
        <w:tc>
          <w:tcPr>
            <w:tcW w:w="2160" w:type="dxa"/>
            <w:vAlign w:val="center"/>
          </w:tcPr>
          <w:p w14:paraId="0227E28B"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c>
          <w:tcPr>
            <w:tcW w:w="2160" w:type="dxa"/>
            <w:vAlign w:val="center"/>
          </w:tcPr>
          <w:p w14:paraId="4F2AACB0"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c>
          <w:tcPr>
            <w:tcW w:w="2245" w:type="dxa"/>
            <w:vAlign w:val="center"/>
          </w:tcPr>
          <w:p w14:paraId="332FACA4"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r>
      <w:tr w:rsidR="002D0FE1" w14:paraId="1E4F221D" w14:textId="77777777" w:rsidTr="009B7FCA">
        <w:tc>
          <w:tcPr>
            <w:tcW w:w="2785" w:type="dxa"/>
            <w:vAlign w:val="bottom"/>
          </w:tcPr>
          <w:p w14:paraId="37DB32C2" w14:textId="77777777" w:rsidR="002D0FE1" w:rsidRPr="0019104A" w:rsidRDefault="002D0FE1" w:rsidP="009B7FCA">
            <w:pPr>
              <w:spacing w:line="480" w:lineRule="auto"/>
              <w:rPr>
                <w:rFonts w:ascii="Times New Roman" w:hAnsi="Times New Roman" w:cs="Times New Roman"/>
              </w:rPr>
            </w:pPr>
            <w:r w:rsidRPr="0019104A">
              <w:rPr>
                <w:rFonts w:ascii="Times New Roman" w:hAnsi="Times New Roman" w:cs="Times New Roman"/>
              </w:rPr>
              <w:t>Processed food &amp; others</w:t>
            </w:r>
          </w:p>
        </w:tc>
        <w:tc>
          <w:tcPr>
            <w:tcW w:w="2160" w:type="dxa"/>
            <w:vAlign w:val="center"/>
          </w:tcPr>
          <w:p w14:paraId="6F37042E"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c>
          <w:tcPr>
            <w:tcW w:w="2160" w:type="dxa"/>
            <w:vAlign w:val="center"/>
          </w:tcPr>
          <w:p w14:paraId="2CA85265"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c>
          <w:tcPr>
            <w:tcW w:w="2245" w:type="dxa"/>
            <w:vAlign w:val="center"/>
          </w:tcPr>
          <w:p w14:paraId="506DC5EE" w14:textId="77777777" w:rsidR="002D0FE1" w:rsidRPr="00053ED3" w:rsidRDefault="002D0FE1" w:rsidP="009B7FCA">
            <w:pPr>
              <w:spacing w:line="480" w:lineRule="auto"/>
              <w:rPr>
                <w:rFonts w:ascii="Times New Roman" w:hAnsi="Times New Roman" w:cs="Times New Roman"/>
              </w:rPr>
            </w:pPr>
            <w:r w:rsidRPr="00053ED3">
              <w:rPr>
                <w:rFonts w:ascii="Times New Roman" w:hAnsi="Times New Roman" w:cs="Times New Roman"/>
                <w:color w:val="000000"/>
              </w:rPr>
              <w:t>-35.9</w:t>
            </w:r>
          </w:p>
        </w:tc>
      </w:tr>
    </w:tbl>
    <w:p w14:paraId="0D84FED7" w14:textId="3816E044" w:rsidR="00C94105" w:rsidRPr="00C94105" w:rsidRDefault="00C94105" w:rsidP="00293E36">
      <w:pPr>
        <w:pStyle w:val="Heading1"/>
        <w:numPr>
          <w:ilvl w:val="0"/>
          <w:numId w:val="8"/>
        </w:numPr>
        <w:spacing w:line="480" w:lineRule="auto"/>
        <w:rPr>
          <w:rFonts w:ascii="Times New Roman" w:hAnsi="Times New Roman" w:cs="Times New Roman"/>
          <w:b/>
          <w:bCs/>
          <w:color w:val="auto"/>
          <w:sz w:val="24"/>
          <w:szCs w:val="24"/>
        </w:rPr>
      </w:pPr>
      <w:bookmarkStart w:id="5" w:name="_Toc237678754"/>
      <w:r w:rsidRPr="00C94105">
        <w:rPr>
          <w:rFonts w:ascii="Times New Roman" w:hAnsi="Times New Roman" w:cs="Times New Roman"/>
          <w:b/>
          <w:bCs/>
          <w:color w:val="auto"/>
          <w:sz w:val="24"/>
          <w:szCs w:val="24"/>
        </w:rPr>
        <w:t>Bayesian Estimation of the Generalized Bass Model</w:t>
      </w:r>
      <w:bookmarkEnd w:id="5"/>
    </w:p>
    <w:p w14:paraId="42313FAB" w14:textId="563907D7" w:rsidR="00C94105" w:rsidRPr="00C94105" w:rsidRDefault="00C94105" w:rsidP="00C94105">
      <w:pPr>
        <w:spacing w:line="480" w:lineRule="auto"/>
        <w:rPr>
          <w:rFonts w:ascii="Times New Roman" w:hAnsi="Times New Roman" w:cs="Times New Roman"/>
        </w:rPr>
      </w:pPr>
      <w:proofErr w:type="gramStart"/>
      <w:r w:rsidRPr="00C94105">
        <w:rPr>
          <w:rFonts w:ascii="Times New Roman" w:hAnsi="Times New Roman" w:cs="Times New Roman"/>
        </w:rPr>
        <w:t xml:space="preserve">This </w:t>
      </w:r>
      <w:r w:rsidR="00F456AA">
        <w:rPr>
          <w:rFonts w:ascii="Times New Roman" w:hAnsi="Times New Roman" w:cs="Times New Roman"/>
        </w:rPr>
        <w:t>supplementary materials</w:t>
      </w:r>
      <w:proofErr w:type="gramEnd"/>
      <w:r w:rsidRPr="00C94105">
        <w:rPr>
          <w:rFonts w:ascii="Times New Roman" w:hAnsi="Times New Roman" w:cs="Times New Roman"/>
        </w:rPr>
        <w:t xml:space="preserve"> </w:t>
      </w:r>
      <w:proofErr w:type="gramStart"/>
      <w:r w:rsidRPr="00C94105">
        <w:rPr>
          <w:rFonts w:ascii="Times New Roman" w:hAnsi="Times New Roman" w:cs="Times New Roman"/>
        </w:rPr>
        <w:t>supports</w:t>
      </w:r>
      <w:proofErr w:type="gramEnd"/>
      <w:r w:rsidRPr="00C94105">
        <w:rPr>
          <w:rFonts w:ascii="Times New Roman" w:hAnsi="Times New Roman" w:cs="Times New Roman"/>
        </w:rPr>
        <w:t xml:space="preserve"> the Methods section. Section </w:t>
      </w:r>
      <w:r w:rsidR="000622F1">
        <w:rPr>
          <w:rFonts w:ascii="Times New Roman" w:hAnsi="Times New Roman" w:cs="Times New Roman"/>
        </w:rPr>
        <w:t>6</w:t>
      </w:r>
      <w:r w:rsidRPr="00C94105">
        <w:rPr>
          <w:rFonts w:ascii="Times New Roman" w:hAnsi="Times New Roman" w:cs="Times New Roman"/>
        </w:rPr>
        <w:t xml:space="preserve">.1 presents the standard Bass diffusion model and derives its closed-form solution. Section </w:t>
      </w:r>
      <w:r w:rsidR="000622F1">
        <w:rPr>
          <w:rFonts w:ascii="Times New Roman" w:hAnsi="Times New Roman" w:cs="Times New Roman"/>
        </w:rPr>
        <w:t>6</w:t>
      </w:r>
      <w:r w:rsidRPr="00C94105">
        <w:rPr>
          <w:rFonts w:ascii="Times New Roman" w:hAnsi="Times New Roman" w:cs="Times New Roman"/>
        </w:rPr>
        <w:t xml:space="preserve">.2 extends the derivation to the generalized Bass model (GBM) with market effort and obtains the cumulative adoption function of Equation (3) of the main text. Section </w:t>
      </w:r>
      <w:r w:rsidR="000622F1">
        <w:rPr>
          <w:rFonts w:ascii="Times New Roman" w:hAnsi="Times New Roman" w:cs="Times New Roman"/>
        </w:rPr>
        <w:t>6</w:t>
      </w:r>
      <w:r w:rsidRPr="00C94105">
        <w:rPr>
          <w:rFonts w:ascii="Times New Roman" w:hAnsi="Times New Roman" w:cs="Times New Roman"/>
        </w:rPr>
        <w:t xml:space="preserve">.3 describes how the market potential </w:t>
      </w:r>
      <w:r w:rsidRPr="00C94105">
        <w:rPr>
          <w:rFonts w:ascii="Times New Roman" w:hAnsi="Times New Roman" w:cs="Times New Roman"/>
          <w:i/>
          <w:iCs/>
        </w:rPr>
        <w:t>m</w:t>
      </w:r>
      <w:r w:rsidRPr="0004342E">
        <w:rPr>
          <w:rFonts w:ascii="Times New Roman" w:hAnsi="Times New Roman" w:cs="Times New Roman"/>
          <w:i/>
          <w:iCs/>
          <w:vertAlign w:val="subscript"/>
        </w:rPr>
        <w:t>t</w:t>
      </w:r>
      <w:r w:rsidRPr="00C94105">
        <w:rPr>
          <w:rFonts w:ascii="Times New Roman" w:hAnsi="Times New Roman" w:cs="Times New Roman"/>
        </w:rPr>
        <w:t xml:space="preserve"> and the market-effort variables (Affordability and Awareness) are constructed from regulatory, insurance, and market information. Sections </w:t>
      </w:r>
      <w:r w:rsidR="000622F1">
        <w:rPr>
          <w:rFonts w:ascii="Times New Roman" w:hAnsi="Times New Roman" w:cs="Times New Roman"/>
        </w:rPr>
        <w:t>6</w:t>
      </w:r>
      <w:r w:rsidRPr="00C94105">
        <w:rPr>
          <w:rFonts w:ascii="Times New Roman" w:hAnsi="Times New Roman" w:cs="Times New Roman"/>
        </w:rPr>
        <w:t>.4–</w:t>
      </w:r>
      <w:r w:rsidR="000622F1">
        <w:rPr>
          <w:rFonts w:ascii="Times New Roman" w:hAnsi="Times New Roman" w:cs="Times New Roman"/>
        </w:rPr>
        <w:t>6</w:t>
      </w:r>
      <w:r w:rsidRPr="00C94105">
        <w:rPr>
          <w:rFonts w:ascii="Times New Roman" w:hAnsi="Times New Roman" w:cs="Times New Roman"/>
        </w:rPr>
        <w:t xml:space="preserve">.6 detail the likelihood, priors, posterior, the Markov chain Monte Carlo (MCMC) estimation algorithm, and convergence diagnostics. Section </w:t>
      </w:r>
      <w:r w:rsidR="000622F1">
        <w:rPr>
          <w:rFonts w:ascii="Times New Roman" w:hAnsi="Times New Roman" w:cs="Times New Roman"/>
        </w:rPr>
        <w:t>6</w:t>
      </w:r>
      <w:r w:rsidRPr="00C94105">
        <w:rPr>
          <w:rFonts w:ascii="Times New Roman" w:hAnsi="Times New Roman" w:cs="Times New Roman"/>
        </w:rPr>
        <w:t>.7</w:t>
      </w:r>
      <w:r w:rsidR="00D91E45">
        <w:rPr>
          <w:rFonts w:ascii="Times New Roman" w:hAnsi="Times New Roman" w:cs="Times New Roman"/>
        </w:rPr>
        <w:t xml:space="preserve"> and </w:t>
      </w:r>
      <w:r w:rsidR="000622F1">
        <w:rPr>
          <w:rFonts w:ascii="Times New Roman" w:hAnsi="Times New Roman" w:cs="Times New Roman"/>
        </w:rPr>
        <w:t>6</w:t>
      </w:r>
      <w:r w:rsidR="00D91E45">
        <w:rPr>
          <w:rFonts w:ascii="Times New Roman" w:hAnsi="Times New Roman" w:cs="Times New Roman"/>
        </w:rPr>
        <w:t>.8</w:t>
      </w:r>
      <w:r w:rsidRPr="00C94105">
        <w:rPr>
          <w:rFonts w:ascii="Times New Roman" w:hAnsi="Times New Roman" w:cs="Times New Roman"/>
        </w:rPr>
        <w:t xml:space="preserve"> describes posterior predictive forecasting, scenario analysis, and the propagation of parameter uncertainty into the active-adoption module of Equations (12)</w:t>
      </w:r>
      <w:proofErr w:type="gramStart"/>
      <w:r w:rsidRPr="00C94105">
        <w:rPr>
          <w:rFonts w:ascii="Times New Roman" w:hAnsi="Times New Roman" w:cs="Times New Roman"/>
        </w:rPr>
        <w:t>–(</w:t>
      </w:r>
      <w:proofErr w:type="gramEnd"/>
      <w:r w:rsidRPr="00C94105">
        <w:rPr>
          <w:rFonts w:ascii="Times New Roman" w:hAnsi="Times New Roman" w:cs="Times New Roman"/>
        </w:rPr>
        <w:t xml:space="preserve">16). </w:t>
      </w:r>
      <w:r>
        <w:rPr>
          <w:rFonts w:ascii="Times New Roman" w:hAnsi="Times New Roman" w:cs="Times New Roman"/>
        </w:rPr>
        <w:t xml:space="preserve">Section </w:t>
      </w:r>
      <w:r w:rsidR="000622F1">
        <w:rPr>
          <w:rFonts w:ascii="Times New Roman" w:hAnsi="Times New Roman" w:cs="Times New Roman"/>
        </w:rPr>
        <w:t>6</w:t>
      </w:r>
      <w:r w:rsidR="00D91E45">
        <w:rPr>
          <w:rFonts w:ascii="Times New Roman" w:hAnsi="Times New Roman" w:cs="Times New Roman"/>
        </w:rPr>
        <w:t>.9</w:t>
      </w:r>
      <w:r w:rsidRPr="00C94105">
        <w:rPr>
          <w:rFonts w:ascii="Times New Roman" w:hAnsi="Times New Roman" w:cs="Times New Roman"/>
        </w:rPr>
        <w:t xml:space="preserve"> calibrates the reinitiation component of that module.</w:t>
      </w:r>
    </w:p>
    <w:p w14:paraId="76645A7C" w14:textId="73659694" w:rsidR="00C94105" w:rsidRPr="00C94105" w:rsidRDefault="00C94105" w:rsidP="00293E36">
      <w:pPr>
        <w:pStyle w:val="Heading1"/>
        <w:numPr>
          <w:ilvl w:val="1"/>
          <w:numId w:val="8"/>
        </w:numPr>
        <w:spacing w:line="480" w:lineRule="auto"/>
        <w:rPr>
          <w:rFonts w:ascii="Times New Roman" w:hAnsi="Times New Roman" w:cs="Times New Roman"/>
          <w:b/>
          <w:bCs/>
          <w:color w:val="auto"/>
          <w:sz w:val="24"/>
          <w:szCs w:val="24"/>
        </w:rPr>
      </w:pPr>
      <w:bookmarkStart w:id="6" w:name="_Toc237678755"/>
      <w:r w:rsidRPr="00C94105">
        <w:rPr>
          <w:rFonts w:ascii="Times New Roman" w:hAnsi="Times New Roman" w:cs="Times New Roman"/>
          <w:b/>
          <w:bCs/>
          <w:color w:val="auto"/>
          <w:sz w:val="24"/>
          <w:szCs w:val="24"/>
        </w:rPr>
        <w:t xml:space="preserve">The </w:t>
      </w:r>
      <w:r w:rsidR="003B6159">
        <w:rPr>
          <w:rFonts w:ascii="Times New Roman" w:hAnsi="Times New Roman" w:cs="Times New Roman"/>
          <w:b/>
          <w:bCs/>
          <w:color w:val="auto"/>
          <w:sz w:val="24"/>
          <w:szCs w:val="24"/>
        </w:rPr>
        <w:t>S</w:t>
      </w:r>
      <w:r w:rsidRPr="00C94105">
        <w:rPr>
          <w:rFonts w:ascii="Times New Roman" w:hAnsi="Times New Roman" w:cs="Times New Roman"/>
          <w:b/>
          <w:bCs/>
          <w:color w:val="auto"/>
          <w:sz w:val="24"/>
          <w:szCs w:val="24"/>
        </w:rPr>
        <w:t xml:space="preserve">tandard Bass </w:t>
      </w:r>
      <w:r w:rsidR="003B6159">
        <w:rPr>
          <w:rFonts w:ascii="Times New Roman" w:hAnsi="Times New Roman" w:cs="Times New Roman"/>
          <w:b/>
          <w:bCs/>
          <w:color w:val="auto"/>
          <w:sz w:val="24"/>
          <w:szCs w:val="24"/>
        </w:rPr>
        <w:t>M</w:t>
      </w:r>
      <w:r w:rsidRPr="00C94105">
        <w:rPr>
          <w:rFonts w:ascii="Times New Roman" w:hAnsi="Times New Roman" w:cs="Times New Roman"/>
          <w:b/>
          <w:bCs/>
          <w:color w:val="auto"/>
          <w:sz w:val="24"/>
          <w:szCs w:val="24"/>
        </w:rPr>
        <w:t xml:space="preserve">odel and </w:t>
      </w:r>
      <w:r w:rsidR="003B6159">
        <w:rPr>
          <w:rFonts w:ascii="Times New Roman" w:hAnsi="Times New Roman" w:cs="Times New Roman"/>
          <w:b/>
          <w:bCs/>
          <w:color w:val="auto"/>
          <w:sz w:val="24"/>
          <w:szCs w:val="24"/>
        </w:rPr>
        <w:t>I</w:t>
      </w:r>
      <w:r w:rsidRPr="00C94105">
        <w:rPr>
          <w:rFonts w:ascii="Times New Roman" w:hAnsi="Times New Roman" w:cs="Times New Roman"/>
          <w:b/>
          <w:bCs/>
          <w:color w:val="auto"/>
          <w:sz w:val="24"/>
          <w:szCs w:val="24"/>
        </w:rPr>
        <w:t xml:space="preserve">ts </w:t>
      </w:r>
      <w:r w:rsidR="003B6159">
        <w:rPr>
          <w:rFonts w:ascii="Times New Roman" w:hAnsi="Times New Roman" w:cs="Times New Roman"/>
          <w:b/>
          <w:bCs/>
          <w:color w:val="auto"/>
          <w:sz w:val="24"/>
          <w:szCs w:val="24"/>
        </w:rPr>
        <w:t>C</w:t>
      </w:r>
      <w:r w:rsidRPr="00C94105">
        <w:rPr>
          <w:rFonts w:ascii="Times New Roman" w:hAnsi="Times New Roman" w:cs="Times New Roman"/>
          <w:b/>
          <w:bCs/>
          <w:color w:val="auto"/>
          <w:sz w:val="24"/>
          <w:szCs w:val="24"/>
        </w:rPr>
        <w:t xml:space="preserve">losed-form </w:t>
      </w:r>
      <w:r w:rsidR="003B6159">
        <w:rPr>
          <w:rFonts w:ascii="Times New Roman" w:hAnsi="Times New Roman" w:cs="Times New Roman"/>
          <w:b/>
          <w:bCs/>
          <w:color w:val="auto"/>
          <w:sz w:val="24"/>
          <w:szCs w:val="24"/>
        </w:rPr>
        <w:t>S</w:t>
      </w:r>
      <w:r w:rsidRPr="00C94105">
        <w:rPr>
          <w:rFonts w:ascii="Times New Roman" w:hAnsi="Times New Roman" w:cs="Times New Roman"/>
          <w:b/>
          <w:bCs/>
          <w:color w:val="auto"/>
          <w:sz w:val="24"/>
          <w:szCs w:val="24"/>
        </w:rPr>
        <w:t>olution</w:t>
      </w:r>
      <w:bookmarkEnd w:id="6"/>
    </w:p>
    <w:p w14:paraId="02F03F50" w14:textId="16FD267C"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The standard Bass diffusion model states that the probability that an initial purchase is made at time </w:t>
      </w:r>
      <m:oMath>
        <m:r>
          <w:rPr>
            <w:rFonts w:ascii="Cambria Math" w:hAnsi="Cambria Math" w:cs="Times New Roman"/>
          </w:rPr>
          <m:t>t</m:t>
        </m:r>
      </m:oMath>
      <w:r w:rsidRPr="00C94105">
        <w:rPr>
          <w:rFonts w:ascii="Times New Roman" w:hAnsi="Times New Roman" w:cs="Times New Roman"/>
        </w:rPr>
        <w:t>, given that no purchase has yet been made, is a linear function of the number of previous adopters:</w:t>
      </w:r>
    </w:p>
    <w:p w14:paraId="55B981B4" w14:textId="538E67B7"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r>
          <w:rPr>
            <w:rFonts w:ascii="Cambria Math" w:hAnsi="Cambria Math" w:cs="Times New Roman"/>
          </w:rPr>
          <m:t xml:space="preserve">P(t) = </m:t>
        </m:r>
        <m:f>
          <m:fPr>
            <m:ctrlPr>
              <w:rPr>
                <w:rFonts w:ascii="Cambria Math" w:hAnsi="Cambria Math" w:cs="Times New Roman"/>
              </w:rPr>
            </m:ctrlPr>
          </m:fPr>
          <m:num>
            <m:r>
              <w:rPr>
                <w:rFonts w:ascii="Cambria Math" w:hAnsi="Cambria Math" w:cs="Times New Roman"/>
              </w:rPr>
              <m:t>f(t)</m:t>
            </m:r>
          </m:num>
          <m:den>
            <m:r>
              <w:rPr>
                <w:rFonts w:ascii="Cambria Math" w:hAnsi="Cambria Math" w:cs="Times New Roman"/>
              </w:rPr>
              <m:t>1-F(t)</m:t>
            </m:r>
          </m:den>
        </m:f>
        <m:r>
          <w:rPr>
            <w:rFonts w:ascii="Cambria Math" w:hAnsi="Cambria Math" w:cs="Times New Roman"/>
          </w:rPr>
          <m:t xml:space="preserve"> = p + </m:t>
        </m:r>
        <m:f>
          <m:fPr>
            <m:ctrlPr>
              <w:rPr>
                <w:rFonts w:ascii="Cambria Math" w:hAnsi="Cambria Math" w:cs="Times New Roman"/>
              </w:rPr>
            </m:ctrlPr>
          </m:fPr>
          <m:num>
            <m:r>
              <w:rPr>
                <w:rFonts w:ascii="Cambria Math" w:hAnsi="Cambria Math" w:cs="Times New Roman"/>
              </w:rPr>
              <m:t>q</m:t>
            </m:r>
          </m:num>
          <m:den>
            <m:r>
              <w:rPr>
                <w:rFonts w:ascii="Cambria Math" w:hAnsi="Cambria Math" w:cs="Times New Roman"/>
              </w:rPr>
              <m:t>m</m:t>
            </m:r>
          </m:den>
        </m:f>
        <m:r>
          <w:rPr>
            <w:rFonts w:ascii="Cambria Math" w:hAnsi="Cambria Math" w:cs="Times New Roman"/>
          </w:rPr>
          <m:t>Y(t)</m:t>
        </m:r>
      </m:oMath>
      <w:r w:rsidRPr="00C94105">
        <w:rPr>
          <w:rFonts w:ascii="Times New Roman" w:hAnsi="Times New Roman" w:cs="Times New Roman"/>
        </w:rPr>
        <w:tab/>
        <w:t>(1)</w:t>
      </w:r>
    </w:p>
    <w:p w14:paraId="48B1C596" w14:textId="60CCE415"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where </w:t>
      </w:r>
      <m:oMath>
        <m:r>
          <w:rPr>
            <w:rFonts w:ascii="Cambria Math" w:hAnsi="Cambria Math" w:cs="Times New Roman"/>
          </w:rPr>
          <m:t>p</m:t>
        </m:r>
      </m:oMath>
      <w:r w:rsidRPr="00C94105">
        <w:rPr>
          <w:rFonts w:ascii="Times New Roman" w:hAnsi="Times New Roman" w:cs="Times New Roman"/>
        </w:rPr>
        <w:t xml:space="preserve"> is the innovation coefficient, </w:t>
      </w:r>
      <m:oMath>
        <m:r>
          <w:rPr>
            <w:rFonts w:ascii="Cambria Math" w:hAnsi="Cambria Math" w:cs="Times New Roman"/>
          </w:rPr>
          <m:t>q</m:t>
        </m:r>
      </m:oMath>
      <w:r w:rsidRPr="00C94105">
        <w:rPr>
          <w:rFonts w:ascii="Times New Roman" w:hAnsi="Times New Roman" w:cs="Times New Roman"/>
        </w:rPr>
        <w:t xml:space="preserve"> is the imitation coefficient, and </w:t>
      </w:r>
      <m:oMath>
        <m:r>
          <w:rPr>
            <w:rFonts w:ascii="Cambria Math" w:hAnsi="Cambria Math" w:cs="Times New Roman"/>
          </w:rPr>
          <m:t>m</m:t>
        </m:r>
      </m:oMath>
      <w:r w:rsidRPr="00C94105">
        <w:rPr>
          <w:rFonts w:ascii="Times New Roman" w:hAnsi="Times New Roman" w:cs="Times New Roman"/>
        </w:rPr>
        <w:t xml:space="preserve"> is the market potential. </w:t>
      </w:r>
      <m:oMath>
        <m:r>
          <w:rPr>
            <w:rFonts w:ascii="Cambria Math" w:hAnsi="Cambria Math" w:cs="Times New Roman"/>
          </w:rPr>
          <m:t>F(t)</m:t>
        </m:r>
      </m:oMath>
      <w:r w:rsidR="00E95C02" w:rsidRPr="00C94105">
        <w:rPr>
          <w:rFonts w:ascii="Times New Roman" w:hAnsi="Times New Roman" w:cs="Times New Roman"/>
        </w:rPr>
        <w:t xml:space="preserve"> </w:t>
      </w:r>
      <w:r w:rsidRPr="00C94105">
        <w:rPr>
          <w:rFonts w:ascii="Times New Roman" w:hAnsi="Times New Roman" w:cs="Times New Roman"/>
        </w:rPr>
        <w:t xml:space="preserve">denotes the cumulative proportion of adopters by time </w:t>
      </w:r>
      <m:oMath>
        <m:r>
          <w:rPr>
            <w:rFonts w:ascii="Cambria Math" w:hAnsi="Cambria Math" w:cs="Times New Roman"/>
          </w:rPr>
          <m:t>t</m:t>
        </m:r>
      </m:oMath>
      <w:r w:rsidRPr="00C94105">
        <w:rPr>
          <w:rFonts w:ascii="Times New Roman" w:hAnsi="Times New Roman" w:cs="Times New Roman"/>
        </w:rPr>
        <w:t xml:space="preserve"> (so that </w:t>
      </w:r>
      <m:oMath>
        <m:r>
          <w:rPr>
            <w:rFonts w:ascii="Cambria Math" w:hAnsi="Cambria Math" w:cs="Times New Roman"/>
          </w:rPr>
          <m:t>1-F(t)</m:t>
        </m:r>
      </m:oMath>
      <w:r w:rsidR="00E95C02" w:rsidRPr="00C94105">
        <w:rPr>
          <w:rFonts w:ascii="Times New Roman" w:hAnsi="Times New Roman" w:cs="Times New Roman"/>
        </w:rPr>
        <w:t xml:space="preserve"> </w:t>
      </w:r>
      <w:r w:rsidRPr="00C94105">
        <w:rPr>
          <w:rFonts w:ascii="Times New Roman" w:hAnsi="Times New Roman" w:cs="Times New Roman"/>
        </w:rPr>
        <w:t xml:space="preserve">is the probability that a purchase has not yet been made), </w:t>
      </w:r>
      <m:oMath>
        <m:r>
          <w:rPr>
            <w:rFonts w:ascii="Cambria Math" w:hAnsi="Cambria Math" w:cs="Times New Roman"/>
          </w:rPr>
          <m:t>F(t)</m:t>
        </m:r>
      </m:oMath>
      <w:r w:rsidR="00E95C02" w:rsidRPr="00C94105">
        <w:rPr>
          <w:rFonts w:ascii="Times New Roman" w:hAnsi="Times New Roman" w:cs="Times New Roman"/>
        </w:rPr>
        <w:t xml:space="preserve"> </w:t>
      </w:r>
      <w:r w:rsidRPr="00C94105">
        <w:rPr>
          <w:rFonts w:ascii="Times New Roman" w:hAnsi="Times New Roman" w:cs="Times New Roman"/>
        </w:rPr>
        <w:t xml:space="preserve">is the corresponding adoption density, and </w:t>
      </w:r>
      <m:oMath>
        <m:r>
          <w:rPr>
            <w:rFonts w:ascii="Cambria Math" w:hAnsi="Cambria Math" w:cs="Times New Roman"/>
          </w:rPr>
          <m:t>Y(t)</m:t>
        </m:r>
      </m:oMath>
      <w:r w:rsidR="00E95C02" w:rsidRPr="00C94105">
        <w:rPr>
          <w:rFonts w:ascii="Times New Roman" w:hAnsi="Times New Roman" w:cs="Times New Roman"/>
        </w:rPr>
        <w:t xml:space="preserve"> </w:t>
      </w:r>
      <w:r w:rsidRPr="00C94105">
        <w:rPr>
          <w:rFonts w:ascii="Times New Roman" w:hAnsi="Times New Roman" w:cs="Times New Roman"/>
        </w:rPr>
        <w:t xml:space="preserve">is the cumulative number of previous adopters, </w:t>
      </w:r>
      <m:oMath>
        <m:r>
          <w:rPr>
            <w:rFonts w:ascii="Cambria Math" w:hAnsi="Cambria Math" w:cs="Times New Roman"/>
          </w:rPr>
          <m:t>Y(t)</m:t>
        </m:r>
        <m:r>
          <m:rPr>
            <m:sty m:val="p"/>
          </m:rPr>
          <w:rPr>
            <w:rFonts w:ascii="Cambria Math" w:hAnsi="Cambria Math" w:cs="Times New Roman"/>
          </w:rPr>
          <m:t>=mF(t)</m:t>
        </m:r>
      </m:oMath>
      <w:r w:rsidR="00E95C02">
        <w:rPr>
          <w:rFonts w:ascii="Times New Roman" w:hAnsi="Times New Roman" w:cs="Times New Roman"/>
        </w:rPr>
        <w:t>.</w:t>
      </w:r>
    </w:p>
    <w:p w14:paraId="66F5EB40" w14:textId="3FB20AF2"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Since </w:t>
      </w:r>
      <m:oMath>
        <m:r>
          <w:rPr>
            <w:rFonts w:ascii="Cambria Math" w:hAnsi="Cambria Math" w:cs="Times New Roman"/>
          </w:rPr>
          <m:t>f</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=dF(t)/dt</m:t>
        </m:r>
      </m:oMath>
      <w:r w:rsidRPr="00C94105">
        <w:rPr>
          <w:rFonts w:ascii="Times New Roman" w:hAnsi="Times New Roman" w:cs="Times New Roman"/>
        </w:rPr>
        <w:t>, Equation (A.1) is transformed into</w:t>
      </w:r>
    </w:p>
    <w:p w14:paraId="034ED557" w14:textId="211B6E1D"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f>
          <m:fPr>
            <m:ctrlPr>
              <w:rPr>
                <w:rFonts w:ascii="Cambria Math" w:hAnsi="Cambria Math" w:cs="Times New Roman"/>
              </w:rPr>
            </m:ctrlPr>
          </m:fPr>
          <m:num>
            <m:f>
              <m:fPr>
                <m:ctrlPr>
                  <w:rPr>
                    <w:rFonts w:ascii="Cambria Math" w:hAnsi="Cambria Math" w:cs="Times New Roman"/>
                  </w:rPr>
                </m:ctrlPr>
              </m:fPr>
              <m:num>
                <m:r>
                  <w:rPr>
                    <w:rFonts w:ascii="Cambria Math" w:hAnsi="Cambria Math" w:cs="Times New Roman"/>
                  </w:rPr>
                  <m:t>dF(t)</m:t>
                </m:r>
              </m:num>
              <m:den>
                <m:r>
                  <w:rPr>
                    <w:rFonts w:ascii="Cambria Math" w:hAnsi="Cambria Math" w:cs="Times New Roman"/>
                  </w:rPr>
                  <m:t>dt</m:t>
                </m:r>
              </m:den>
            </m:f>
          </m:num>
          <m:den>
            <m:r>
              <w:rPr>
                <w:rFonts w:ascii="Cambria Math" w:hAnsi="Cambria Math" w:cs="Times New Roman"/>
              </w:rPr>
              <m:t>1-F(t)</m:t>
            </m:r>
          </m:den>
        </m:f>
        <m:r>
          <w:rPr>
            <w:rFonts w:ascii="Cambria Math" w:hAnsi="Cambria Math" w:cs="Times New Roman"/>
          </w:rPr>
          <m:t xml:space="preserve"> = p + qF(t)</m:t>
        </m:r>
      </m:oMath>
      <w:r w:rsidRPr="00C94105">
        <w:rPr>
          <w:rFonts w:ascii="Times New Roman" w:hAnsi="Times New Roman" w:cs="Times New Roman"/>
        </w:rPr>
        <w:tab/>
        <w:t>(2)</w:t>
      </w:r>
    </w:p>
    <w:p w14:paraId="025B0AFB" w14:textId="696373B0"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Multiplying both sides by </w:t>
      </w:r>
      <m:oMath>
        <m:r>
          <w:rPr>
            <w:rFonts w:ascii="Cambria Math" w:hAnsi="Cambria Math" w:cs="Times New Roman"/>
          </w:rPr>
          <m:t>1-F</m:t>
        </m:r>
      </m:oMath>
      <w:r w:rsidR="00866A1C">
        <w:rPr>
          <w:rFonts w:ascii="Times New Roman" w:eastAsiaTheme="minorEastAsia" w:hAnsi="Times New Roman" w:cs="Times New Roman"/>
        </w:rPr>
        <w:t xml:space="preserve"> </w:t>
      </w:r>
      <w:r w:rsidRPr="00C94105">
        <w:rPr>
          <w:rFonts w:ascii="Times New Roman" w:hAnsi="Times New Roman" w:cs="Times New Roman"/>
        </w:rPr>
        <w:t>and expanding the right-hand side gives</w:t>
      </w:r>
    </w:p>
    <w:p w14:paraId="79C0DE47" w14:textId="083F9BB4"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f>
          <m:fPr>
            <m:ctrlPr>
              <w:rPr>
                <w:rFonts w:ascii="Cambria Math" w:hAnsi="Cambria Math" w:cs="Times New Roman"/>
              </w:rPr>
            </m:ctrlPr>
          </m:fPr>
          <m:num>
            <m:r>
              <w:rPr>
                <w:rFonts w:ascii="Cambria Math" w:hAnsi="Cambria Math" w:cs="Times New Roman"/>
              </w:rPr>
              <m:t>dF</m:t>
            </m:r>
          </m:num>
          <m:den>
            <m:r>
              <w:rPr>
                <w:rFonts w:ascii="Cambria Math" w:hAnsi="Cambria Math" w:cs="Times New Roman"/>
              </w:rPr>
              <m:t>dt</m:t>
            </m:r>
          </m:den>
        </m:f>
        <m:r>
          <w:rPr>
            <w:rFonts w:ascii="Cambria Math" w:hAnsi="Cambria Math" w:cs="Times New Roman"/>
          </w:rPr>
          <m:t xml:space="preserve"> = (1-F)(p+qF) = p + (q-p)F - q</m:t>
        </m:r>
        <m:sSup>
          <m:sSupPr>
            <m:ctrlPr>
              <w:rPr>
                <w:rFonts w:ascii="Cambria Math" w:hAnsi="Cambria Math" w:cs="Times New Roman"/>
              </w:rPr>
            </m:ctrlPr>
          </m:sSupPr>
          <m:e>
            <m:r>
              <w:rPr>
                <w:rFonts w:ascii="Cambria Math" w:hAnsi="Cambria Math" w:cs="Times New Roman"/>
              </w:rPr>
              <m:t>F</m:t>
            </m:r>
          </m:e>
          <m:sup>
            <m:r>
              <w:rPr>
                <w:rFonts w:ascii="Cambria Math" w:hAnsi="Cambria Math" w:cs="Times New Roman"/>
              </w:rPr>
              <m:t>2</m:t>
            </m:r>
          </m:sup>
        </m:sSup>
      </m:oMath>
      <w:r w:rsidRPr="00C94105">
        <w:rPr>
          <w:rFonts w:ascii="Times New Roman" w:hAnsi="Times New Roman" w:cs="Times New Roman"/>
        </w:rPr>
        <w:tab/>
        <w:t>(3)</w:t>
      </w:r>
    </w:p>
    <w:p w14:paraId="771C493D" w14:textId="77777777"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Separating variables and using the partial-fraction decomposition</w:t>
      </w:r>
    </w:p>
    <w:p w14:paraId="1332A0AD" w14:textId="7A533695"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(1-F)(p+qF)</m:t>
            </m:r>
          </m:den>
        </m:f>
        <m:r>
          <w:rPr>
            <w:rFonts w:ascii="Cambria Math" w:hAnsi="Cambria Math" w:cs="Times New Roman"/>
          </w:rPr>
          <m:t xml:space="preserve"> = </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p+q</m:t>
            </m:r>
          </m:den>
        </m:f>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1-F</m:t>
            </m:r>
          </m:den>
        </m:f>
        <m:r>
          <w:rPr>
            <w:rFonts w:ascii="Cambria Math" w:hAnsi="Cambria Math" w:cs="Times New Roman"/>
          </w:rPr>
          <m:t xml:space="preserve"> + </m:t>
        </m:r>
        <m:f>
          <m:fPr>
            <m:ctrlPr>
              <w:rPr>
                <w:rFonts w:ascii="Cambria Math" w:hAnsi="Cambria Math" w:cs="Times New Roman"/>
              </w:rPr>
            </m:ctrlPr>
          </m:fPr>
          <m:num>
            <m:r>
              <w:rPr>
                <w:rFonts w:ascii="Cambria Math" w:hAnsi="Cambria Math" w:cs="Times New Roman"/>
              </w:rPr>
              <m:t>q</m:t>
            </m:r>
          </m:num>
          <m:den>
            <m:r>
              <w:rPr>
                <w:rFonts w:ascii="Cambria Math" w:hAnsi="Cambria Math" w:cs="Times New Roman"/>
              </w:rPr>
              <m:t>p+q</m:t>
            </m:r>
          </m:den>
        </m:f>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p+qF</m:t>
            </m:r>
          </m:den>
        </m:f>
      </m:oMath>
      <w:r w:rsidRPr="00C94105">
        <w:rPr>
          <w:rFonts w:ascii="Times New Roman" w:hAnsi="Times New Roman" w:cs="Times New Roman"/>
        </w:rPr>
        <w:tab/>
        <w:t>(4)</w:t>
      </w:r>
    </w:p>
    <w:p w14:paraId="184AB589" w14:textId="6369C438"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and integrating from 0 to </w:t>
      </w:r>
      <m:oMath>
        <m:r>
          <w:rPr>
            <w:rFonts w:ascii="Cambria Math" w:hAnsi="Cambria Math" w:cs="Times New Roman"/>
          </w:rPr>
          <m:t>t</m:t>
        </m:r>
      </m:oMath>
      <w:r w:rsidRPr="00C94105">
        <w:rPr>
          <w:rFonts w:ascii="Times New Roman" w:hAnsi="Times New Roman" w:cs="Times New Roman"/>
        </w:rPr>
        <w:t xml:space="preserve"> with the initial condition </w:t>
      </w:r>
      <m:oMath>
        <m:r>
          <w:rPr>
            <w:rFonts w:ascii="Cambria Math" w:hAnsi="Cambria Math" w:cs="Times New Roman"/>
          </w:rPr>
          <m:t>F</m:t>
        </m:r>
        <m:d>
          <m:dPr>
            <m:ctrlPr>
              <w:rPr>
                <w:rFonts w:ascii="Cambria Math" w:hAnsi="Cambria Math" w:cs="Times New Roman"/>
                <w:i/>
              </w:rPr>
            </m:ctrlPr>
          </m:dPr>
          <m:e>
            <m:r>
              <w:rPr>
                <w:rFonts w:ascii="Cambria Math" w:hAnsi="Cambria Math" w:cs="Times New Roman"/>
              </w:rPr>
              <m:t>0</m:t>
            </m:r>
          </m:e>
        </m:d>
        <m:r>
          <w:rPr>
            <w:rFonts w:ascii="Cambria Math" w:hAnsi="Cambria Math" w:cs="Times New Roman"/>
          </w:rPr>
          <m:t>=0</m:t>
        </m:r>
      </m:oMath>
      <w:r w:rsidRPr="00C94105">
        <w:rPr>
          <w:rFonts w:ascii="Times New Roman" w:hAnsi="Times New Roman" w:cs="Times New Roman"/>
        </w:rPr>
        <w:t>, the solution to the differential equation (A.3) is</w:t>
      </w:r>
    </w:p>
    <w:p w14:paraId="05231473" w14:textId="44FDD937"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r>
          <w:rPr>
            <w:rFonts w:ascii="Cambria Math" w:hAnsi="Cambria Math" w:cs="Times New Roman"/>
          </w:rPr>
          <m:t xml:space="preserve">F(t) = </m:t>
        </m:r>
        <m:f>
          <m:fPr>
            <m:ctrlPr>
              <w:rPr>
                <w:rFonts w:ascii="Cambria Math" w:hAnsi="Cambria Math" w:cs="Times New Roman"/>
              </w:rPr>
            </m:ctrlPr>
          </m:fPr>
          <m:num>
            <m:r>
              <w:rPr>
                <w:rFonts w:ascii="Cambria Math" w:hAnsi="Cambria Math" w:cs="Times New Roman"/>
              </w:rPr>
              <m:t>1-</m:t>
            </m:r>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-(p+q)t</m:t>
                </m:r>
              </m:sup>
            </m:sSup>
          </m:num>
          <m:den>
            <m:r>
              <w:rPr>
                <w:rFonts w:ascii="Cambria Math" w:hAnsi="Cambria Math" w:cs="Times New Roman"/>
              </w:rPr>
              <m:t>1+</m:t>
            </m:r>
            <m:f>
              <m:fPr>
                <m:ctrlPr>
                  <w:rPr>
                    <w:rFonts w:ascii="Cambria Math" w:hAnsi="Cambria Math" w:cs="Times New Roman"/>
                  </w:rPr>
                </m:ctrlPr>
              </m:fPr>
              <m:num>
                <m:r>
                  <w:rPr>
                    <w:rFonts w:ascii="Cambria Math" w:hAnsi="Cambria Math" w:cs="Times New Roman"/>
                  </w:rPr>
                  <m:t>q</m:t>
                </m:r>
              </m:num>
              <m:den>
                <m:r>
                  <w:rPr>
                    <w:rFonts w:ascii="Cambria Math" w:hAnsi="Cambria Math" w:cs="Times New Roman"/>
                  </w:rPr>
                  <m:t>p</m:t>
                </m:r>
              </m:den>
            </m:f>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-(p+q)t</m:t>
                </m:r>
              </m:sup>
            </m:sSup>
          </m:den>
        </m:f>
      </m:oMath>
      <w:r w:rsidRPr="00C94105">
        <w:rPr>
          <w:rFonts w:ascii="Times New Roman" w:hAnsi="Times New Roman" w:cs="Times New Roman"/>
        </w:rPr>
        <w:tab/>
        <w:t>(5)</w:t>
      </w:r>
    </w:p>
    <w:p w14:paraId="2DD444CA" w14:textId="77777777"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The corresponding density function is</w:t>
      </w:r>
    </w:p>
    <w:p w14:paraId="435FB806" w14:textId="49C0B00F"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r>
          <w:rPr>
            <w:rFonts w:ascii="Cambria Math" w:hAnsi="Cambria Math" w:cs="Times New Roman"/>
          </w:rPr>
          <m:t xml:space="preserve">f(t) = </m:t>
        </m:r>
        <m:f>
          <m:fPr>
            <m:ctrlPr>
              <w:rPr>
                <w:rFonts w:ascii="Cambria Math" w:hAnsi="Cambria Math" w:cs="Times New Roman"/>
              </w:rPr>
            </m:ctrlPr>
          </m:fPr>
          <m:num>
            <m:f>
              <m:fPr>
                <m:ctrlPr>
                  <w:rPr>
                    <w:rFonts w:ascii="Cambria Math" w:hAnsi="Cambria Math" w:cs="Times New Roman"/>
                  </w:rPr>
                </m:ctrlPr>
              </m:fPr>
              <m:num>
                <m:sSup>
                  <m:sSupPr>
                    <m:ctrlPr>
                      <w:rPr>
                        <w:rFonts w:ascii="Cambria Math" w:hAnsi="Cambria Math" w:cs="Times New Roman"/>
                      </w:rPr>
                    </m:ctrlPr>
                  </m:sSupPr>
                  <m:e>
                    <m:r>
                      <w:rPr>
                        <w:rFonts w:ascii="Cambria Math" w:hAnsi="Cambria Math" w:cs="Times New Roman"/>
                      </w:rPr>
                      <m:t>(p+q)</m:t>
                    </m:r>
                  </m:e>
                  <m:sup>
                    <m:r>
                      <w:rPr>
                        <w:rFonts w:ascii="Cambria Math" w:hAnsi="Cambria Math" w:cs="Times New Roman"/>
                      </w:rPr>
                      <m:t>2</m:t>
                    </m:r>
                  </m:sup>
                </m:sSup>
              </m:num>
              <m:den>
                <m:r>
                  <w:rPr>
                    <w:rFonts w:ascii="Cambria Math" w:hAnsi="Cambria Math" w:cs="Times New Roman"/>
                  </w:rPr>
                  <m:t>p</m:t>
                </m:r>
              </m:den>
            </m:f>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-(p+q)t</m:t>
                </m:r>
              </m:sup>
            </m:sSup>
          </m:num>
          <m:den>
            <m:sSup>
              <m:sSupPr>
                <m:ctrlPr>
                  <w:rPr>
                    <w:rFonts w:ascii="Cambria Math" w:hAnsi="Cambria Math" w:cs="Times New Roman"/>
                  </w:rPr>
                </m:ctrlPr>
              </m:sSupPr>
              <m:e>
                <m:r>
                  <w:rPr>
                    <w:rFonts w:ascii="Cambria Math" w:hAnsi="Cambria Math" w:cs="Times New Roman"/>
                  </w:rPr>
                  <m:t>(1+</m:t>
                </m:r>
                <m:f>
                  <m:fPr>
                    <m:ctrlPr>
                      <w:rPr>
                        <w:rFonts w:ascii="Cambria Math" w:hAnsi="Cambria Math" w:cs="Times New Roman"/>
                      </w:rPr>
                    </m:ctrlPr>
                  </m:fPr>
                  <m:num>
                    <m:r>
                      <w:rPr>
                        <w:rFonts w:ascii="Cambria Math" w:hAnsi="Cambria Math" w:cs="Times New Roman"/>
                      </w:rPr>
                      <m:t>q</m:t>
                    </m:r>
                  </m:num>
                  <m:den>
                    <m:r>
                      <w:rPr>
                        <w:rFonts w:ascii="Cambria Math" w:hAnsi="Cambria Math" w:cs="Times New Roman"/>
                      </w:rPr>
                      <m:t>p</m:t>
                    </m:r>
                  </m:den>
                </m:f>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-(p+q)t</m:t>
                    </m:r>
                  </m:sup>
                </m:sSup>
                <m:r>
                  <w:rPr>
                    <w:rFonts w:ascii="Cambria Math" w:hAnsi="Cambria Math" w:cs="Times New Roman"/>
                  </w:rPr>
                  <m:t>)</m:t>
                </m:r>
              </m:e>
              <m:sup>
                <m:r>
                  <w:rPr>
                    <w:rFonts w:ascii="Cambria Math" w:hAnsi="Cambria Math" w:cs="Times New Roman"/>
                  </w:rPr>
                  <m:t>2</m:t>
                </m:r>
              </m:sup>
            </m:sSup>
          </m:den>
        </m:f>
      </m:oMath>
      <w:r w:rsidRPr="00C94105">
        <w:rPr>
          <w:rFonts w:ascii="Times New Roman" w:hAnsi="Times New Roman" w:cs="Times New Roman"/>
        </w:rPr>
        <w:tab/>
        <w:t>(6)</w:t>
      </w:r>
    </w:p>
    <w:p w14:paraId="4A239253" w14:textId="77777777" w:rsidR="00C94105" w:rsidRPr="00C94105" w:rsidRDefault="00C94105" w:rsidP="00C94105">
      <w:pPr>
        <w:spacing w:line="360" w:lineRule="auto"/>
        <w:rPr>
          <w:rFonts w:ascii="Times New Roman" w:eastAsiaTheme="minorEastAsia" w:hAnsi="Times New Roman" w:cs="Times New Roman"/>
          <w:iCs/>
        </w:rPr>
      </w:pPr>
      <w:r w:rsidRPr="00C94105">
        <w:rPr>
          <w:rFonts w:ascii="Times New Roman" w:eastAsiaTheme="minorEastAsia" w:hAnsi="Times New Roman" w:cs="Times New Roman"/>
          <w:iCs/>
        </w:rPr>
        <w:t xml:space="preserve">Denoting the total sales at time </w:t>
      </w:r>
      <m:oMath>
        <m:r>
          <w:rPr>
            <w:rFonts w:ascii="Cambria Math" w:eastAsiaTheme="minorEastAsia" w:hAnsi="Cambria Math" w:cs="Times New Roman"/>
          </w:rPr>
          <m:t>t</m:t>
        </m:r>
      </m:oMath>
      <w:r w:rsidRPr="00C94105">
        <w:rPr>
          <w:rFonts w:ascii="Times New Roman" w:eastAsiaTheme="minorEastAsia" w:hAnsi="Times New Roman" w:cs="Times New Roman"/>
          <w:iCs/>
        </w:rPr>
        <w:t xml:space="preserve"> by </w:t>
      </w:r>
      <m:oMath>
        <m:r>
          <w:rPr>
            <w:rFonts w:ascii="Cambria Math" w:eastAsiaTheme="minorEastAsia" w:hAnsi="Cambria Math" w:cs="Times New Roman"/>
          </w:rPr>
          <m:t>S(t)</m:t>
        </m:r>
      </m:oMath>
      <w:r w:rsidRPr="00C94105">
        <w:rPr>
          <w:rFonts w:ascii="Times New Roman" w:eastAsiaTheme="minorEastAsia" w:hAnsi="Times New Roman" w:cs="Times New Roman"/>
          <w:iCs/>
        </w:rPr>
        <w:t xml:space="preserve">, then </w:t>
      </w:r>
      <m:oMath>
        <m:r>
          <w:rPr>
            <w:rFonts w:ascii="Cambria Math" w:eastAsiaTheme="minorEastAsia" w:hAnsi="Cambria Math" w:cs="Times New Roman"/>
          </w:rPr>
          <m:t>S</m:t>
        </m:r>
        <m:d>
          <m:dPr>
            <m:ctrlPr>
              <w:rPr>
                <w:rFonts w:ascii="Cambria Math" w:eastAsiaTheme="minorEastAsia" w:hAnsi="Cambria Math" w:cs="Times New Roman"/>
                <w:i/>
                <w:iCs/>
              </w:rPr>
            </m:ctrlPr>
          </m:dPr>
          <m:e>
            <m:r>
              <w:rPr>
                <w:rFonts w:ascii="Cambria Math" w:eastAsiaTheme="minorEastAsia" w:hAnsi="Cambria Math" w:cs="Times New Roman"/>
              </w:rPr>
              <m:t>t</m:t>
            </m:r>
          </m:e>
        </m:d>
        <m:r>
          <w:rPr>
            <w:rFonts w:ascii="Cambria Math" w:eastAsiaTheme="minorEastAsia" w:hAnsi="Cambria Math" w:cs="Times New Roman"/>
          </w:rPr>
          <m:t>=</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r>
          <w:rPr>
            <w:rFonts w:ascii="Cambria Math" w:hAnsi="Cambria Math" w:cs="Times New Roman"/>
          </w:rPr>
          <m:t>F</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t-1</m:t>
            </m:r>
          </m:sub>
        </m:sSub>
        <m:r>
          <w:rPr>
            <w:rFonts w:ascii="Cambria Math" w:hAnsi="Cambria Math" w:cs="Times New Roman"/>
          </w:rPr>
          <m:t>F</m:t>
        </m:r>
        <m:d>
          <m:dPr>
            <m:ctrlPr>
              <w:rPr>
                <w:rFonts w:ascii="Cambria Math" w:hAnsi="Cambria Math" w:cs="Times New Roman"/>
                <w:i/>
              </w:rPr>
            </m:ctrlPr>
          </m:dPr>
          <m:e>
            <m:r>
              <w:rPr>
                <w:rFonts w:ascii="Cambria Math" w:hAnsi="Cambria Math" w:cs="Times New Roman"/>
              </w:rPr>
              <m:t>t-1</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t</m:t>
            </m:r>
          </m:sub>
        </m:sSub>
      </m:oMath>
      <w:r w:rsidRPr="00C94105">
        <w:rPr>
          <w:rFonts w:ascii="Times New Roman" w:eastAsiaTheme="minorEastAsia" w:hAnsi="Times New Roman" w:cs="Times New Roman"/>
        </w:rPr>
        <w:t xml:space="preserve"> where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t</m:t>
            </m:r>
          </m:sub>
        </m:sSub>
        <m:r>
          <w:rPr>
            <w:rFonts w:ascii="Cambria Math" w:hAnsi="Cambria Math" w:cs="Times New Roman"/>
          </w:rPr>
          <m:t>∼N(0,</m:t>
        </m:r>
        <m:sSup>
          <m:sSupPr>
            <m:ctrlPr>
              <w:rPr>
                <w:rFonts w:ascii="Cambria Math" w:hAnsi="Cambria Math" w:cs="Times New Roman"/>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m:t>
        </m:r>
      </m:oMath>
      <w:r w:rsidRPr="00C94105">
        <w:rPr>
          <w:rFonts w:ascii="Times New Roman" w:eastAsiaTheme="minorEastAsia" w:hAnsi="Times New Roman" w:cs="Times New Roman"/>
          <w:iCs/>
        </w:rPr>
        <w:t xml:space="preserve"> and cumulative sales are given by </w:t>
      </w:r>
      <m:oMath>
        <m:r>
          <w:rPr>
            <w:rFonts w:ascii="Cambria Math" w:eastAsiaTheme="minorEastAsia" w:hAnsi="Cambria Math" w:cs="Times New Roman"/>
          </w:rPr>
          <m:t>Y</m:t>
        </m:r>
        <m:d>
          <m:dPr>
            <m:ctrlPr>
              <w:rPr>
                <w:rFonts w:ascii="Cambria Math" w:eastAsiaTheme="minorEastAsia" w:hAnsi="Cambria Math" w:cs="Times New Roman"/>
                <w:i/>
                <w:iCs/>
              </w:rPr>
            </m:ctrlPr>
          </m:dPr>
          <m:e>
            <m:r>
              <w:rPr>
                <w:rFonts w:ascii="Cambria Math" w:eastAsiaTheme="minorEastAsia" w:hAnsi="Cambria Math" w:cs="Times New Roman"/>
              </w:rPr>
              <m:t>t</m:t>
            </m:r>
          </m:e>
        </m:d>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m</m:t>
            </m:r>
          </m:e>
          <m:sub>
            <m:r>
              <w:rPr>
                <w:rFonts w:ascii="Cambria Math" w:eastAsiaTheme="minorEastAsia" w:hAnsi="Cambria Math" w:cs="Times New Roman"/>
              </w:rPr>
              <m:t>t</m:t>
            </m:r>
          </m:sub>
        </m:sSub>
        <m:r>
          <w:rPr>
            <w:rFonts w:ascii="Cambria Math" w:eastAsiaTheme="minorEastAsia" w:hAnsi="Cambria Math" w:cs="Times New Roman"/>
          </w:rPr>
          <m:t>F(t)</m:t>
        </m:r>
      </m:oMath>
      <w:r w:rsidRPr="00C94105">
        <w:rPr>
          <w:rFonts w:ascii="Times New Roman" w:eastAsiaTheme="minorEastAsia" w:hAnsi="Times New Roman" w:cs="Times New Roman"/>
          <w:iCs/>
        </w:rPr>
        <w:t xml:space="preserve">, </w:t>
      </w:r>
      <w:r w:rsidRPr="00C94105">
        <w:rPr>
          <w:rFonts w:ascii="Times New Roman" w:hAnsi="Times New Roman" w:cs="Times New Roman"/>
        </w:rPr>
        <w:t>(Equations 5–6 of the main text). In continuous time the instantaneous adoption rate implied by (A.6) is</w:t>
      </w:r>
    </w:p>
    <w:p w14:paraId="51B15351" w14:textId="51FB39DE"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r>
          <w:rPr>
            <w:rFonts w:ascii="Cambria Math" w:hAnsi="Cambria Math" w:cs="Times New Roman"/>
          </w:rPr>
          <m:t xml:space="preserve">S(t) = </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f>
          <m:fPr>
            <m:ctrlPr>
              <w:rPr>
                <w:rFonts w:ascii="Cambria Math" w:hAnsi="Cambria Math" w:cs="Times New Roman"/>
              </w:rPr>
            </m:ctrlPr>
          </m:fPr>
          <m:num>
            <m:f>
              <m:fPr>
                <m:ctrlPr>
                  <w:rPr>
                    <w:rFonts w:ascii="Cambria Math" w:hAnsi="Cambria Math" w:cs="Times New Roman"/>
                  </w:rPr>
                </m:ctrlPr>
              </m:fPr>
              <m:num>
                <m:sSup>
                  <m:sSupPr>
                    <m:ctrlPr>
                      <w:rPr>
                        <w:rFonts w:ascii="Cambria Math" w:hAnsi="Cambria Math" w:cs="Times New Roman"/>
                      </w:rPr>
                    </m:ctrlPr>
                  </m:sSupPr>
                  <m:e>
                    <m:r>
                      <w:rPr>
                        <w:rFonts w:ascii="Cambria Math" w:hAnsi="Cambria Math" w:cs="Times New Roman"/>
                      </w:rPr>
                      <m:t>(p+q)</m:t>
                    </m:r>
                  </m:e>
                  <m:sup>
                    <m:r>
                      <w:rPr>
                        <w:rFonts w:ascii="Cambria Math" w:hAnsi="Cambria Math" w:cs="Times New Roman"/>
                      </w:rPr>
                      <m:t>2</m:t>
                    </m:r>
                  </m:sup>
                </m:sSup>
              </m:num>
              <m:den>
                <m:r>
                  <w:rPr>
                    <w:rFonts w:ascii="Cambria Math" w:hAnsi="Cambria Math" w:cs="Times New Roman"/>
                  </w:rPr>
                  <m:t>p</m:t>
                </m:r>
              </m:den>
            </m:f>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-(p+q)t</m:t>
                </m:r>
              </m:sup>
            </m:sSup>
          </m:num>
          <m:den>
            <m:sSup>
              <m:sSupPr>
                <m:ctrlPr>
                  <w:rPr>
                    <w:rFonts w:ascii="Cambria Math" w:hAnsi="Cambria Math" w:cs="Times New Roman"/>
                  </w:rPr>
                </m:ctrlPr>
              </m:sSupPr>
              <m:e>
                <m:r>
                  <w:rPr>
                    <w:rFonts w:ascii="Cambria Math" w:hAnsi="Cambria Math" w:cs="Times New Roman"/>
                  </w:rPr>
                  <m:t>(1+</m:t>
                </m:r>
                <m:f>
                  <m:fPr>
                    <m:ctrlPr>
                      <w:rPr>
                        <w:rFonts w:ascii="Cambria Math" w:hAnsi="Cambria Math" w:cs="Times New Roman"/>
                      </w:rPr>
                    </m:ctrlPr>
                  </m:fPr>
                  <m:num>
                    <m:r>
                      <w:rPr>
                        <w:rFonts w:ascii="Cambria Math" w:hAnsi="Cambria Math" w:cs="Times New Roman"/>
                      </w:rPr>
                      <m:t>q</m:t>
                    </m:r>
                  </m:num>
                  <m:den>
                    <m:r>
                      <w:rPr>
                        <w:rFonts w:ascii="Cambria Math" w:hAnsi="Cambria Math" w:cs="Times New Roman"/>
                      </w:rPr>
                      <m:t>p</m:t>
                    </m:r>
                  </m:den>
                </m:f>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-(p+q)t</m:t>
                    </m:r>
                  </m:sup>
                </m:sSup>
                <m:r>
                  <w:rPr>
                    <w:rFonts w:ascii="Cambria Math" w:hAnsi="Cambria Math" w:cs="Times New Roman"/>
                  </w:rPr>
                  <m:t>)</m:t>
                </m:r>
              </m:e>
              <m:sup>
                <m:r>
                  <w:rPr>
                    <w:rFonts w:ascii="Cambria Math" w:hAnsi="Cambria Math" w:cs="Times New Roman"/>
                  </w:rPr>
                  <m:t>2</m:t>
                </m:r>
              </m:sup>
            </m:sSup>
          </m:den>
        </m:f>
      </m:oMath>
      <w:r w:rsidRPr="00C94105">
        <w:rPr>
          <w:rFonts w:ascii="Times New Roman" w:hAnsi="Times New Roman" w:cs="Times New Roman"/>
        </w:rPr>
        <w:tab/>
        <w:t>(7)</w:t>
      </w:r>
    </w:p>
    <w:p w14:paraId="1AD62A1D" w14:textId="43EF8314" w:rsidR="00C94105" w:rsidRPr="00C94105" w:rsidRDefault="00C94105" w:rsidP="00293E36">
      <w:pPr>
        <w:pStyle w:val="Heading1"/>
        <w:numPr>
          <w:ilvl w:val="1"/>
          <w:numId w:val="8"/>
        </w:numPr>
        <w:spacing w:line="480" w:lineRule="auto"/>
        <w:rPr>
          <w:rFonts w:ascii="Times New Roman" w:hAnsi="Times New Roman" w:cs="Times New Roman"/>
          <w:b/>
          <w:bCs/>
          <w:color w:val="auto"/>
          <w:sz w:val="24"/>
          <w:szCs w:val="24"/>
        </w:rPr>
      </w:pPr>
      <w:bookmarkStart w:id="7" w:name="_Toc237678756"/>
      <w:r w:rsidRPr="00C94105">
        <w:rPr>
          <w:rFonts w:ascii="Times New Roman" w:hAnsi="Times New Roman" w:cs="Times New Roman"/>
          <w:b/>
          <w:bCs/>
          <w:color w:val="auto"/>
          <w:sz w:val="24"/>
          <w:szCs w:val="24"/>
        </w:rPr>
        <w:t xml:space="preserve">The </w:t>
      </w:r>
      <w:r w:rsidR="00E62C38">
        <w:rPr>
          <w:rFonts w:ascii="Times New Roman" w:hAnsi="Times New Roman" w:cs="Times New Roman"/>
          <w:b/>
          <w:bCs/>
          <w:color w:val="auto"/>
          <w:sz w:val="24"/>
          <w:szCs w:val="24"/>
        </w:rPr>
        <w:t>G</w:t>
      </w:r>
      <w:r w:rsidRPr="00C94105">
        <w:rPr>
          <w:rFonts w:ascii="Times New Roman" w:hAnsi="Times New Roman" w:cs="Times New Roman"/>
          <w:b/>
          <w:bCs/>
          <w:color w:val="auto"/>
          <w:sz w:val="24"/>
          <w:szCs w:val="24"/>
        </w:rPr>
        <w:t xml:space="preserve">eneralized Bass </w:t>
      </w:r>
      <w:r w:rsidR="00E62C38">
        <w:rPr>
          <w:rFonts w:ascii="Times New Roman" w:hAnsi="Times New Roman" w:cs="Times New Roman"/>
          <w:b/>
          <w:bCs/>
          <w:color w:val="auto"/>
          <w:sz w:val="24"/>
          <w:szCs w:val="24"/>
        </w:rPr>
        <w:t>M</w:t>
      </w:r>
      <w:r w:rsidRPr="00C94105">
        <w:rPr>
          <w:rFonts w:ascii="Times New Roman" w:hAnsi="Times New Roman" w:cs="Times New Roman"/>
          <w:b/>
          <w:bCs/>
          <w:color w:val="auto"/>
          <w:sz w:val="24"/>
          <w:szCs w:val="24"/>
        </w:rPr>
        <w:t xml:space="preserve">odel and the </w:t>
      </w:r>
      <w:r w:rsidR="00E62C38">
        <w:rPr>
          <w:rFonts w:ascii="Times New Roman" w:hAnsi="Times New Roman" w:cs="Times New Roman"/>
          <w:b/>
          <w:bCs/>
          <w:color w:val="auto"/>
          <w:sz w:val="24"/>
          <w:szCs w:val="24"/>
        </w:rPr>
        <w:t>C</w:t>
      </w:r>
      <w:r w:rsidRPr="00C94105">
        <w:rPr>
          <w:rFonts w:ascii="Times New Roman" w:hAnsi="Times New Roman" w:cs="Times New Roman"/>
          <w:b/>
          <w:bCs/>
          <w:color w:val="auto"/>
          <w:sz w:val="24"/>
          <w:szCs w:val="24"/>
        </w:rPr>
        <w:t xml:space="preserve">umulative </w:t>
      </w:r>
      <w:r w:rsidR="00E62C38">
        <w:rPr>
          <w:rFonts w:ascii="Times New Roman" w:hAnsi="Times New Roman" w:cs="Times New Roman"/>
          <w:b/>
          <w:bCs/>
          <w:color w:val="auto"/>
          <w:sz w:val="24"/>
          <w:szCs w:val="24"/>
        </w:rPr>
        <w:t>A</w:t>
      </w:r>
      <w:r w:rsidRPr="00C94105">
        <w:rPr>
          <w:rFonts w:ascii="Times New Roman" w:hAnsi="Times New Roman" w:cs="Times New Roman"/>
          <w:b/>
          <w:bCs/>
          <w:color w:val="auto"/>
          <w:sz w:val="24"/>
          <w:szCs w:val="24"/>
        </w:rPr>
        <w:t xml:space="preserve">doption </w:t>
      </w:r>
      <w:r w:rsidR="00E62C38">
        <w:rPr>
          <w:rFonts w:ascii="Times New Roman" w:hAnsi="Times New Roman" w:cs="Times New Roman"/>
          <w:b/>
          <w:bCs/>
          <w:color w:val="auto"/>
          <w:sz w:val="24"/>
          <w:szCs w:val="24"/>
        </w:rPr>
        <w:t>F</w:t>
      </w:r>
      <w:r w:rsidRPr="00C94105">
        <w:rPr>
          <w:rFonts w:ascii="Times New Roman" w:hAnsi="Times New Roman" w:cs="Times New Roman"/>
          <w:b/>
          <w:bCs/>
          <w:color w:val="auto"/>
          <w:sz w:val="24"/>
          <w:szCs w:val="24"/>
        </w:rPr>
        <w:t>unction</w:t>
      </w:r>
      <w:bookmarkEnd w:id="7"/>
      <w:r w:rsidRPr="00C94105">
        <w:rPr>
          <w:rFonts w:ascii="Times New Roman" w:hAnsi="Times New Roman" w:cs="Times New Roman"/>
          <w:b/>
          <w:bCs/>
          <w:color w:val="auto"/>
          <w:sz w:val="24"/>
          <w:szCs w:val="24"/>
        </w:rPr>
        <w:t xml:space="preserve"> </w:t>
      </w:r>
    </w:p>
    <w:p w14:paraId="251A4C4A" w14:textId="311A043D"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For the generalized Bass model, the only change to Equation (A.1) is the addition of a multiplicative market-effort term </w:t>
      </w:r>
      <m:oMath>
        <m:r>
          <w:rPr>
            <w:rFonts w:ascii="Cambria Math" w:hAnsi="Cambria Math" w:cs="Times New Roman"/>
          </w:rPr>
          <m:t>x(t)</m:t>
        </m:r>
      </m:oMath>
      <w:r w:rsidRPr="00C94105">
        <w:rPr>
          <w:rFonts w:ascii="Times New Roman" w:hAnsi="Times New Roman" w:cs="Times New Roman"/>
        </w:rPr>
        <w:t xml:space="preserve"> on the right-hand side. Throughout, </w:t>
      </w:r>
      <m:oMath>
        <m:r>
          <w:rPr>
            <w:rFonts w:ascii="Cambria Math" w:hAnsi="Cambria Math" w:cs="Times New Roman"/>
          </w:rPr>
          <m:t>x(t)</m:t>
        </m:r>
      </m:oMath>
      <w:r w:rsidR="00E62C38">
        <w:rPr>
          <w:rFonts w:ascii="Times New Roman" w:eastAsiaTheme="minorEastAsia" w:hAnsi="Times New Roman" w:cs="Times New Roman"/>
        </w:rPr>
        <w:t xml:space="preserve"> </w:t>
      </w:r>
      <w:r w:rsidRPr="00C94105">
        <w:rPr>
          <w:rFonts w:ascii="Times New Roman" w:hAnsi="Times New Roman" w:cs="Times New Roman"/>
        </w:rPr>
        <w:t xml:space="preserve">denotes the instantaneous market effort and </w:t>
      </w:r>
      <m:oMath>
        <m:r>
          <w:rPr>
            <w:rFonts w:ascii="Cambria Math" w:hAnsi="Cambria Math" w:cs="Times New Roman"/>
          </w:rPr>
          <m:t>X(t)</m:t>
        </m:r>
      </m:oMath>
      <w:r w:rsidR="00E62C38">
        <w:rPr>
          <w:rFonts w:ascii="Times New Roman" w:eastAsiaTheme="minorEastAsia" w:hAnsi="Times New Roman" w:cs="Times New Roman"/>
        </w:rPr>
        <w:t xml:space="preserve"> </w:t>
      </w:r>
      <w:r w:rsidRPr="00C94105">
        <w:rPr>
          <w:rFonts w:ascii="Times New Roman" w:hAnsi="Times New Roman" w:cs="Times New Roman"/>
        </w:rPr>
        <w:t xml:space="preserve">its cumulative (integrated) counterpart; Equation (2) of the main text is the cumulative form </w:t>
      </w:r>
      <m:oMath>
        <m:r>
          <w:rPr>
            <w:rFonts w:ascii="Cambria Math" w:hAnsi="Cambria Math" w:cs="Times New Roman"/>
          </w:rPr>
          <m:t>X(t)</m:t>
        </m:r>
      </m:oMath>
      <w:r w:rsidRPr="00C94105">
        <w:rPr>
          <w:rFonts w:ascii="Times New Roman" w:hAnsi="Times New Roman" w:cs="Times New Roman"/>
        </w:rPr>
        <w:t xml:space="preserve">. The GBM hazard, written in terms of </w:t>
      </w:r>
      <m:oMath>
        <m:r>
          <w:rPr>
            <w:rFonts w:ascii="Cambria Math" w:hAnsi="Cambria Math" w:cs="Times New Roman"/>
          </w:rPr>
          <m:t>F(t)</m:t>
        </m:r>
      </m:oMath>
      <w:r w:rsidRPr="00C94105">
        <w:rPr>
          <w:rFonts w:ascii="Times New Roman" w:hAnsi="Times New Roman" w:cs="Times New Roman"/>
        </w:rPr>
        <w:t>alone, is</w:t>
      </w:r>
    </w:p>
    <w:p w14:paraId="7CED7DBC" w14:textId="350883A1"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f>
          <m:fPr>
            <m:ctrlPr>
              <w:rPr>
                <w:rFonts w:ascii="Cambria Math" w:hAnsi="Cambria Math" w:cs="Times New Roman"/>
              </w:rPr>
            </m:ctrlPr>
          </m:fPr>
          <m:num>
            <m:r>
              <w:rPr>
                <w:rFonts w:ascii="Cambria Math" w:hAnsi="Cambria Math" w:cs="Times New Roman"/>
              </w:rPr>
              <m:t>f(t)</m:t>
            </m:r>
          </m:num>
          <m:den>
            <m:r>
              <w:rPr>
                <w:rFonts w:ascii="Cambria Math" w:hAnsi="Cambria Math" w:cs="Times New Roman"/>
              </w:rPr>
              <m:t>1-F(t)</m:t>
            </m:r>
          </m:den>
        </m:f>
        <m:r>
          <w:rPr>
            <w:rFonts w:ascii="Cambria Math" w:hAnsi="Cambria Math" w:cs="Times New Roman"/>
          </w:rPr>
          <m:t xml:space="preserve"> = [p+qF(t)] x(t)</m:t>
        </m:r>
      </m:oMath>
      <w:r w:rsidRPr="00C94105">
        <w:rPr>
          <w:rFonts w:ascii="Times New Roman" w:hAnsi="Times New Roman" w:cs="Times New Roman"/>
        </w:rPr>
        <w:tab/>
        <w:t>(8)</w:t>
      </w:r>
    </w:p>
    <w:p w14:paraId="3DFD80BF" w14:textId="77777777"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Following Bass, Krishnan, and Jain (1994), the instantaneous market effort is one plus a linear combination of the proportional growth rates of the covariates,</w:t>
      </w:r>
    </w:p>
    <w:p w14:paraId="4140E525" w14:textId="60A2BBC4"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r>
          <w:rPr>
            <w:rFonts w:ascii="Cambria Math" w:hAnsi="Cambria Math" w:cs="Times New Roman"/>
          </w:rPr>
          <m:t xml:space="preserve">x(t) = 1 + </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1</m:t>
            </m:r>
          </m:sub>
        </m:sSub>
        <m:f>
          <m:fPr>
            <m:ctrlPr>
              <w:rPr>
                <w:rFonts w:ascii="Cambria Math" w:hAnsi="Cambria Math" w:cs="Times New Roman"/>
              </w:rPr>
            </m:ctrlPr>
          </m:fPr>
          <m:num>
            <m:r>
              <w:rPr>
                <w:rFonts w:ascii="Cambria Math" w:hAnsi="Cambria Math" w:cs="Times New Roman"/>
              </w:rPr>
              <m:t>d ln Affordability(t)</m:t>
            </m:r>
          </m:num>
          <m:den>
            <m:r>
              <w:rPr>
                <w:rFonts w:ascii="Cambria Math" w:hAnsi="Cambria Math" w:cs="Times New Roman"/>
              </w:rPr>
              <m:t>dt</m:t>
            </m:r>
          </m:den>
        </m:f>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2</m:t>
            </m:r>
          </m:sub>
        </m:sSub>
        <m:f>
          <m:fPr>
            <m:ctrlPr>
              <w:rPr>
                <w:rFonts w:ascii="Cambria Math" w:hAnsi="Cambria Math" w:cs="Times New Roman"/>
              </w:rPr>
            </m:ctrlPr>
          </m:fPr>
          <m:num>
            <m:r>
              <w:rPr>
                <w:rFonts w:ascii="Cambria Math" w:hAnsi="Cambria Math" w:cs="Times New Roman"/>
              </w:rPr>
              <m:t>d ln Awareness(t)</m:t>
            </m:r>
          </m:num>
          <m:den>
            <m:r>
              <w:rPr>
                <w:rFonts w:ascii="Cambria Math" w:hAnsi="Cambria Math" w:cs="Times New Roman"/>
              </w:rPr>
              <m:t>dt</m:t>
            </m:r>
          </m:den>
        </m:f>
      </m:oMath>
      <w:r w:rsidRPr="00C94105">
        <w:rPr>
          <w:rFonts w:ascii="Times New Roman" w:hAnsi="Times New Roman" w:cs="Times New Roman"/>
        </w:rPr>
        <w:tab/>
        <w:t>(9)</w:t>
      </w:r>
    </w:p>
    <w:p w14:paraId="71A39A66" w14:textId="4FC7F7B1"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so that integrating </w:t>
      </w:r>
      <m:oMath>
        <m:r>
          <w:rPr>
            <w:rFonts w:ascii="Cambria Math" w:hAnsi="Cambria Math" w:cs="Times New Roman"/>
          </w:rPr>
          <m:t>x(τ)</m:t>
        </m:r>
      </m:oMath>
      <w:r w:rsidRPr="00C94105">
        <w:rPr>
          <w:rFonts w:ascii="Times New Roman" w:hAnsi="Times New Roman" w:cs="Times New Roman"/>
        </w:rPr>
        <w:t xml:space="preserve"> from 0 to </w:t>
      </w:r>
      <m:oMath>
        <m:r>
          <w:rPr>
            <w:rFonts w:ascii="Cambria Math" w:hAnsi="Cambria Math" w:cs="Times New Roman"/>
          </w:rPr>
          <m:t>t</m:t>
        </m:r>
      </m:oMath>
      <w:r w:rsidRPr="00C94105">
        <w:rPr>
          <w:rFonts w:ascii="Times New Roman" w:hAnsi="Times New Roman" w:cs="Times New Roman"/>
        </w:rPr>
        <w:t xml:space="preserve"> yields the cumulative market effort of Equation (2) of the main text:</w:t>
      </w:r>
    </w:p>
    <w:p w14:paraId="2C6732B7" w14:textId="748BF7B3"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r>
          <w:rPr>
            <w:rFonts w:ascii="Cambria Math" w:hAnsi="Cambria Math" w:cs="Times New Roman"/>
          </w:rPr>
          <m:t>X(t) = ∫</m:t>
        </m:r>
        <m:sSub>
          <m:sSubPr>
            <m:ctrlPr>
              <w:rPr>
                <w:rFonts w:ascii="Cambria Math" w:hAnsi="Cambria Math" w:cs="Times New Roman"/>
              </w:rPr>
            </m:ctrlPr>
          </m:sSubPr>
          <m:e>
            <m:r>
              <w:rPr>
                <w:rFonts w:ascii="Cambria Math" w:hAnsi="Cambria Math" w:cs="Times New Roman"/>
              </w:rPr>
              <m:t> </m:t>
            </m:r>
          </m:e>
          <m:sub>
            <m:r>
              <w:rPr>
                <w:rFonts w:ascii="Cambria Math" w:hAnsi="Cambria Math" w:cs="Times New Roman"/>
              </w:rPr>
              <m:t>0</m:t>
            </m:r>
          </m:sub>
        </m:sSub>
        <m:sSup>
          <m:sSupPr>
            <m:ctrlPr>
              <w:rPr>
                <w:rFonts w:ascii="Cambria Math" w:hAnsi="Cambria Math" w:cs="Times New Roman"/>
              </w:rPr>
            </m:ctrlPr>
          </m:sSupPr>
          <m:e>
            <m:r>
              <w:rPr>
                <w:rFonts w:ascii="Cambria Math" w:hAnsi="Cambria Math" w:cs="Times New Roman"/>
              </w:rPr>
              <m:t> </m:t>
            </m:r>
          </m:e>
          <m:sup>
            <m:r>
              <w:rPr>
                <w:rFonts w:ascii="Cambria Math" w:hAnsi="Cambria Math" w:cs="Times New Roman"/>
              </w:rPr>
              <m:t>t</m:t>
            </m:r>
          </m:sup>
        </m:sSup>
        <m:r>
          <w:rPr>
            <w:rFonts w:ascii="Cambria Math" w:hAnsi="Cambria Math" w:cs="Times New Roman"/>
          </w:rPr>
          <m:t xml:space="preserve">x(τ)dτ = t + </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 ln</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Affordability</m:t>
                </m:r>
              </m:e>
              <m:sub>
                <m:r>
                  <w:rPr>
                    <w:rFonts w:ascii="Cambria Math" w:hAnsi="Cambria Math" w:cs="Times New Roman"/>
                  </w:rPr>
                  <m:t>t</m:t>
                </m:r>
              </m:sub>
            </m:sSub>
          </m:num>
          <m:den>
            <m:sSub>
              <m:sSubPr>
                <m:ctrlPr>
                  <w:rPr>
                    <w:rFonts w:ascii="Cambria Math" w:hAnsi="Cambria Math" w:cs="Times New Roman"/>
                  </w:rPr>
                </m:ctrlPr>
              </m:sSubPr>
              <m:e>
                <m:r>
                  <w:rPr>
                    <w:rFonts w:ascii="Cambria Math" w:hAnsi="Cambria Math" w:cs="Times New Roman"/>
                  </w:rPr>
                  <m:t>Affordability</m:t>
                </m:r>
              </m:e>
              <m:sub>
                <m:r>
                  <w:rPr>
                    <w:rFonts w:ascii="Cambria Math" w:hAnsi="Cambria Math" w:cs="Times New Roman"/>
                  </w:rPr>
                  <m:t>0</m:t>
                </m:r>
              </m:sub>
            </m:sSub>
          </m:den>
        </m:f>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 ln</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Awareness</m:t>
                </m:r>
              </m:e>
              <m:sub>
                <m:r>
                  <w:rPr>
                    <w:rFonts w:ascii="Cambria Math" w:hAnsi="Cambria Math" w:cs="Times New Roman"/>
                  </w:rPr>
                  <m:t>t</m:t>
                </m:r>
              </m:sub>
            </m:sSub>
          </m:num>
          <m:den>
            <m:sSub>
              <m:sSubPr>
                <m:ctrlPr>
                  <w:rPr>
                    <w:rFonts w:ascii="Cambria Math" w:hAnsi="Cambria Math" w:cs="Times New Roman"/>
                  </w:rPr>
                </m:ctrlPr>
              </m:sSubPr>
              <m:e>
                <m:r>
                  <w:rPr>
                    <w:rFonts w:ascii="Cambria Math" w:hAnsi="Cambria Math" w:cs="Times New Roman"/>
                  </w:rPr>
                  <m:t>Awareness</m:t>
                </m:r>
              </m:e>
              <m:sub>
                <m:r>
                  <w:rPr>
                    <w:rFonts w:ascii="Cambria Math" w:hAnsi="Cambria Math" w:cs="Times New Roman"/>
                  </w:rPr>
                  <m:t>0</m:t>
                </m:r>
              </m:sub>
            </m:sSub>
          </m:den>
        </m:f>
      </m:oMath>
      <w:r w:rsidRPr="00C94105">
        <w:rPr>
          <w:rFonts w:ascii="Times New Roman" w:hAnsi="Times New Roman" w:cs="Times New Roman"/>
        </w:rPr>
        <w:tab/>
        <w:t>(10)</w:t>
      </w:r>
    </w:p>
    <w:p w14:paraId="0E117378" w14:textId="0518CFDE"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Separating variables in (A.8) gives</w:t>
      </w:r>
      <w:r w:rsidR="00866A1C">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dF</m:t>
            </m:r>
            <m:d>
              <m:dPr>
                <m:ctrlPr>
                  <w:rPr>
                    <w:rFonts w:ascii="Cambria Math" w:hAnsi="Cambria Math" w:cs="Times New Roman"/>
                    <w:i/>
                  </w:rPr>
                </m:ctrlPr>
              </m:dPr>
              <m:e>
                <m:r>
                  <w:rPr>
                    <w:rFonts w:ascii="Cambria Math" w:hAnsi="Cambria Math" w:cs="Times New Roman"/>
                  </w:rPr>
                  <m:t>t</m:t>
                </m:r>
              </m:e>
            </m:d>
          </m:num>
          <m:den>
            <m:d>
              <m:dPr>
                <m:begChr m:val="["/>
                <m:endChr m:val="]"/>
                <m:ctrlPr>
                  <w:rPr>
                    <w:rFonts w:ascii="Cambria Math" w:hAnsi="Cambria Math" w:cs="Times New Roman"/>
                    <w:i/>
                  </w:rPr>
                </m:ctrlPr>
              </m:dPr>
              <m:e>
                <m:r>
                  <w:rPr>
                    <w:rFonts w:ascii="Cambria Math" w:hAnsi="Cambria Math" w:cs="Times New Roman"/>
                  </w:rPr>
                  <m:t>p+qF</m:t>
                </m:r>
              </m:e>
            </m:d>
          </m:den>
        </m:f>
        <m:r>
          <w:rPr>
            <w:rFonts w:ascii="Cambria Math" w:hAnsi="Cambria Math" w:cs="Times New Roman"/>
          </w:rPr>
          <m:t>=x</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dt</m:t>
        </m:r>
      </m:oMath>
      <w:r w:rsidR="00866A1C">
        <w:rPr>
          <w:rFonts w:ascii="Times New Roman" w:hAnsi="Times New Roman" w:cs="Times New Roman"/>
        </w:rPr>
        <w:t xml:space="preserve">. </w:t>
      </w:r>
      <w:r w:rsidRPr="00C94105">
        <w:rPr>
          <w:rFonts w:ascii="Times New Roman" w:hAnsi="Times New Roman" w:cs="Times New Roman"/>
        </w:rPr>
        <w:t xml:space="preserve">Applying exactly the same partial-fraction decomposition as in (A.4) and integrating from 0 to </w:t>
      </w:r>
      <w:r w:rsidRPr="00C94105">
        <w:rPr>
          <w:rFonts w:ascii="Times New Roman" w:hAnsi="Times New Roman" w:cs="Times New Roman"/>
          <w:i/>
          <w:iCs/>
        </w:rPr>
        <w:t>t</w:t>
      </w:r>
      <w:r w:rsidRPr="00C94105">
        <w:rPr>
          <w:rFonts w:ascii="Times New Roman" w:hAnsi="Times New Roman" w:cs="Times New Roman"/>
        </w:rPr>
        <w:t xml:space="preserve">, with </w:t>
      </w:r>
      <m:oMath>
        <m:r>
          <w:rPr>
            <w:rFonts w:ascii="Cambria Math" w:hAnsi="Cambria Math" w:cs="Times New Roman"/>
          </w:rPr>
          <m:t>F</m:t>
        </m:r>
        <m:d>
          <m:dPr>
            <m:ctrlPr>
              <w:rPr>
                <w:rFonts w:ascii="Cambria Math" w:hAnsi="Cambria Math" w:cs="Times New Roman"/>
                <w:i/>
              </w:rPr>
            </m:ctrlPr>
          </m:dPr>
          <m:e>
            <m:r>
              <w:rPr>
                <w:rFonts w:ascii="Cambria Math" w:hAnsi="Cambria Math" w:cs="Times New Roman"/>
              </w:rPr>
              <m:t>0</m:t>
            </m:r>
          </m:e>
        </m:d>
        <m:r>
          <w:rPr>
            <w:rFonts w:ascii="Cambria Math" w:hAnsi="Cambria Math" w:cs="Times New Roman"/>
          </w:rPr>
          <m:t>=0</m:t>
        </m:r>
      </m:oMath>
      <w:r w:rsidR="001162D1">
        <w:rPr>
          <w:rFonts w:ascii="Times New Roman" w:eastAsiaTheme="minorEastAsia" w:hAnsi="Times New Roman" w:cs="Times New Roman"/>
        </w:rPr>
        <w:t xml:space="preserve"> </w:t>
      </w:r>
      <w:r w:rsidRPr="00C94105">
        <w:rPr>
          <w:rFonts w:ascii="Times New Roman" w:hAnsi="Times New Roman" w:cs="Times New Roman"/>
        </w:rPr>
        <w:t xml:space="preserve">and </w:t>
      </w:r>
      <m:oMath>
        <m:r>
          <w:rPr>
            <w:rFonts w:ascii="Cambria Math" w:hAnsi="Cambria Math" w:cs="Times New Roman"/>
          </w:rPr>
          <m:t>X</m:t>
        </m:r>
        <m:d>
          <m:dPr>
            <m:ctrlPr>
              <w:rPr>
                <w:rFonts w:ascii="Cambria Math" w:hAnsi="Cambria Math" w:cs="Times New Roman"/>
                <w:i/>
              </w:rPr>
            </m:ctrlPr>
          </m:dPr>
          <m:e>
            <m:r>
              <w:rPr>
                <w:rFonts w:ascii="Cambria Math" w:hAnsi="Cambria Math" w:cs="Times New Roman"/>
              </w:rPr>
              <m:t>0</m:t>
            </m:r>
          </m:e>
        </m:d>
        <m:r>
          <w:rPr>
            <w:rFonts w:ascii="Cambria Math" w:hAnsi="Cambria Math" w:cs="Times New Roman"/>
          </w:rPr>
          <m:t>=0</m:t>
        </m:r>
      </m:oMath>
      <w:r w:rsidRPr="00C94105">
        <w:rPr>
          <w:rFonts w:ascii="Times New Roman" w:hAnsi="Times New Roman" w:cs="Times New Roman"/>
        </w:rPr>
        <w:t>, yields</w:t>
      </w:r>
    </w:p>
    <w:p w14:paraId="4E878607" w14:textId="6D110419"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r>
          <w:rPr>
            <w:rFonts w:ascii="Cambria Math" w:hAnsi="Cambria Math" w:cs="Times New Roman"/>
          </w:rPr>
          <m:t>ln</m:t>
        </m:r>
        <m:f>
          <m:fPr>
            <m:ctrlPr>
              <w:rPr>
                <w:rFonts w:ascii="Cambria Math" w:hAnsi="Cambria Math" w:cs="Times New Roman"/>
              </w:rPr>
            </m:ctrlPr>
          </m:fPr>
          <m:num>
            <m:r>
              <w:rPr>
                <w:rFonts w:ascii="Cambria Math" w:hAnsi="Cambria Math" w:cs="Times New Roman"/>
              </w:rPr>
              <m:t>p+qF(t)</m:t>
            </m:r>
          </m:num>
          <m:den>
            <m:r>
              <w:rPr>
                <w:rFonts w:ascii="Cambria Math" w:hAnsi="Cambria Math" w:cs="Times New Roman"/>
              </w:rPr>
              <m:t>p [1-F(t)]</m:t>
            </m:r>
          </m:den>
        </m:f>
        <m:r>
          <w:rPr>
            <w:rFonts w:ascii="Cambria Math" w:hAnsi="Cambria Math" w:cs="Times New Roman"/>
          </w:rPr>
          <m:t xml:space="preserve"> = (p+q)X(t)</m:t>
        </m:r>
      </m:oMath>
      <w:r w:rsidRPr="00C94105">
        <w:rPr>
          <w:rFonts w:ascii="Times New Roman" w:hAnsi="Times New Roman" w:cs="Times New Roman"/>
        </w:rPr>
        <w:tab/>
        <w:t>(11)</w:t>
      </w:r>
    </w:p>
    <w:p w14:paraId="402DA6AA" w14:textId="37201EBF"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Solving (A.11) for </w:t>
      </w:r>
      <m:oMath>
        <m:r>
          <w:rPr>
            <w:rFonts w:ascii="Cambria Math" w:hAnsi="Cambria Math" w:cs="Times New Roman"/>
          </w:rPr>
          <m:t>F(t)</m:t>
        </m:r>
      </m:oMath>
      <w:r w:rsidR="001162D1">
        <w:rPr>
          <w:rFonts w:ascii="Times New Roman" w:eastAsiaTheme="minorEastAsia" w:hAnsi="Times New Roman" w:cs="Times New Roman"/>
        </w:rPr>
        <w:t xml:space="preserve"> </w:t>
      </w:r>
      <w:r w:rsidRPr="00C94105">
        <w:rPr>
          <w:rFonts w:ascii="Times New Roman" w:hAnsi="Times New Roman" w:cs="Times New Roman"/>
        </w:rPr>
        <w:t>gives the closed-form cumulative adoption function,</w:t>
      </w:r>
    </w:p>
    <w:p w14:paraId="325FA5B8" w14:textId="4CE32D9A"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r>
          <w:rPr>
            <w:rFonts w:ascii="Cambria Math" w:hAnsi="Cambria Math" w:cs="Times New Roman"/>
          </w:rPr>
          <m:t xml:space="preserve">F(t) = </m:t>
        </m:r>
        <m:f>
          <m:fPr>
            <m:ctrlPr>
              <w:rPr>
                <w:rFonts w:ascii="Cambria Math" w:hAnsi="Cambria Math" w:cs="Times New Roman"/>
              </w:rPr>
            </m:ctrlPr>
          </m:fPr>
          <m:num>
            <m:r>
              <w:rPr>
                <w:rFonts w:ascii="Cambria Math" w:hAnsi="Cambria Math" w:cs="Times New Roman"/>
              </w:rPr>
              <m:t>1-exp[-(p+q)X(t)]</m:t>
            </m:r>
          </m:num>
          <m:den>
            <m:r>
              <w:rPr>
                <w:rFonts w:ascii="Cambria Math" w:hAnsi="Cambria Math" w:cs="Times New Roman"/>
              </w:rPr>
              <m:t>1+(</m:t>
            </m:r>
            <m:f>
              <m:fPr>
                <m:ctrlPr>
                  <w:rPr>
                    <w:rFonts w:ascii="Cambria Math" w:hAnsi="Cambria Math" w:cs="Times New Roman"/>
                  </w:rPr>
                </m:ctrlPr>
              </m:fPr>
              <m:num>
                <m:r>
                  <w:rPr>
                    <w:rFonts w:ascii="Cambria Math" w:hAnsi="Cambria Math" w:cs="Times New Roman"/>
                  </w:rPr>
                  <m:t>q</m:t>
                </m:r>
              </m:num>
              <m:den>
                <m:r>
                  <w:rPr>
                    <w:rFonts w:ascii="Cambria Math" w:hAnsi="Cambria Math" w:cs="Times New Roman"/>
                  </w:rPr>
                  <m:t>p</m:t>
                </m:r>
              </m:den>
            </m:f>
            <m:r>
              <w:rPr>
                <w:rFonts w:ascii="Cambria Math" w:hAnsi="Cambria Math" w:cs="Times New Roman"/>
              </w:rPr>
              <m:t>) exp[-(p+q)X(t)]</m:t>
            </m:r>
          </m:den>
        </m:f>
      </m:oMath>
      <w:r w:rsidRPr="00C94105">
        <w:rPr>
          <w:rFonts w:ascii="Times New Roman" w:hAnsi="Times New Roman" w:cs="Times New Roman"/>
        </w:rPr>
        <w:tab/>
        <w:t>(12)</w:t>
      </w:r>
    </w:p>
    <w:p w14:paraId="1A655525" w14:textId="58CAAD61"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which is Equation (3) of the main text. Comparing (A.12) with (A.5) shows that the GBM solution is the standard Bass solution with calendar time </w:t>
      </w:r>
      <w:r w:rsidRPr="00C94105">
        <w:rPr>
          <w:rFonts w:ascii="Times New Roman" w:hAnsi="Times New Roman" w:cs="Times New Roman"/>
          <w:i/>
          <w:iCs/>
        </w:rPr>
        <w:t>t</w:t>
      </w:r>
      <w:r w:rsidRPr="00C94105">
        <w:rPr>
          <w:rFonts w:ascii="Times New Roman" w:hAnsi="Times New Roman" w:cs="Times New Roman"/>
        </w:rPr>
        <w:t xml:space="preserve"> replaced by “effort time” </w:t>
      </w:r>
      <m:oMath>
        <m:r>
          <w:rPr>
            <w:rFonts w:ascii="Cambria Math" w:hAnsi="Cambria Math" w:cs="Times New Roman"/>
          </w:rPr>
          <m:t>X(t)</m:t>
        </m:r>
      </m:oMath>
      <w:r w:rsidR="001162D1">
        <w:rPr>
          <w:rFonts w:ascii="Times New Roman" w:hAnsi="Times New Roman" w:cs="Times New Roman"/>
        </w:rPr>
        <w:t>:</w:t>
      </w:r>
      <w:r w:rsidRPr="00C94105">
        <w:rPr>
          <w:rFonts w:ascii="Times New Roman" w:hAnsi="Times New Roman" w:cs="Times New Roman"/>
        </w:rPr>
        <w:t xml:space="preserve"> if</w:t>
      </w:r>
      <w:r w:rsidR="001162D1">
        <w:rPr>
          <w:rFonts w:ascii="Times New Roman" w:hAnsi="Times New Roman" w:cs="Times New Roman"/>
        </w:rPr>
        <w:t xml:space="preserve"> </w:t>
      </w:r>
      <m:oMath>
        <m:r>
          <w:rPr>
            <w:rFonts w:ascii="Cambria Math" w:hAnsi="Cambria Math" w:cs="Times New Roman"/>
          </w:rPr>
          <m:t>β1=β2=0.</m:t>
        </m:r>
      </m:oMath>
      <w:r w:rsidR="001162D1">
        <w:rPr>
          <w:rFonts w:ascii="Times New Roman" w:eastAsiaTheme="minorEastAsia" w:hAnsi="Times New Roman" w:cs="Times New Roman"/>
        </w:rPr>
        <w:t xml:space="preserve"> Then</w:t>
      </w:r>
      <w:r w:rsidRPr="00C94105">
        <w:rPr>
          <w:rFonts w:ascii="Times New Roman" w:hAnsi="Times New Roman" w:cs="Times New Roman"/>
        </w:rPr>
        <w:t xml:space="preserve"> </w:t>
      </w:r>
      <m:oMath>
        <m:r>
          <w:rPr>
            <w:rFonts w:ascii="Cambria Math" w:hAnsi="Cambria Math" w:cs="Times New Roman"/>
          </w:rPr>
          <m:t>X</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=t</m:t>
        </m:r>
      </m:oMath>
      <w:r w:rsidRPr="00C94105">
        <w:rPr>
          <w:rFonts w:ascii="Times New Roman" w:hAnsi="Times New Roman" w:cs="Times New Roman"/>
        </w:rPr>
        <w:t xml:space="preserve"> and the GBM reduces to the standard Bass model. Because </w:t>
      </w:r>
      <m:oMath>
        <m:r>
          <w:rPr>
            <w:rFonts w:ascii="Cambria Math" w:hAnsi="Cambria Math" w:cs="Times New Roman"/>
          </w:rPr>
          <m:t>F(t)</m:t>
        </m:r>
      </m:oMath>
      <w:r w:rsidR="001162D1">
        <w:rPr>
          <w:rFonts w:ascii="Times New Roman" w:eastAsiaTheme="minorEastAsia" w:hAnsi="Times New Roman" w:cs="Times New Roman"/>
        </w:rPr>
        <w:t xml:space="preserve"> </w:t>
      </w:r>
      <w:r w:rsidRPr="00C94105">
        <w:rPr>
          <w:rFonts w:ascii="Times New Roman" w:hAnsi="Times New Roman" w:cs="Times New Roman"/>
        </w:rPr>
        <w:t xml:space="preserve">is increasing in </w:t>
      </w:r>
      <m:oMath>
        <m:r>
          <w:rPr>
            <w:rFonts w:ascii="Cambria Math" w:hAnsi="Cambria Math" w:cs="Times New Roman"/>
          </w:rPr>
          <m:t>X(t)</m:t>
        </m:r>
      </m:oMath>
      <w:r w:rsidR="001162D1">
        <w:rPr>
          <w:rFonts w:ascii="Times New Roman" w:eastAsiaTheme="minorEastAsia" w:hAnsi="Times New Roman" w:cs="Times New Roman"/>
        </w:rPr>
        <w:t xml:space="preserve">, </w:t>
      </w:r>
      <w:r w:rsidRPr="00C94105">
        <w:rPr>
          <w:rFonts w:ascii="Times New Roman" w:hAnsi="Times New Roman" w:cs="Times New Roman"/>
        </w:rPr>
        <w:t xml:space="preserve">favorable affordability and awareness paths accelerate adoption toward the ceiling </w:t>
      </w:r>
      <w:r w:rsidRPr="00C94105">
        <w:rPr>
          <w:rFonts w:ascii="Times New Roman" w:hAnsi="Times New Roman" w:cs="Times New Roman"/>
          <w:i/>
          <w:iCs/>
        </w:rPr>
        <w:t>m</w:t>
      </w:r>
      <w:r w:rsidRPr="00C94105">
        <w:rPr>
          <w:rFonts w:ascii="Times New Roman" w:hAnsi="Times New Roman" w:cs="Times New Roman"/>
          <w:vertAlign w:val="subscript"/>
        </w:rPr>
        <w:t>t</w:t>
      </w:r>
      <w:r w:rsidRPr="00C94105">
        <w:rPr>
          <w:rFonts w:ascii="Times New Roman" w:hAnsi="Times New Roman" w:cs="Times New Roman"/>
        </w:rPr>
        <w:t xml:space="preserve"> without changing the ceiling itself, consistent with the interpretation in the main text.</w:t>
      </w:r>
    </w:p>
    <w:p w14:paraId="3C8022FD" w14:textId="5CA5D338" w:rsidR="00C94105" w:rsidRPr="00C94105" w:rsidRDefault="00C94105" w:rsidP="00293E36">
      <w:pPr>
        <w:pStyle w:val="Heading1"/>
        <w:numPr>
          <w:ilvl w:val="1"/>
          <w:numId w:val="8"/>
        </w:numPr>
        <w:spacing w:line="480" w:lineRule="auto"/>
        <w:rPr>
          <w:rFonts w:ascii="Times New Roman" w:hAnsi="Times New Roman" w:cs="Times New Roman"/>
          <w:b/>
          <w:bCs/>
          <w:color w:val="auto"/>
          <w:sz w:val="24"/>
          <w:szCs w:val="24"/>
        </w:rPr>
      </w:pPr>
      <w:bookmarkStart w:id="8" w:name="_Toc237678757"/>
      <w:r w:rsidRPr="00C94105">
        <w:rPr>
          <w:rFonts w:ascii="Times New Roman" w:hAnsi="Times New Roman" w:cs="Times New Roman"/>
          <w:b/>
          <w:bCs/>
          <w:color w:val="auto"/>
          <w:sz w:val="24"/>
          <w:szCs w:val="24"/>
        </w:rPr>
        <w:t xml:space="preserve">Construction of the </w:t>
      </w:r>
      <w:r w:rsidR="003B6159">
        <w:rPr>
          <w:rFonts w:ascii="Times New Roman" w:hAnsi="Times New Roman" w:cs="Times New Roman"/>
          <w:b/>
          <w:bCs/>
          <w:color w:val="auto"/>
          <w:sz w:val="24"/>
          <w:szCs w:val="24"/>
        </w:rPr>
        <w:t>M</w:t>
      </w:r>
      <w:r w:rsidRPr="00C94105">
        <w:rPr>
          <w:rFonts w:ascii="Times New Roman" w:hAnsi="Times New Roman" w:cs="Times New Roman"/>
          <w:b/>
          <w:bCs/>
          <w:color w:val="auto"/>
          <w:sz w:val="24"/>
          <w:szCs w:val="24"/>
        </w:rPr>
        <w:t xml:space="preserve">arket </w:t>
      </w:r>
      <w:r w:rsidR="003B6159">
        <w:rPr>
          <w:rFonts w:ascii="Times New Roman" w:hAnsi="Times New Roman" w:cs="Times New Roman"/>
          <w:b/>
          <w:bCs/>
          <w:color w:val="auto"/>
          <w:sz w:val="24"/>
          <w:szCs w:val="24"/>
        </w:rPr>
        <w:t>P</w:t>
      </w:r>
      <w:r w:rsidRPr="00C94105">
        <w:rPr>
          <w:rFonts w:ascii="Times New Roman" w:hAnsi="Times New Roman" w:cs="Times New Roman"/>
          <w:b/>
          <w:bCs/>
          <w:color w:val="auto"/>
          <w:sz w:val="24"/>
          <w:szCs w:val="24"/>
        </w:rPr>
        <w:t xml:space="preserve">otential and </w:t>
      </w:r>
      <w:r w:rsidR="003B6159">
        <w:rPr>
          <w:rFonts w:ascii="Times New Roman" w:hAnsi="Times New Roman" w:cs="Times New Roman"/>
          <w:b/>
          <w:bCs/>
          <w:color w:val="auto"/>
          <w:sz w:val="24"/>
          <w:szCs w:val="24"/>
        </w:rPr>
        <w:t>M</w:t>
      </w:r>
      <w:r w:rsidRPr="00C94105">
        <w:rPr>
          <w:rFonts w:ascii="Times New Roman" w:hAnsi="Times New Roman" w:cs="Times New Roman"/>
          <w:b/>
          <w:bCs/>
          <w:color w:val="auto"/>
          <w:sz w:val="24"/>
          <w:szCs w:val="24"/>
        </w:rPr>
        <w:t xml:space="preserve">arket-effort </w:t>
      </w:r>
      <w:r w:rsidR="003B6159">
        <w:rPr>
          <w:rFonts w:ascii="Times New Roman" w:hAnsi="Times New Roman" w:cs="Times New Roman"/>
          <w:b/>
          <w:bCs/>
          <w:color w:val="auto"/>
          <w:sz w:val="24"/>
          <w:szCs w:val="24"/>
        </w:rPr>
        <w:t>V</w:t>
      </w:r>
      <w:r w:rsidRPr="00C94105">
        <w:rPr>
          <w:rFonts w:ascii="Times New Roman" w:hAnsi="Times New Roman" w:cs="Times New Roman"/>
          <w:b/>
          <w:bCs/>
          <w:color w:val="auto"/>
          <w:sz w:val="24"/>
          <w:szCs w:val="24"/>
        </w:rPr>
        <w:t>ariables</w:t>
      </w:r>
      <w:bookmarkEnd w:id="8"/>
    </w:p>
    <w:p w14:paraId="1ACB26BE" w14:textId="2B36C880"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Market potential </w:t>
      </w:r>
      <w:r w:rsidRPr="00C94105">
        <w:rPr>
          <w:rFonts w:ascii="Times New Roman" w:hAnsi="Times New Roman" w:cs="Times New Roman"/>
          <w:i/>
          <w:iCs/>
        </w:rPr>
        <w:t>m</w:t>
      </w:r>
      <w:r w:rsidRPr="00C94105">
        <w:rPr>
          <w:rFonts w:ascii="Times New Roman" w:hAnsi="Times New Roman" w:cs="Times New Roman"/>
          <w:vertAlign w:val="subscript"/>
        </w:rPr>
        <w:t>t</w:t>
      </w:r>
      <w:r w:rsidRPr="00C94105">
        <w:rPr>
          <w:rFonts w:ascii="Times New Roman" w:hAnsi="Times New Roman" w:cs="Times New Roman"/>
        </w:rPr>
        <w:t xml:space="preserve">. The adoption ceiling is operationalized as the share of the adult population that is both </w:t>
      </w:r>
      <w:r w:rsidR="00407DA0" w:rsidRPr="00C94105">
        <w:rPr>
          <w:rFonts w:ascii="Times New Roman" w:hAnsi="Times New Roman" w:cs="Times New Roman"/>
        </w:rPr>
        <w:t xml:space="preserve">realistically </w:t>
      </w:r>
      <w:r w:rsidRPr="00C94105">
        <w:rPr>
          <w:rFonts w:ascii="Times New Roman" w:hAnsi="Times New Roman" w:cs="Times New Roman"/>
        </w:rPr>
        <w:t xml:space="preserve">eligible for and </w:t>
      </w:r>
      <w:r w:rsidR="00407DA0" w:rsidRPr="00C94105">
        <w:rPr>
          <w:rFonts w:ascii="Times New Roman" w:hAnsi="Times New Roman" w:cs="Times New Roman"/>
        </w:rPr>
        <w:t>regulatorily</w:t>
      </w:r>
      <w:r w:rsidRPr="00C94105">
        <w:rPr>
          <w:rFonts w:ascii="Times New Roman" w:hAnsi="Times New Roman" w:cs="Times New Roman"/>
        </w:rPr>
        <w:t xml:space="preserve"> able to access GLP-1 weight-management treatment in each country (United States, Canada, Mexico):</w:t>
      </w:r>
    </w:p>
    <w:p w14:paraId="7E9A10E6" w14:textId="15EC2E51" w:rsidR="00C94105" w:rsidRPr="00C94105" w:rsidRDefault="00C94105" w:rsidP="00C94105">
      <w:pPr>
        <w:tabs>
          <w:tab w:val="center" w:pos="4680"/>
          <w:tab w:val="right" w:pos="9360"/>
        </w:tabs>
        <w:spacing w:before="120" w:after="120" w:line="360" w:lineRule="auto"/>
        <w:rPr>
          <w:rFonts w:ascii="Times New Roman" w:hAnsi="Times New Roman" w:cs="Times New Roman"/>
        </w:rPr>
      </w:pPr>
      <w:r w:rsidRPr="00C94105">
        <w:rPr>
          <w:rFonts w:ascii="Times New Roman" w:hAnsi="Times New Roman" w:cs="Times New Roman"/>
        </w:rPr>
        <w:tab/>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t</m:t>
            </m:r>
          </m:sub>
        </m:sSub>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C94105">
        <w:rPr>
          <w:rFonts w:ascii="Times New Roman" w:hAnsi="Times New Roman" w:cs="Times New Roman"/>
        </w:rPr>
        <w:tab/>
        <w:t>(13)</w:t>
      </w:r>
    </w:p>
    <w:p w14:paraId="77874B80" w14:textId="27815897" w:rsidR="00C94105" w:rsidRDefault="00C94105" w:rsidP="00C94105">
      <w:pPr>
        <w:spacing w:line="480" w:lineRule="auto"/>
        <w:rPr>
          <w:rFonts w:ascii="Times New Roman" w:hAnsi="Times New Roman" w:cs="Times New Roman"/>
        </w:rPr>
      </w:pPr>
      <w:r w:rsidRPr="00C94105">
        <w:rPr>
          <w:rFonts w:ascii="Times New Roman" w:hAnsi="Times New Roman" w:cs="Times New Roman"/>
        </w:rPr>
        <w:t xml:space="preserve">where </w:t>
      </w:r>
      <w:r w:rsidRPr="00C94105">
        <w:rPr>
          <w:rFonts w:ascii="Times New Roman" w:hAnsi="Times New Roman" w:cs="Times New Roman"/>
          <w:i/>
          <w:iCs/>
        </w:rPr>
        <w:t>e</w:t>
      </w:r>
      <w:r w:rsidRPr="00C94105">
        <w:rPr>
          <w:rFonts w:ascii="Times New Roman" w:hAnsi="Times New Roman" w:cs="Times New Roman"/>
          <w:vertAlign w:val="subscript"/>
        </w:rPr>
        <w:t>t</w:t>
      </w:r>
      <w:r w:rsidRPr="00C94105">
        <w:rPr>
          <w:rFonts w:ascii="Times New Roman" w:hAnsi="Times New Roman" w:cs="Times New Roman"/>
        </w:rPr>
        <w:t xml:space="preserve"> is the </w:t>
      </w:r>
      <w:r w:rsidR="00407DA0" w:rsidRPr="00151A90">
        <w:rPr>
          <w:rFonts w:ascii="Times New Roman" w:hAnsi="Times New Roman" w:cs="Times New Roman"/>
        </w:rPr>
        <w:t>realistically</w:t>
      </w:r>
      <w:r w:rsidRPr="00151A90">
        <w:rPr>
          <w:rFonts w:ascii="Times New Roman" w:hAnsi="Times New Roman" w:cs="Times New Roman"/>
        </w:rPr>
        <w:t>-eligibility share</w:t>
      </w:r>
      <w:r w:rsidR="00E02969" w:rsidRPr="00151A90">
        <w:rPr>
          <w:rFonts w:ascii="Times New Roman" w:hAnsi="Times New Roman" w:cs="Times New Roman"/>
        </w:rPr>
        <w:t xml:space="preserve"> either obesity or overweight</w:t>
      </w:r>
      <w:r w:rsidRPr="00151A90">
        <w:rPr>
          <w:rFonts w:ascii="Times New Roman" w:hAnsi="Times New Roman" w:cs="Times New Roman"/>
        </w:rPr>
        <w:t xml:space="preserve">, and </w:t>
      </w:r>
      <w:r w:rsidRPr="00151A90">
        <w:rPr>
          <w:rFonts w:ascii="Times New Roman" w:hAnsi="Times New Roman" w:cs="Times New Roman"/>
          <w:i/>
          <w:iCs/>
        </w:rPr>
        <w:t>a</w:t>
      </w:r>
      <w:r w:rsidRPr="00151A90">
        <w:rPr>
          <w:rFonts w:ascii="Times New Roman" w:hAnsi="Times New Roman" w:cs="Times New Roman"/>
          <w:vertAlign w:val="subscript"/>
        </w:rPr>
        <w:t>t</w:t>
      </w:r>
      <w:r w:rsidRPr="00151A90">
        <w:rPr>
          <w:rFonts w:ascii="Times New Roman" w:hAnsi="Times New Roman" w:cs="Times New Roman"/>
        </w:rPr>
        <w:t xml:space="preserve"> is the practical-access share. </w:t>
      </w:r>
      <w:r w:rsidR="00407DA0" w:rsidRPr="00151A90">
        <w:rPr>
          <w:rFonts w:ascii="Times New Roman" w:hAnsi="Times New Roman" w:cs="Times New Roman"/>
        </w:rPr>
        <w:t>E</w:t>
      </w:r>
      <w:r w:rsidRPr="00151A90">
        <w:rPr>
          <w:rFonts w:ascii="Times New Roman" w:hAnsi="Times New Roman" w:cs="Times New Roman"/>
        </w:rPr>
        <w:t xml:space="preserve">ligibility </w:t>
      </w:r>
      <w:r w:rsidRPr="00151A90">
        <w:rPr>
          <w:rFonts w:ascii="Times New Roman" w:hAnsi="Times New Roman" w:cs="Times New Roman"/>
          <w:i/>
          <w:iCs/>
        </w:rPr>
        <w:t>e</w:t>
      </w:r>
      <w:r w:rsidRPr="00151A90">
        <w:rPr>
          <w:rFonts w:ascii="Times New Roman" w:hAnsi="Times New Roman" w:cs="Times New Roman"/>
          <w:vertAlign w:val="subscript"/>
        </w:rPr>
        <w:t>t</w:t>
      </w:r>
      <w:r w:rsidRPr="00151A90">
        <w:rPr>
          <w:rFonts w:ascii="Times New Roman" w:hAnsi="Times New Roman" w:cs="Times New Roman"/>
        </w:rPr>
        <w:t xml:space="preserve"> is determined by chronic weight management (</w:t>
      </w:r>
      <w:r w:rsidR="007561F1" w:rsidRPr="00151A90">
        <w:rPr>
          <w:rFonts w:ascii="Times New Roman" w:hAnsi="Times New Roman" w:cs="Times New Roman"/>
        </w:rPr>
        <w:t>Using the standard adult BMI definitions, obesity is defined as BMI ≥ 30, while overweight is defined here as BMI ≥ 25, meaning the overweight column includes adults with obesity</w:t>
      </w:r>
      <w:r w:rsidRPr="00151A90">
        <w:rPr>
          <w:rFonts w:ascii="Times New Roman" w:hAnsi="Times New Roman" w:cs="Times New Roman"/>
        </w:rPr>
        <w:t xml:space="preserve">) and changes as step increases when a regulator (FDA, Health Canada, COFEPRIS) approves a new GLP-1 medicine or a new indication. Practical </w:t>
      </w:r>
      <w:proofErr w:type="gramStart"/>
      <w:r w:rsidRPr="00151A90">
        <w:rPr>
          <w:rFonts w:ascii="Times New Roman" w:hAnsi="Times New Roman" w:cs="Times New Roman"/>
        </w:rPr>
        <w:t xml:space="preserve">access </w:t>
      </w:r>
      <w:r w:rsidRPr="00151A90">
        <w:rPr>
          <w:rFonts w:ascii="Times New Roman" w:hAnsi="Times New Roman" w:cs="Times New Roman"/>
          <w:i/>
          <w:iCs/>
        </w:rPr>
        <w:t>a</w:t>
      </w:r>
      <w:r w:rsidRPr="00151A90">
        <w:rPr>
          <w:rFonts w:ascii="Times New Roman" w:hAnsi="Times New Roman" w:cs="Times New Roman"/>
          <w:vertAlign w:val="subscript"/>
        </w:rPr>
        <w:t>t</w:t>
      </w:r>
      <w:proofErr w:type="gramEnd"/>
      <w:r w:rsidRPr="00151A90">
        <w:rPr>
          <w:rFonts w:ascii="Times New Roman" w:hAnsi="Times New Roman" w:cs="Times New Roman"/>
        </w:rPr>
        <w:t xml:space="preserve"> captures the fraction of eligible adults who could </w:t>
      </w:r>
      <w:r w:rsidR="00407DA0" w:rsidRPr="00151A90">
        <w:rPr>
          <w:rFonts w:ascii="Times New Roman" w:hAnsi="Times New Roman" w:cs="Times New Roman"/>
        </w:rPr>
        <w:t xml:space="preserve">regulatorily </w:t>
      </w:r>
      <w:r w:rsidRPr="00151A90">
        <w:rPr>
          <w:rFonts w:ascii="Times New Roman" w:hAnsi="Times New Roman" w:cs="Times New Roman"/>
        </w:rPr>
        <w:t>obtain treatment, reflecting insurance and public coverage decision</w:t>
      </w:r>
      <w:r w:rsidR="00407DA0" w:rsidRPr="00151A90">
        <w:rPr>
          <w:rFonts w:ascii="Times New Roman" w:hAnsi="Times New Roman" w:cs="Times New Roman"/>
        </w:rPr>
        <w:t>s</w:t>
      </w:r>
      <w:r w:rsidRPr="00151A90">
        <w:rPr>
          <w:rFonts w:ascii="Times New Roman" w:hAnsi="Times New Roman" w:cs="Times New Roman"/>
        </w:rPr>
        <w:t xml:space="preserve">. </w:t>
      </w:r>
      <w:r w:rsidRPr="00C94105">
        <w:rPr>
          <w:rFonts w:ascii="Times New Roman" w:hAnsi="Times New Roman" w:cs="Times New Roman"/>
        </w:rPr>
        <w:t xml:space="preserve">Major regulatory and coverage events therefore enter the model through </w:t>
      </w:r>
      <w:r w:rsidRPr="00C94105">
        <w:rPr>
          <w:rFonts w:ascii="Times New Roman" w:hAnsi="Times New Roman" w:cs="Times New Roman"/>
          <w:i/>
          <w:iCs/>
        </w:rPr>
        <w:t>m</w:t>
      </w:r>
      <w:r w:rsidRPr="00C94105">
        <w:rPr>
          <w:rFonts w:ascii="Times New Roman" w:hAnsi="Times New Roman" w:cs="Times New Roman"/>
          <w:vertAlign w:val="subscript"/>
        </w:rPr>
        <w:t>t</w:t>
      </w:r>
      <w:r w:rsidRPr="00C94105">
        <w:rPr>
          <w:rFonts w:ascii="Times New Roman" w:hAnsi="Times New Roman" w:cs="Times New Roman"/>
        </w:rPr>
        <w:t xml:space="preserve"> (changing the ceiling), while gradual changes in cost and attention enter through the market-effort variables</w:t>
      </w:r>
      <w:r w:rsidR="00407DA0">
        <w:rPr>
          <w:rFonts w:ascii="Times New Roman" w:hAnsi="Times New Roman" w:cs="Times New Roman"/>
        </w:rPr>
        <w:t xml:space="preserve"> </w:t>
      </w:r>
      <m:oMath>
        <m:r>
          <w:rPr>
            <w:rFonts w:ascii="Cambria Math" w:eastAsiaTheme="minorEastAsia" w:hAnsi="Cambria Math" w:cs="Times New Roman"/>
          </w:rPr>
          <m:t>Z</m:t>
        </m:r>
        <m:d>
          <m:dPr>
            <m:ctrlPr>
              <w:rPr>
                <w:rFonts w:ascii="Cambria Math" w:eastAsiaTheme="minorEastAsia" w:hAnsi="Cambria Math" w:cs="Times New Roman"/>
                <w:i/>
              </w:rPr>
            </m:ctrlPr>
          </m:dPr>
          <m:e>
            <m:r>
              <w:rPr>
                <w:rFonts w:ascii="Cambria Math" w:eastAsiaTheme="minorEastAsia" w:hAnsi="Cambria Math" w:cs="Times New Roman"/>
              </w:rPr>
              <m:t>t</m:t>
            </m:r>
          </m:e>
        </m:d>
      </m:oMath>
      <w:r w:rsidRPr="00C94105">
        <w:rPr>
          <w:rFonts w:ascii="Times New Roman" w:hAnsi="Times New Roman" w:cs="Times New Roman"/>
        </w:rPr>
        <w:t xml:space="preserve"> (changing the speed of diffusion).</w:t>
      </w:r>
    </w:p>
    <w:p w14:paraId="7FF2FDF2" w14:textId="61D07C8A" w:rsidR="007561F1" w:rsidRPr="004E4521" w:rsidRDefault="007561F1" w:rsidP="00E62C38">
      <w:pPr>
        <w:spacing w:line="480" w:lineRule="auto"/>
        <w:ind w:firstLine="720"/>
        <w:rPr>
          <w:rFonts w:ascii="Times New Roman" w:hAnsi="Times New Roman" w:cs="Times New Roman"/>
        </w:rPr>
      </w:pPr>
      <w:r w:rsidRPr="004E4521">
        <w:rPr>
          <w:rFonts w:ascii="Times New Roman" w:hAnsi="Times New Roman" w:cs="Times New Roman"/>
        </w:rPr>
        <w:t xml:space="preserve">The comparable historical </w:t>
      </w:r>
      <w:r w:rsidR="004E4521">
        <w:rPr>
          <w:rFonts w:ascii="Times New Roman" w:hAnsi="Times New Roman" w:cs="Times New Roman"/>
        </w:rPr>
        <w:t xml:space="preserve">data as Table </w:t>
      </w:r>
      <w:r w:rsidR="005A0C53">
        <w:rPr>
          <w:rFonts w:ascii="Times New Roman" w:hAnsi="Times New Roman" w:cs="Times New Roman"/>
        </w:rPr>
        <w:t>S4</w:t>
      </w:r>
      <w:r w:rsidR="004E4521">
        <w:rPr>
          <w:rFonts w:ascii="Times New Roman" w:hAnsi="Times New Roman" w:cs="Times New Roman"/>
        </w:rPr>
        <w:t xml:space="preserve"> shows for </w:t>
      </w:r>
      <w:r w:rsidRPr="004E4521">
        <w:rPr>
          <w:rFonts w:ascii="Times New Roman" w:hAnsi="Times New Roman" w:cs="Times New Roman"/>
        </w:rPr>
        <w:t xml:space="preserve">obesity values are based on </w:t>
      </w:r>
      <w:r w:rsidR="003D71C9" w:rsidRPr="003D71C9">
        <w:rPr>
          <w:rFonts w:ascii="Times New Roman" w:hAnsi="Times New Roman" w:cs="Times New Roman"/>
        </w:rPr>
        <w:t xml:space="preserve">World Health Organization / Non-Communicable Disease Risk Factor Collaboration </w:t>
      </w:r>
      <w:r w:rsidR="00526B64">
        <w:rPr>
          <w:rFonts w:ascii="Times New Roman" w:hAnsi="Times New Roman" w:cs="Times New Roman"/>
        </w:rPr>
        <w:t>(</w:t>
      </w:r>
      <w:r w:rsidRPr="004E4521">
        <w:rPr>
          <w:rFonts w:ascii="Times New Roman" w:hAnsi="Times New Roman" w:cs="Times New Roman"/>
        </w:rPr>
        <w:t>WHO/NCD-</w:t>
      </w:r>
      <w:proofErr w:type="spellStart"/>
      <w:r w:rsidRPr="004E4521">
        <w:rPr>
          <w:rFonts w:ascii="Times New Roman" w:hAnsi="Times New Roman" w:cs="Times New Roman"/>
        </w:rPr>
        <w:t>RisC</w:t>
      </w:r>
      <w:proofErr w:type="spellEnd"/>
      <w:r w:rsidR="00526B64">
        <w:rPr>
          <w:rFonts w:ascii="Times New Roman" w:hAnsi="Times New Roman" w:cs="Times New Roman"/>
        </w:rPr>
        <w:t>)</w:t>
      </w:r>
      <w:r w:rsidRPr="004E4521">
        <w:rPr>
          <w:rFonts w:ascii="Times New Roman" w:hAnsi="Times New Roman" w:cs="Times New Roman"/>
        </w:rPr>
        <w:t xml:space="preserve"> age-standardized adult estimates; the overweight values are based on WHO/World Bank/Our World in Data definitions and World Bank/</w:t>
      </w:r>
      <w:r w:rsidR="004335E2" w:rsidRPr="004335E2">
        <w:rPr>
          <w:rFonts w:ascii="Times New Roman" w:hAnsi="Times New Roman" w:cs="Times New Roman"/>
        </w:rPr>
        <w:t xml:space="preserve">Census and Economic Information Center </w:t>
      </w:r>
      <w:r w:rsidR="004335E2">
        <w:rPr>
          <w:rFonts w:ascii="Times New Roman" w:hAnsi="Times New Roman" w:cs="Times New Roman"/>
        </w:rPr>
        <w:t>(</w:t>
      </w:r>
      <w:r w:rsidRPr="004E4521">
        <w:rPr>
          <w:rFonts w:ascii="Times New Roman" w:hAnsi="Times New Roman" w:cs="Times New Roman"/>
        </w:rPr>
        <w:t>CEIC</w:t>
      </w:r>
      <w:r w:rsidR="004335E2">
        <w:rPr>
          <w:rFonts w:ascii="Times New Roman" w:hAnsi="Times New Roman" w:cs="Times New Roman"/>
        </w:rPr>
        <w:t>)</w:t>
      </w:r>
      <w:r w:rsidRPr="004E4521">
        <w:rPr>
          <w:rFonts w:ascii="Times New Roman" w:hAnsi="Times New Roman" w:cs="Times New Roman"/>
        </w:rPr>
        <w:t>-reported 2022 levels, with 2023–2030 treated as trend-based projections rather than observed values. WHO defines adult overweight as BMI ≥ 25 and reports that the indicator is based on measured height and weight and NCD-</w:t>
      </w:r>
      <w:proofErr w:type="spellStart"/>
      <w:r w:rsidRPr="004E4521">
        <w:rPr>
          <w:rFonts w:ascii="Times New Roman" w:hAnsi="Times New Roman" w:cs="Times New Roman"/>
        </w:rPr>
        <w:t>RisC</w:t>
      </w:r>
      <w:proofErr w:type="spellEnd"/>
      <w:r w:rsidRPr="004E4521">
        <w:rPr>
          <w:rFonts w:ascii="Times New Roman" w:hAnsi="Times New Roman" w:cs="Times New Roman"/>
        </w:rPr>
        <w:t>/Lancet 2024 estimation methods</w:t>
      </w:r>
      <w:r w:rsidR="001F4D24" w:rsidRPr="004E4521">
        <w:rPr>
          <w:rFonts w:ascii="Times New Roman" w:hAnsi="Times New Roman" w:cs="Times New Roman"/>
        </w:rPr>
        <w:t xml:space="preserve"> </w:t>
      </w:r>
      <w:r w:rsidR="001F4D24" w:rsidRPr="004E4521">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{"citationID":"elorLjMd","properties":{"unsorted":false,"formattedCitation":"\\super 11\\nosupersub{}","plainCitation":"11","noteIndex":0},"citationItems":[{"id":460,"uris":["http://zotero.org/users/12629452/items/7LDJLACD"],"itemData":{"id":460,"type":"webpage","abstract":"Overweight is defined here as a body mass index (BMI) above 25. BMI is a person's weight in kilograms divided by the square of their height in meters.","container-title":"Our World in Data","language":"en","publisher":"World Health Organization","title":"Share of adults who are overweight or obese – WHO","URL":"https://ourworldindata.org/grapher/share-of-adults-who-are-overweight","author":[{"family":"World Health Organization","given":"World Health Organization"}],"accessed":{"date-parts":[["2026",6,16]]},"issued":{"date-parts":[["2026"]]}}}],"schema":"https://github.com/citation-style-language/schema/raw/master/csl-citation.json"} </w:instrText>
      </w:r>
      <w:r w:rsidR="001F4D24" w:rsidRPr="004E4521">
        <w:rPr>
          <w:rFonts w:ascii="Times New Roman" w:hAnsi="Times New Roman" w:cs="Times New Roman"/>
        </w:rPr>
        <w:fldChar w:fldCharType="separate"/>
      </w:r>
      <w:r w:rsidR="005B14DE" w:rsidRPr="005B14DE">
        <w:rPr>
          <w:rFonts w:ascii="Times New Roman" w:hAnsi="Times New Roman" w:cs="Times New Roman"/>
          <w:kern w:val="0"/>
          <w:vertAlign w:val="superscript"/>
        </w:rPr>
        <w:t>11</w:t>
      </w:r>
      <w:r w:rsidR="001F4D24" w:rsidRPr="004E4521">
        <w:rPr>
          <w:rFonts w:ascii="Times New Roman" w:hAnsi="Times New Roman" w:cs="Times New Roman"/>
        </w:rPr>
        <w:fldChar w:fldCharType="end"/>
      </w:r>
      <w:r w:rsidRPr="004E4521">
        <w:rPr>
          <w:rFonts w:ascii="Times New Roman" w:hAnsi="Times New Roman" w:cs="Times New Roman"/>
        </w:rPr>
        <w:t>. WHO defines adult obesity as BMI ≥ 30 and reports it as an age-standardized adult prevalence indicator</w:t>
      </w:r>
      <w:r w:rsidR="001F4D24" w:rsidRPr="004E4521">
        <w:rPr>
          <w:rFonts w:ascii="Times New Roman" w:hAnsi="Times New Roman" w:cs="Times New Roman"/>
        </w:rPr>
        <w:t xml:space="preserve"> </w:t>
      </w:r>
      <w:r w:rsidR="001F4D24" w:rsidRPr="004E4521">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{"citationID":"OY4n7ZtK","properties":{"unsorted":false,"formattedCitation":"\\super 12\\nosupersub{}","plainCitation":"12","noteIndex":0},"citationItems":[{"id":462,"uris":["http://zotero.org/users/12629452/items/YCBUDYQL"],"itemData":{"id":462,"type":"webpage","container-title":"WHO Data","language":"en","publisher":"World Health Organization","title":"Age-standardized prevalence of obesity among adults (18+ years)","URL":"https://data.who.int/indicators/i/C6262EC/BEFA58B","author":[{"family":"World Health Organization","given":"World Health Organization"}],"accessed":{"date-parts":[["2026",6,16]]},"issued":{"date-parts":[["2026"]]}}}],"schema":"https://github.com/citation-style-language/schema/raw/master/csl-citation.json"} </w:instrText>
      </w:r>
      <w:r w:rsidR="001F4D24" w:rsidRPr="004E4521">
        <w:rPr>
          <w:rFonts w:ascii="Times New Roman" w:hAnsi="Times New Roman" w:cs="Times New Roman"/>
        </w:rPr>
        <w:fldChar w:fldCharType="separate"/>
      </w:r>
      <w:r w:rsidR="005B14DE" w:rsidRPr="005B14DE">
        <w:rPr>
          <w:rFonts w:ascii="Times New Roman" w:hAnsi="Times New Roman" w:cs="Times New Roman"/>
          <w:kern w:val="0"/>
          <w:vertAlign w:val="superscript"/>
        </w:rPr>
        <w:t>12</w:t>
      </w:r>
      <w:r w:rsidR="001F4D24" w:rsidRPr="004E4521">
        <w:rPr>
          <w:rFonts w:ascii="Times New Roman" w:hAnsi="Times New Roman" w:cs="Times New Roman"/>
        </w:rPr>
        <w:fldChar w:fldCharType="end"/>
      </w:r>
      <w:r w:rsidRPr="004E4521">
        <w:rPr>
          <w:rFonts w:ascii="Times New Roman" w:hAnsi="Times New Roman" w:cs="Times New Roman"/>
        </w:rPr>
        <w:t>. NCD-</w:t>
      </w:r>
      <w:proofErr w:type="spellStart"/>
      <w:r w:rsidRPr="004E4521">
        <w:rPr>
          <w:rFonts w:ascii="Times New Roman" w:hAnsi="Times New Roman" w:cs="Times New Roman"/>
        </w:rPr>
        <w:t>RisC</w:t>
      </w:r>
      <w:proofErr w:type="spellEnd"/>
      <w:r w:rsidRPr="004E4521">
        <w:rPr>
          <w:rFonts w:ascii="Times New Roman" w:hAnsi="Times New Roman" w:cs="Times New Roman"/>
        </w:rPr>
        <w:t xml:space="preserve"> provides the adult country-level BMI estimates used for 1990–2022, while the World Obesity Atlas 2025 describes national adult overweight/obesity projections from 2000 to 2030</w:t>
      </w:r>
      <w:r w:rsidR="00133A56" w:rsidRPr="004E4521">
        <w:rPr>
          <w:rFonts w:ascii="Times New Roman" w:hAnsi="Times New Roman" w:cs="Times New Roman"/>
        </w:rPr>
        <w:t xml:space="preserve"> </w:t>
      </w:r>
      <w:r w:rsidR="00133A56" w:rsidRPr="004E4521">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{"citationID":"0FBTJfsa","properties":{"unsorted":false,"formattedCitation":"\\super 13\\nosupersub{}","plainCitation":"13","noteIndex":0},"citationItems":[{"id":468,"uris":["http://zotero.org/users/12629452/items/LUZULHDN"],"itemData":{"id":468,"type":"article-journal","abstract":"BACKGROUND: Underweight and obesity are associated with adverse health outcomes throughout the life course. We estimated the individual and combined prevalence of underweight or thinness and obesity, and their changes, from 1990 to 2022 for adults and school-aged children and adolescents in 200 countries and territories.\nMETHODS: We used data from 3663 population-based studies with 222 million participants that measured height and weight in representative samples of the general population. We used a Bayesian hierarchical model to estimate trends in the prevalence of different BMI categories, separately for adults (age ≥20 years) and school-aged children and adolescents (age 5-19 years), from 1990 to 2022 for 200 countries and territories. For adults, we report the individual and combined prevalence of underweight (BMI &lt;18·5 kg/m2) and obesity (BMI ≥30 kg/m2). For school-aged children and adolescents, we report thinness (BMI &lt;2 SD below the median of the WHO growth reference) and obesity (BMI &gt;2 SD above the median).\nFINDINGS: From 1990 to 2022, the combined prevalence of underweight and obesity in adults decreased in 11 countries (6%) for women and 17 (9%) for men with a posterior probability of at least 0·80 that the observed changes were true decreases. The combined prevalence increased in 162 countries (81%) for women and 140 countries (70%) for men with a posterior probability of at least 0·80. In 2022, the combined prevalence of underweight and obesity was highest in island nations in the Caribbean and Polynesia and Micronesia, and countries in the Middle East and north Africa. Obesity prevalence was higher than underweight with posterior probability of at least 0·80 in 177 countries (89%) for women and 145 (73%) for men in 2022, whereas the converse was true in 16 countries (8%) for women, and 39 (20%) for men. From 1990 to 2022, the combined prevalence of thinness and obesity decreased among girls in five countries (3%) and among boys in 15 countries (8%) with a posterior probability of at least 0·80, and increased among girls in 140 countries (70%) and boys in 137 countries (69%) with a posterior probability of at least 0·80. The countries with highest combined prevalence of thinness and obesity in school-aged children and adolescents in 2022 were in Polynesia and Micronesia and the Caribbean for both sexes, and Chile and Qatar for boys. Combined prevalence was also high in some countries in south Asia, such as India and Pakistan, where thinness remained prevalent despite having declined. In 2022, obesity in school-aged children and adolescents was more prevalent than thinness with a posterior probability of at least 0·80 among girls in 133 countries (67%) and boys in 125 countries (63%), whereas the converse was true in 35 countries (18%) and 42 countries (21%), respectively. In almost all countries for both adults and school-aged children and adolescents, the increases in double burden were driven by increases in obesity, and decreases in double burden by declining underweight or thinness.\nINTERPRETATION: The combined burden of underweight and obesity has increased in most countries, driven by an increase in obesity, while underweight and thinness remain prevalent in south Asia and parts of Africa. A healthy nutrition transition that enhances access to nutritious foods is needed to address the remaining burden of underweight while curbing and reversing the increase in obesity.\nFUNDING: UK Medical Research Council, UK Research and Innovation (Research England), UK Research and Innovation (Innovate UK), and European Union.","container-title":"Lancet","DOI":"10.1016/S0140-6736(23)02750-2","ISSN":"1474-547X","issue":"10431","journalAbbreviation":"Lancet","language":"eng","page":"1027-1050","PMID":"38432237","PMCID":"PMC7615769","publisher-place":"London, England","source":"PubMed","title":"Worldwide trends in underweight and obesity from 1990 to 2022: a pooled analysis of 3663 population-representative studies with 222 million children, adolescents, and adults","title-short":"Worldwide trends in underweight and obesity from 1990 to 2022","volume":"403","author":[{"literal":"NCD Risk Factor Collaboration (NCD-RisC)"}],"issued":{"date-parts":[["2024",3,16]]}}}],"schema":"https://github.com/citation-style-language/schema/raw/master/csl-citation.json"} </w:instrText>
      </w:r>
      <w:r w:rsidR="00133A56" w:rsidRPr="004E4521">
        <w:rPr>
          <w:rFonts w:ascii="Times New Roman" w:hAnsi="Times New Roman" w:cs="Times New Roman"/>
        </w:rPr>
        <w:fldChar w:fldCharType="separate"/>
      </w:r>
      <w:r w:rsidR="005B14DE" w:rsidRPr="005B14DE">
        <w:rPr>
          <w:rFonts w:ascii="Times New Roman" w:hAnsi="Times New Roman" w:cs="Times New Roman"/>
          <w:kern w:val="0"/>
          <w:vertAlign w:val="superscript"/>
        </w:rPr>
        <w:t>13</w:t>
      </w:r>
      <w:r w:rsidR="00133A56" w:rsidRPr="004E4521">
        <w:rPr>
          <w:rFonts w:ascii="Times New Roman" w:hAnsi="Times New Roman" w:cs="Times New Roman"/>
        </w:rPr>
        <w:fldChar w:fldCharType="end"/>
      </w:r>
      <w:r w:rsidR="00342EE0" w:rsidRPr="004E4521">
        <w:rPr>
          <w:rFonts w:ascii="Times New Roman" w:hAnsi="Times New Roman" w:cs="Times New Roman"/>
        </w:rPr>
        <w:t xml:space="preserve"> </w:t>
      </w:r>
      <w:r w:rsidR="00342EE0" w:rsidRPr="004E4521">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{"citationID":"c8EN980T","properties":{"unsorted":false,"formattedCitation":"\\super 14\\nosupersub{}","plainCitation":"14","noteIndex":0},"citationItems":[{"id":472,"uris":["http://zotero.org/users/12629452/items/CH4VAHS5"],"itemData":{"id":472,"type":"webpage","abstract":"The annual report released for World Obesity Day 2025, by the World Obesity Federation.","container-title":"World Obesity Federation","language":"en","title":"World Obesity Atlas 2025","URL":"https://www.worldobesity.org/resources/resource-library/world-obesity-atlas-2025","author":[{"family":"World Obesity Federation","given":"World Obesity Federation"}],"accessed":{"date-parts":[["2026",6,16]]},"issued":{"date-parts":[["2025",3,4]]}}}],"schema":"https://github.com/citation-style-language/schema/raw/master/csl-citation.json"} </w:instrText>
      </w:r>
      <w:r w:rsidR="00342EE0" w:rsidRPr="004E4521">
        <w:rPr>
          <w:rFonts w:ascii="Times New Roman" w:hAnsi="Times New Roman" w:cs="Times New Roman"/>
        </w:rPr>
        <w:fldChar w:fldCharType="separate"/>
      </w:r>
      <w:r w:rsidR="005B14DE" w:rsidRPr="005B14DE">
        <w:rPr>
          <w:rFonts w:ascii="Times New Roman" w:hAnsi="Times New Roman" w:cs="Times New Roman"/>
          <w:kern w:val="0"/>
          <w:vertAlign w:val="superscript"/>
        </w:rPr>
        <w:t>14</w:t>
      </w:r>
      <w:r w:rsidR="00342EE0" w:rsidRPr="004E4521">
        <w:rPr>
          <w:rFonts w:ascii="Times New Roman" w:hAnsi="Times New Roman" w:cs="Times New Roman"/>
        </w:rPr>
        <w:fldChar w:fldCharType="end"/>
      </w:r>
      <w:r w:rsidRPr="004E4521">
        <w:rPr>
          <w:rFonts w:ascii="Times New Roman" w:hAnsi="Times New Roman" w:cs="Times New Roman"/>
        </w:rPr>
        <w:t>. For overweight, CEIC reports U.S. adult overweight at 72.43% in 2022 and Mexico at 73.38% in 2022, while the World Bank Gender Data Portal reports Canada at 53.6% in 2022</w:t>
      </w:r>
      <w:r w:rsidR="00AE38F6" w:rsidRPr="004E4521">
        <w:rPr>
          <w:rFonts w:ascii="Times New Roman" w:hAnsi="Times New Roman" w:cs="Times New Roman"/>
        </w:rPr>
        <w:t xml:space="preserve"> </w:t>
      </w:r>
      <w:r w:rsidR="00AE38F6" w:rsidRPr="004E4521">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{"citationID":"RwcHlm7O","properties":{"unsorted":false,"formattedCitation":"\\super 15\\nosupersub{}","plainCitation":"15","noteIndex":0},"citationItems":[{"id":474,"uris":["http://zotero.org/users/12629452/items/7M82DUXZ"],"itemData":{"id":474,"type":"webpage","genre":"Economic Indicators","publisher":"CEIC Data","title":"United States Prevalence of Overweight: % of Adults","URL":"https://www.ceicdata.com/en/united-states/social-health-statistics/prevalence-of-overweight--of-adults","author":[{"family":"CEIC Data","given":"CEIC Data"}],"accessed":{"date-parts":[["2026",6,16]]}}}],"schema":"https://github.com/citation-style-language/schema/raw/master/csl-citation.json"} </w:instrText>
      </w:r>
      <w:r w:rsidR="00AE38F6" w:rsidRPr="004E4521">
        <w:rPr>
          <w:rFonts w:ascii="Times New Roman" w:hAnsi="Times New Roman" w:cs="Times New Roman"/>
        </w:rPr>
        <w:fldChar w:fldCharType="separate"/>
      </w:r>
      <w:r w:rsidR="005B14DE" w:rsidRPr="005B14DE">
        <w:rPr>
          <w:rFonts w:ascii="Times New Roman" w:hAnsi="Times New Roman" w:cs="Times New Roman"/>
          <w:kern w:val="0"/>
          <w:vertAlign w:val="superscript"/>
        </w:rPr>
        <w:t>15</w:t>
      </w:r>
      <w:r w:rsidR="00AE38F6" w:rsidRPr="004E4521">
        <w:rPr>
          <w:rFonts w:ascii="Times New Roman" w:hAnsi="Times New Roman" w:cs="Times New Roman"/>
        </w:rPr>
        <w:fldChar w:fldCharType="end"/>
      </w:r>
      <w:r w:rsidR="00AE38F6" w:rsidRPr="004E4521">
        <w:rPr>
          <w:rFonts w:ascii="Times New Roman" w:hAnsi="Times New Roman" w:cs="Times New Roman"/>
        </w:rPr>
        <w:t xml:space="preserve"> </w:t>
      </w:r>
      <w:r w:rsidR="00AE38F6" w:rsidRPr="004E4521">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{"citationID":"r0TUhD1l","properties":{"unsorted":false,"formattedCitation":"\\super 16\\nosupersub{}","plainCitation":"16","noteIndex":0},"citationItems":[{"id":478,"uris":["http://zotero.org/users/12629452/items/MUVHEJPQ"],"itemData":{"id":478,"type":"webpage","abstract":"Visualizations for Prevalence of overweight (% of adults)","container-title":"World Bank Gender Data Portal","language":"en","title":"Prevalence of overweight (% of adults)","URL":"https://genderdata.worldbank.org/en/indicator/sh-sta-owad-zs","author":[{"family":"World Bank Group","given":""}],"accessed":{"date-parts":[["2026",6,16]]}}}],"schema":"https://github.com/citation-style-language/schema/raw/master/csl-citation.json"} </w:instrText>
      </w:r>
      <w:r w:rsidR="00AE38F6" w:rsidRPr="004E4521">
        <w:rPr>
          <w:rFonts w:ascii="Times New Roman" w:hAnsi="Times New Roman" w:cs="Times New Roman"/>
        </w:rPr>
        <w:fldChar w:fldCharType="separate"/>
      </w:r>
      <w:r w:rsidR="005B14DE" w:rsidRPr="005B14DE">
        <w:rPr>
          <w:rFonts w:ascii="Times New Roman" w:hAnsi="Times New Roman" w:cs="Times New Roman"/>
          <w:kern w:val="0"/>
          <w:vertAlign w:val="superscript"/>
        </w:rPr>
        <w:t>16</w:t>
      </w:r>
      <w:r w:rsidR="00AE38F6" w:rsidRPr="004E4521">
        <w:rPr>
          <w:rFonts w:ascii="Times New Roman" w:hAnsi="Times New Roman" w:cs="Times New Roman"/>
        </w:rPr>
        <w:fldChar w:fldCharType="end"/>
      </w:r>
      <w:r w:rsidRPr="004E4521">
        <w:rPr>
          <w:rFonts w:ascii="Times New Roman" w:hAnsi="Times New Roman" w:cs="Times New Roman"/>
        </w:rPr>
        <w:t>.</w:t>
      </w:r>
      <w:r w:rsidR="00AF54C0">
        <w:rPr>
          <w:rFonts w:ascii="Times New Roman" w:hAnsi="Times New Roman" w:cs="Times New Roman"/>
        </w:rPr>
        <w:br w:type="page"/>
      </w:r>
    </w:p>
    <w:tbl>
      <w:tblPr>
        <w:tblStyle w:val="TableGrid"/>
        <w:tblW w:w="0" w:type="auto"/>
        <w:tblInd w:w="0" w:type="dxa"/>
        <w:tblLook w:val="04A0" w:firstRow="1" w:lastRow="0" w:firstColumn="1" w:lastColumn="0" w:noHBand="0" w:noVBand="1"/>
      </w:tblPr>
      <w:tblGrid>
        <w:gridCol w:w="805"/>
        <w:gridCol w:w="1530"/>
        <w:gridCol w:w="1350"/>
        <w:gridCol w:w="1440"/>
        <w:gridCol w:w="1440"/>
        <w:gridCol w:w="1449"/>
        <w:gridCol w:w="1336"/>
      </w:tblGrid>
      <w:tr w:rsidR="00783672" w:rsidRPr="00291092" w14:paraId="21F2AB5C" w14:textId="77777777" w:rsidTr="008605B6">
        <w:trPr>
          <w:trHeight w:val="870"/>
        </w:trPr>
        <w:tc>
          <w:tcPr>
            <w:tcW w:w="9350" w:type="dxa"/>
            <w:gridSpan w:val="7"/>
          </w:tcPr>
          <w:p w14:paraId="52E7CEBB" w14:textId="294EE1E7" w:rsidR="00783672" w:rsidRPr="00B44D01" w:rsidRDefault="00783672" w:rsidP="00783672">
            <w:pPr>
              <w:spacing w:line="240" w:lineRule="auto"/>
              <w:rPr>
                <w:rFonts w:ascii="Times New Roman" w:hAnsi="Times New Roman" w:cs="Times New Roman"/>
                <w:b/>
                <w:bCs/>
              </w:rPr>
            </w:pPr>
            <w:r w:rsidRPr="00B44D01">
              <w:rPr>
                <w:rFonts w:ascii="Times New Roman" w:hAnsi="Times New Roman" w:cs="Times New Roman"/>
                <w:b/>
                <w:bCs/>
              </w:rPr>
              <w:t xml:space="preserve">Table </w:t>
            </w:r>
            <w:r w:rsidR="00AF54C0">
              <w:rPr>
                <w:rFonts w:ascii="Times New Roman" w:hAnsi="Times New Roman" w:cs="Times New Roman"/>
                <w:b/>
                <w:bCs/>
              </w:rPr>
              <w:t>S</w:t>
            </w:r>
            <w:r w:rsidR="00AB192C">
              <w:rPr>
                <w:rFonts w:ascii="Times New Roman" w:hAnsi="Times New Roman" w:cs="Times New Roman"/>
                <w:b/>
                <w:bCs/>
              </w:rPr>
              <w:t>4</w:t>
            </w:r>
            <w:r w:rsidRPr="00B44D01">
              <w:rPr>
                <w:rFonts w:ascii="Times New Roman" w:hAnsi="Times New Roman" w:cs="Times New Roman"/>
                <w:b/>
                <w:bCs/>
              </w:rPr>
              <w:t xml:space="preserve">. The </w:t>
            </w:r>
            <w:r w:rsidR="00B44D01">
              <w:rPr>
                <w:rFonts w:ascii="Times New Roman" w:hAnsi="Times New Roman" w:cs="Times New Roman"/>
                <w:b/>
                <w:bCs/>
              </w:rPr>
              <w:t>H</w:t>
            </w:r>
            <w:r w:rsidRPr="00B44D01">
              <w:rPr>
                <w:rFonts w:ascii="Times New Roman" w:hAnsi="Times New Roman" w:cs="Times New Roman"/>
                <w:b/>
                <w:bCs/>
              </w:rPr>
              <w:t xml:space="preserve">istorical and </w:t>
            </w:r>
            <w:r w:rsidR="00B44D01">
              <w:rPr>
                <w:rFonts w:ascii="Times New Roman" w:hAnsi="Times New Roman" w:cs="Times New Roman"/>
                <w:b/>
                <w:bCs/>
              </w:rPr>
              <w:t>P</w:t>
            </w:r>
            <w:r w:rsidRPr="00B44D01">
              <w:rPr>
                <w:rFonts w:ascii="Times New Roman" w:hAnsi="Times New Roman" w:cs="Times New Roman"/>
                <w:b/>
                <w:bCs/>
              </w:rPr>
              <w:t xml:space="preserve">rojected </w:t>
            </w:r>
            <w:r w:rsidR="00B44D01">
              <w:rPr>
                <w:rFonts w:ascii="Times New Roman" w:hAnsi="Times New Roman" w:cs="Times New Roman"/>
                <w:b/>
                <w:bCs/>
              </w:rPr>
              <w:t>o</w:t>
            </w:r>
            <w:r w:rsidRPr="00B44D01">
              <w:rPr>
                <w:rFonts w:ascii="Times New Roman" w:hAnsi="Times New Roman" w:cs="Times New Roman"/>
                <w:b/>
                <w:bCs/>
              </w:rPr>
              <w:t xml:space="preserve">verweight and </w:t>
            </w:r>
            <w:r w:rsidR="00B44D01">
              <w:rPr>
                <w:rFonts w:ascii="Times New Roman" w:hAnsi="Times New Roman" w:cs="Times New Roman"/>
                <w:b/>
                <w:bCs/>
              </w:rPr>
              <w:t>O</w:t>
            </w:r>
            <w:r w:rsidRPr="00B44D01">
              <w:rPr>
                <w:rFonts w:ascii="Times New Roman" w:hAnsi="Times New Roman" w:cs="Times New Roman"/>
                <w:b/>
                <w:bCs/>
              </w:rPr>
              <w:t xml:space="preserve">besity </w:t>
            </w:r>
            <w:r w:rsidR="00B44D01">
              <w:rPr>
                <w:rFonts w:ascii="Times New Roman" w:hAnsi="Times New Roman" w:cs="Times New Roman"/>
                <w:b/>
                <w:bCs/>
              </w:rPr>
              <w:t>R</w:t>
            </w:r>
            <w:r w:rsidRPr="00B44D01">
              <w:rPr>
                <w:rFonts w:ascii="Times New Roman" w:hAnsi="Times New Roman" w:cs="Times New Roman"/>
                <w:b/>
                <w:bCs/>
              </w:rPr>
              <w:t>ate</w:t>
            </w:r>
            <w:r w:rsidR="00B44D01">
              <w:rPr>
                <w:rFonts w:ascii="Times New Roman" w:hAnsi="Times New Roman" w:cs="Times New Roman"/>
                <w:b/>
                <w:bCs/>
              </w:rPr>
              <w:t xml:space="preserve">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t</m:t>
                  </m:r>
                </m:sub>
              </m:sSub>
              <m:r>
                <w:rPr>
                  <w:rFonts w:ascii="Cambria Math" w:hAnsi="Cambria Math" w:cs="Times New Roman"/>
                </w:rPr>
                <m:t>)</m:t>
              </m:r>
            </m:oMath>
            <w:r w:rsidRPr="00B44D01">
              <w:rPr>
                <w:rFonts w:ascii="Times New Roman" w:hAnsi="Times New Roman" w:cs="Times New Roman"/>
                <w:b/>
                <w:bCs/>
              </w:rPr>
              <w:t xml:space="preserve"> among United States, Canada and Mexico from </w:t>
            </w:r>
            <w:r w:rsidR="00B44D01">
              <w:rPr>
                <w:rFonts w:ascii="Times New Roman" w:hAnsi="Times New Roman" w:cs="Times New Roman"/>
                <w:b/>
                <w:bCs/>
              </w:rPr>
              <w:t>Y</w:t>
            </w:r>
            <w:r w:rsidRPr="00B44D01">
              <w:rPr>
                <w:rFonts w:ascii="Times New Roman" w:hAnsi="Times New Roman" w:cs="Times New Roman"/>
                <w:b/>
                <w:bCs/>
              </w:rPr>
              <w:t>ear 2014 to 2030.</w:t>
            </w:r>
          </w:p>
        </w:tc>
      </w:tr>
      <w:tr w:rsidR="00291092" w:rsidRPr="00291092" w14:paraId="58939FFD" w14:textId="77777777" w:rsidTr="00291092">
        <w:trPr>
          <w:trHeight w:val="870"/>
        </w:trPr>
        <w:tc>
          <w:tcPr>
            <w:tcW w:w="805" w:type="dxa"/>
            <w:hideMark/>
          </w:tcPr>
          <w:p w14:paraId="6490EE4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Year</w:t>
            </w:r>
          </w:p>
        </w:tc>
        <w:tc>
          <w:tcPr>
            <w:tcW w:w="1530" w:type="dxa"/>
            <w:hideMark/>
          </w:tcPr>
          <w:p w14:paraId="2711110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U.S. obesity (%)</w:t>
            </w:r>
          </w:p>
        </w:tc>
        <w:tc>
          <w:tcPr>
            <w:tcW w:w="1350" w:type="dxa"/>
            <w:hideMark/>
          </w:tcPr>
          <w:p w14:paraId="54C7E69B"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U.S. overweight (%)</w:t>
            </w:r>
          </w:p>
        </w:tc>
        <w:tc>
          <w:tcPr>
            <w:tcW w:w="1440" w:type="dxa"/>
            <w:hideMark/>
          </w:tcPr>
          <w:p w14:paraId="13E69BB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Canada obesity (%)</w:t>
            </w:r>
          </w:p>
        </w:tc>
        <w:tc>
          <w:tcPr>
            <w:tcW w:w="1440" w:type="dxa"/>
            <w:hideMark/>
          </w:tcPr>
          <w:p w14:paraId="10F0289A"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Canada overweight (%)</w:t>
            </w:r>
          </w:p>
        </w:tc>
        <w:tc>
          <w:tcPr>
            <w:tcW w:w="1449" w:type="dxa"/>
            <w:hideMark/>
          </w:tcPr>
          <w:p w14:paraId="6852581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Mexico obesity (%)</w:t>
            </w:r>
          </w:p>
        </w:tc>
        <w:tc>
          <w:tcPr>
            <w:tcW w:w="1336" w:type="dxa"/>
            <w:hideMark/>
          </w:tcPr>
          <w:p w14:paraId="3A0B24E8"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Mexico overweight (%)</w:t>
            </w:r>
          </w:p>
        </w:tc>
      </w:tr>
      <w:tr w:rsidR="00291092" w:rsidRPr="00291092" w14:paraId="672DB6D8" w14:textId="77777777" w:rsidTr="00291092">
        <w:trPr>
          <w:trHeight w:val="290"/>
        </w:trPr>
        <w:tc>
          <w:tcPr>
            <w:tcW w:w="805" w:type="dxa"/>
            <w:hideMark/>
          </w:tcPr>
          <w:p w14:paraId="326D803B"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2014</w:t>
            </w:r>
          </w:p>
        </w:tc>
        <w:tc>
          <w:tcPr>
            <w:tcW w:w="1530" w:type="dxa"/>
            <w:hideMark/>
          </w:tcPr>
          <w:p w14:paraId="2DDD30A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37.9</w:t>
            </w:r>
          </w:p>
        </w:tc>
        <w:tc>
          <w:tcPr>
            <w:tcW w:w="1350" w:type="dxa"/>
            <w:hideMark/>
          </w:tcPr>
          <w:p w14:paraId="19A11D24"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66.9</w:t>
            </w:r>
          </w:p>
        </w:tc>
        <w:tc>
          <w:tcPr>
            <w:tcW w:w="1440" w:type="dxa"/>
            <w:hideMark/>
          </w:tcPr>
          <w:p w14:paraId="54E79BB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w:t>
            </w:r>
          </w:p>
        </w:tc>
        <w:tc>
          <w:tcPr>
            <w:tcW w:w="1440" w:type="dxa"/>
            <w:hideMark/>
          </w:tcPr>
          <w:p w14:paraId="544D6058"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w:t>
            </w:r>
          </w:p>
        </w:tc>
        <w:tc>
          <w:tcPr>
            <w:tcW w:w="1449" w:type="dxa"/>
            <w:hideMark/>
          </w:tcPr>
          <w:p w14:paraId="3775F7E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w:t>
            </w:r>
          </w:p>
        </w:tc>
        <w:tc>
          <w:tcPr>
            <w:tcW w:w="1336" w:type="dxa"/>
            <w:hideMark/>
          </w:tcPr>
          <w:p w14:paraId="43B3E38F"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w:t>
            </w:r>
          </w:p>
        </w:tc>
      </w:tr>
      <w:tr w:rsidR="00291092" w:rsidRPr="00291092" w14:paraId="21D95B19" w14:textId="77777777" w:rsidTr="00291092">
        <w:trPr>
          <w:trHeight w:val="290"/>
        </w:trPr>
        <w:tc>
          <w:tcPr>
            <w:tcW w:w="805" w:type="dxa"/>
            <w:hideMark/>
          </w:tcPr>
          <w:p w14:paraId="5FCC6AC3"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2015</w:t>
            </w:r>
          </w:p>
        </w:tc>
        <w:tc>
          <w:tcPr>
            <w:tcW w:w="1530" w:type="dxa"/>
            <w:hideMark/>
          </w:tcPr>
          <w:p w14:paraId="4028A31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38.4</w:t>
            </w:r>
          </w:p>
        </w:tc>
        <w:tc>
          <w:tcPr>
            <w:tcW w:w="1350" w:type="dxa"/>
            <w:hideMark/>
          </w:tcPr>
          <w:p w14:paraId="7204900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67.6</w:t>
            </w:r>
          </w:p>
        </w:tc>
        <w:tc>
          <w:tcPr>
            <w:tcW w:w="1440" w:type="dxa"/>
            <w:hideMark/>
          </w:tcPr>
          <w:p w14:paraId="34172A80"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25.1</w:t>
            </w:r>
          </w:p>
        </w:tc>
        <w:tc>
          <w:tcPr>
            <w:tcW w:w="1440" w:type="dxa"/>
            <w:hideMark/>
          </w:tcPr>
          <w:p w14:paraId="77C63A00"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52.1</w:t>
            </w:r>
          </w:p>
        </w:tc>
        <w:tc>
          <w:tcPr>
            <w:tcW w:w="1449" w:type="dxa"/>
            <w:hideMark/>
          </w:tcPr>
          <w:p w14:paraId="0AAC197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31.4</w:t>
            </w:r>
          </w:p>
        </w:tc>
        <w:tc>
          <w:tcPr>
            <w:tcW w:w="1336" w:type="dxa"/>
            <w:hideMark/>
          </w:tcPr>
          <w:p w14:paraId="0759FA06"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68.7</w:t>
            </w:r>
          </w:p>
        </w:tc>
      </w:tr>
      <w:tr w:rsidR="00291092" w:rsidRPr="00291092" w14:paraId="67D2D7C2" w14:textId="77777777" w:rsidTr="00291092">
        <w:trPr>
          <w:trHeight w:val="290"/>
        </w:trPr>
        <w:tc>
          <w:tcPr>
            <w:tcW w:w="805" w:type="dxa"/>
            <w:hideMark/>
          </w:tcPr>
          <w:p w14:paraId="2A889A4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2016</w:t>
            </w:r>
          </w:p>
        </w:tc>
        <w:tc>
          <w:tcPr>
            <w:tcW w:w="1530" w:type="dxa"/>
            <w:hideMark/>
          </w:tcPr>
          <w:p w14:paraId="5593B1F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39</w:t>
            </w:r>
          </w:p>
        </w:tc>
        <w:tc>
          <w:tcPr>
            <w:tcW w:w="1350" w:type="dxa"/>
            <w:hideMark/>
          </w:tcPr>
          <w:p w14:paraId="1E1E5913"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68.3</w:t>
            </w:r>
          </w:p>
        </w:tc>
        <w:tc>
          <w:tcPr>
            <w:tcW w:w="1440" w:type="dxa"/>
            <w:hideMark/>
          </w:tcPr>
          <w:p w14:paraId="0D4BDE4F"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25.3</w:t>
            </w:r>
          </w:p>
        </w:tc>
        <w:tc>
          <w:tcPr>
            <w:tcW w:w="1440" w:type="dxa"/>
            <w:hideMark/>
          </w:tcPr>
          <w:p w14:paraId="329C3D37"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52.3</w:t>
            </w:r>
          </w:p>
        </w:tc>
        <w:tc>
          <w:tcPr>
            <w:tcW w:w="1449" w:type="dxa"/>
            <w:hideMark/>
          </w:tcPr>
          <w:p w14:paraId="2EE5298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32</w:t>
            </w:r>
          </w:p>
        </w:tc>
        <w:tc>
          <w:tcPr>
            <w:tcW w:w="1336" w:type="dxa"/>
            <w:hideMark/>
          </w:tcPr>
          <w:p w14:paraId="2876922F"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69.4</w:t>
            </w:r>
          </w:p>
        </w:tc>
      </w:tr>
      <w:tr w:rsidR="00291092" w:rsidRPr="00291092" w14:paraId="30811610" w14:textId="77777777" w:rsidTr="00291092">
        <w:trPr>
          <w:trHeight w:val="290"/>
        </w:trPr>
        <w:tc>
          <w:tcPr>
            <w:tcW w:w="805" w:type="dxa"/>
            <w:hideMark/>
          </w:tcPr>
          <w:p w14:paraId="1EAC20A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2017</w:t>
            </w:r>
          </w:p>
        </w:tc>
        <w:tc>
          <w:tcPr>
            <w:tcW w:w="1530" w:type="dxa"/>
            <w:hideMark/>
          </w:tcPr>
          <w:p w14:paraId="4C6D1463"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39.5</w:t>
            </w:r>
          </w:p>
        </w:tc>
        <w:tc>
          <w:tcPr>
            <w:tcW w:w="1350" w:type="dxa"/>
            <w:hideMark/>
          </w:tcPr>
          <w:p w14:paraId="0FB3E78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69</w:t>
            </w:r>
          </w:p>
        </w:tc>
        <w:tc>
          <w:tcPr>
            <w:tcW w:w="1440" w:type="dxa"/>
            <w:hideMark/>
          </w:tcPr>
          <w:p w14:paraId="03C58CB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25.4</w:t>
            </w:r>
          </w:p>
        </w:tc>
        <w:tc>
          <w:tcPr>
            <w:tcW w:w="1440" w:type="dxa"/>
            <w:hideMark/>
          </w:tcPr>
          <w:p w14:paraId="4CB4398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52.5</w:t>
            </w:r>
          </w:p>
        </w:tc>
        <w:tc>
          <w:tcPr>
            <w:tcW w:w="1449" w:type="dxa"/>
            <w:hideMark/>
          </w:tcPr>
          <w:p w14:paraId="39108D5F"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32.7</w:t>
            </w:r>
          </w:p>
        </w:tc>
        <w:tc>
          <w:tcPr>
            <w:tcW w:w="1336" w:type="dxa"/>
            <w:hideMark/>
          </w:tcPr>
          <w:p w14:paraId="4B0C435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70</w:t>
            </w:r>
          </w:p>
        </w:tc>
      </w:tr>
      <w:tr w:rsidR="00291092" w:rsidRPr="00291092" w14:paraId="126A62B5" w14:textId="77777777" w:rsidTr="00291092">
        <w:trPr>
          <w:trHeight w:val="290"/>
        </w:trPr>
        <w:tc>
          <w:tcPr>
            <w:tcW w:w="805" w:type="dxa"/>
            <w:hideMark/>
          </w:tcPr>
          <w:p w14:paraId="63381E08"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2018</w:t>
            </w:r>
          </w:p>
        </w:tc>
        <w:tc>
          <w:tcPr>
            <w:tcW w:w="1530" w:type="dxa"/>
            <w:hideMark/>
          </w:tcPr>
          <w:p w14:paraId="7AE4F7E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40</w:t>
            </w:r>
          </w:p>
        </w:tc>
        <w:tc>
          <w:tcPr>
            <w:tcW w:w="1350" w:type="dxa"/>
            <w:hideMark/>
          </w:tcPr>
          <w:p w14:paraId="3D07B223"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69.7</w:t>
            </w:r>
          </w:p>
        </w:tc>
        <w:tc>
          <w:tcPr>
            <w:tcW w:w="1440" w:type="dxa"/>
            <w:hideMark/>
          </w:tcPr>
          <w:p w14:paraId="6B49B25E"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25.6</w:t>
            </w:r>
          </w:p>
        </w:tc>
        <w:tc>
          <w:tcPr>
            <w:tcW w:w="1440" w:type="dxa"/>
            <w:hideMark/>
          </w:tcPr>
          <w:p w14:paraId="054CAF32"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52.7</w:t>
            </w:r>
          </w:p>
        </w:tc>
        <w:tc>
          <w:tcPr>
            <w:tcW w:w="1449" w:type="dxa"/>
            <w:hideMark/>
          </w:tcPr>
          <w:p w14:paraId="69E9CC2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33.3</w:t>
            </w:r>
          </w:p>
        </w:tc>
        <w:tc>
          <w:tcPr>
            <w:tcW w:w="1336" w:type="dxa"/>
            <w:hideMark/>
          </w:tcPr>
          <w:p w14:paraId="49490C5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70.7</w:t>
            </w:r>
          </w:p>
        </w:tc>
      </w:tr>
      <w:tr w:rsidR="00291092" w:rsidRPr="00291092" w14:paraId="009B62B8" w14:textId="77777777" w:rsidTr="00291092">
        <w:trPr>
          <w:trHeight w:val="290"/>
        </w:trPr>
        <w:tc>
          <w:tcPr>
            <w:tcW w:w="805" w:type="dxa"/>
            <w:hideMark/>
          </w:tcPr>
          <w:p w14:paraId="1659871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2019</w:t>
            </w:r>
          </w:p>
        </w:tc>
        <w:tc>
          <w:tcPr>
            <w:tcW w:w="1530" w:type="dxa"/>
            <w:hideMark/>
          </w:tcPr>
          <w:p w14:paraId="039FF57E"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40.5</w:t>
            </w:r>
          </w:p>
        </w:tc>
        <w:tc>
          <w:tcPr>
            <w:tcW w:w="1350" w:type="dxa"/>
            <w:hideMark/>
          </w:tcPr>
          <w:p w14:paraId="2A99937A"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70.4</w:t>
            </w:r>
          </w:p>
        </w:tc>
        <w:tc>
          <w:tcPr>
            <w:tcW w:w="1440" w:type="dxa"/>
            <w:hideMark/>
          </w:tcPr>
          <w:p w14:paraId="60BB8BB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25.7</w:t>
            </w:r>
          </w:p>
        </w:tc>
        <w:tc>
          <w:tcPr>
            <w:tcW w:w="1440" w:type="dxa"/>
            <w:hideMark/>
          </w:tcPr>
          <w:p w14:paraId="15EB772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53</w:t>
            </w:r>
          </w:p>
        </w:tc>
        <w:tc>
          <w:tcPr>
            <w:tcW w:w="1449" w:type="dxa"/>
            <w:hideMark/>
          </w:tcPr>
          <w:p w14:paraId="0547935A"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34</w:t>
            </w:r>
          </w:p>
        </w:tc>
        <w:tc>
          <w:tcPr>
            <w:tcW w:w="1336" w:type="dxa"/>
            <w:hideMark/>
          </w:tcPr>
          <w:p w14:paraId="25EC984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71.4</w:t>
            </w:r>
          </w:p>
        </w:tc>
      </w:tr>
      <w:tr w:rsidR="00291092" w:rsidRPr="00291092" w14:paraId="37493D0D" w14:textId="77777777" w:rsidTr="00291092">
        <w:trPr>
          <w:trHeight w:val="290"/>
        </w:trPr>
        <w:tc>
          <w:tcPr>
            <w:tcW w:w="805" w:type="dxa"/>
            <w:hideMark/>
          </w:tcPr>
          <w:p w14:paraId="6426EEC7"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2020</w:t>
            </w:r>
          </w:p>
        </w:tc>
        <w:tc>
          <w:tcPr>
            <w:tcW w:w="1530" w:type="dxa"/>
            <w:hideMark/>
          </w:tcPr>
          <w:p w14:paraId="44A3428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41</w:t>
            </w:r>
          </w:p>
        </w:tc>
        <w:tc>
          <w:tcPr>
            <w:tcW w:w="1350" w:type="dxa"/>
            <w:hideMark/>
          </w:tcPr>
          <w:p w14:paraId="463B179E"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71</w:t>
            </w:r>
          </w:p>
        </w:tc>
        <w:tc>
          <w:tcPr>
            <w:tcW w:w="1440" w:type="dxa"/>
            <w:hideMark/>
          </w:tcPr>
          <w:p w14:paraId="6405F08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25.9</w:t>
            </w:r>
          </w:p>
        </w:tc>
        <w:tc>
          <w:tcPr>
            <w:tcW w:w="1440" w:type="dxa"/>
            <w:hideMark/>
          </w:tcPr>
          <w:p w14:paraId="52EA172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53.2</w:t>
            </w:r>
          </w:p>
        </w:tc>
        <w:tc>
          <w:tcPr>
            <w:tcW w:w="1449" w:type="dxa"/>
            <w:hideMark/>
          </w:tcPr>
          <w:p w14:paraId="798638E2"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34.7</w:t>
            </w:r>
          </w:p>
        </w:tc>
        <w:tc>
          <w:tcPr>
            <w:tcW w:w="1336" w:type="dxa"/>
            <w:hideMark/>
          </w:tcPr>
          <w:p w14:paraId="2D41258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72</w:t>
            </w:r>
          </w:p>
        </w:tc>
      </w:tr>
      <w:tr w:rsidR="00291092" w:rsidRPr="00291092" w14:paraId="25182412" w14:textId="77777777" w:rsidTr="00291092">
        <w:trPr>
          <w:trHeight w:val="290"/>
        </w:trPr>
        <w:tc>
          <w:tcPr>
            <w:tcW w:w="805" w:type="dxa"/>
            <w:hideMark/>
          </w:tcPr>
          <w:p w14:paraId="0FB7FE7B"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2021</w:t>
            </w:r>
          </w:p>
        </w:tc>
        <w:tc>
          <w:tcPr>
            <w:tcW w:w="1530" w:type="dxa"/>
            <w:hideMark/>
          </w:tcPr>
          <w:p w14:paraId="20AA779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41.5</w:t>
            </w:r>
          </w:p>
        </w:tc>
        <w:tc>
          <w:tcPr>
            <w:tcW w:w="1350" w:type="dxa"/>
            <w:hideMark/>
          </w:tcPr>
          <w:p w14:paraId="46BAE3E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71.7</w:t>
            </w:r>
          </w:p>
        </w:tc>
        <w:tc>
          <w:tcPr>
            <w:tcW w:w="1440" w:type="dxa"/>
            <w:hideMark/>
          </w:tcPr>
          <w:p w14:paraId="0AC6CF8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26</w:t>
            </w:r>
          </w:p>
        </w:tc>
        <w:tc>
          <w:tcPr>
            <w:tcW w:w="1440" w:type="dxa"/>
            <w:hideMark/>
          </w:tcPr>
          <w:p w14:paraId="0814D62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53.4</w:t>
            </w:r>
          </w:p>
        </w:tc>
        <w:tc>
          <w:tcPr>
            <w:tcW w:w="1449" w:type="dxa"/>
            <w:hideMark/>
          </w:tcPr>
          <w:p w14:paraId="22692530"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35.3</w:t>
            </w:r>
          </w:p>
        </w:tc>
        <w:tc>
          <w:tcPr>
            <w:tcW w:w="1336" w:type="dxa"/>
            <w:hideMark/>
          </w:tcPr>
          <w:p w14:paraId="36C455B0"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72.7</w:t>
            </w:r>
          </w:p>
        </w:tc>
      </w:tr>
      <w:tr w:rsidR="00291092" w:rsidRPr="00291092" w14:paraId="4DF9D282" w14:textId="77777777" w:rsidTr="00291092">
        <w:trPr>
          <w:trHeight w:val="290"/>
        </w:trPr>
        <w:tc>
          <w:tcPr>
            <w:tcW w:w="805" w:type="dxa"/>
            <w:hideMark/>
          </w:tcPr>
          <w:p w14:paraId="2A2C85EE"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2022</w:t>
            </w:r>
          </w:p>
        </w:tc>
        <w:tc>
          <w:tcPr>
            <w:tcW w:w="1530" w:type="dxa"/>
            <w:hideMark/>
          </w:tcPr>
          <w:p w14:paraId="091AC89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42</w:t>
            </w:r>
          </w:p>
        </w:tc>
        <w:tc>
          <w:tcPr>
            <w:tcW w:w="1350" w:type="dxa"/>
            <w:hideMark/>
          </w:tcPr>
          <w:p w14:paraId="638D12A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72.4</w:t>
            </w:r>
          </w:p>
        </w:tc>
        <w:tc>
          <w:tcPr>
            <w:tcW w:w="1440" w:type="dxa"/>
            <w:hideMark/>
          </w:tcPr>
          <w:p w14:paraId="36108DEB"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26.2</w:t>
            </w:r>
          </w:p>
        </w:tc>
        <w:tc>
          <w:tcPr>
            <w:tcW w:w="1440" w:type="dxa"/>
            <w:hideMark/>
          </w:tcPr>
          <w:p w14:paraId="34214BA3"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53.6</w:t>
            </w:r>
          </w:p>
        </w:tc>
        <w:tc>
          <w:tcPr>
            <w:tcW w:w="1449" w:type="dxa"/>
            <w:hideMark/>
          </w:tcPr>
          <w:p w14:paraId="7C5F68D4"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36</w:t>
            </w:r>
          </w:p>
        </w:tc>
        <w:tc>
          <w:tcPr>
            <w:tcW w:w="1336" w:type="dxa"/>
            <w:hideMark/>
          </w:tcPr>
          <w:p w14:paraId="73458B3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73.4</w:t>
            </w:r>
          </w:p>
        </w:tc>
      </w:tr>
      <w:tr w:rsidR="00291092" w:rsidRPr="00291092" w14:paraId="393C64D9" w14:textId="77777777" w:rsidTr="00291092">
        <w:trPr>
          <w:trHeight w:val="290"/>
        </w:trPr>
        <w:tc>
          <w:tcPr>
            <w:tcW w:w="805" w:type="dxa"/>
            <w:hideMark/>
          </w:tcPr>
          <w:p w14:paraId="040D9AE0"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2023</w:t>
            </w:r>
          </w:p>
        </w:tc>
        <w:tc>
          <w:tcPr>
            <w:tcW w:w="1530" w:type="dxa"/>
            <w:hideMark/>
          </w:tcPr>
          <w:p w14:paraId="18FB2818"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42.5</w:t>
            </w:r>
          </w:p>
        </w:tc>
        <w:tc>
          <w:tcPr>
            <w:tcW w:w="1350" w:type="dxa"/>
            <w:hideMark/>
          </w:tcPr>
          <w:p w14:paraId="763DD457"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73.1</w:t>
            </w:r>
          </w:p>
        </w:tc>
        <w:tc>
          <w:tcPr>
            <w:tcW w:w="1440" w:type="dxa"/>
            <w:hideMark/>
          </w:tcPr>
          <w:p w14:paraId="3D081394"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26.4</w:t>
            </w:r>
          </w:p>
        </w:tc>
        <w:tc>
          <w:tcPr>
            <w:tcW w:w="1440" w:type="dxa"/>
            <w:hideMark/>
          </w:tcPr>
          <w:p w14:paraId="79E3E5E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53.8</w:t>
            </w:r>
          </w:p>
        </w:tc>
        <w:tc>
          <w:tcPr>
            <w:tcW w:w="1449" w:type="dxa"/>
            <w:hideMark/>
          </w:tcPr>
          <w:p w14:paraId="36F810F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36.7</w:t>
            </w:r>
          </w:p>
        </w:tc>
        <w:tc>
          <w:tcPr>
            <w:tcW w:w="1336" w:type="dxa"/>
            <w:hideMark/>
          </w:tcPr>
          <w:p w14:paraId="65B05867"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74</w:t>
            </w:r>
          </w:p>
        </w:tc>
      </w:tr>
      <w:tr w:rsidR="00291092" w:rsidRPr="00291092" w14:paraId="264FE0E7" w14:textId="77777777" w:rsidTr="00291092">
        <w:trPr>
          <w:trHeight w:val="290"/>
        </w:trPr>
        <w:tc>
          <w:tcPr>
            <w:tcW w:w="805" w:type="dxa"/>
            <w:hideMark/>
          </w:tcPr>
          <w:p w14:paraId="5CF5B538"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2024</w:t>
            </w:r>
          </w:p>
        </w:tc>
        <w:tc>
          <w:tcPr>
            <w:tcW w:w="1530" w:type="dxa"/>
            <w:hideMark/>
          </w:tcPr>
          <w:p w14:paraId="5935FDC2"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43</w:t>
            </w:r>
          </w:p>
        </w:tc>
        <w:tc>
          <w:tcPr>
            <w:tcW w:w="1350" w:type="dxa"/>
            <w:hideMark/>
          </w:tcPr>
          <w:p w14:paraId="0754E23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73.8</w:t>
            </w:r>
          </w:p>
        </w:tc>
        <w:tc>
          <w:tcPr>
            <w:tcW w:w="1440" w:type="dxa"/>
            <w:hideMark/>
          </w:tcPr>
          <w:p w14:paraId="5E76BFDA"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26.5</w:t>
            </w:r>
          </w:p>
        </w:tc>
        <w:tc>
          <w:tcPr>
            <w:tcW w:w="1440" w:type="dxa"/>
            <w:hideMark/>
          </w:tcPr>
          <w:p w14:paraId="0CAAFBAB"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54</w:t>
            </w:r>
          </w:p>
        </w:tc>
        <w:tc>
          <w:tcPr>
            <w:tcW w:w="1449" w:type="dxa"/>
            <w:hideMark/>
          </w:tcPr>
          <w:p w14:paraId="16859110"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37.3</w:t>
            </w:r>
          </w:p>
        </w:tc>
        <w:tc>
          <w:tcPr>
            <w:tcW w:w="1336" w:type="dxa"/>
            <w:hideMark/>
          </w:tcPr>
          <w:p w14:paraId="1D1AC04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74.7</w:t>
            </w:r>
          </w:p>
        </w:tc>
      </w:tr>
      <w:tr w:rsidR="00291092" w:rsidRPr="00291092" w14:paraId="5283D12E" w14:textId="77777777" w:rsidTr="00291092">
        <w:trPr>
          <w:trHeight w:val="290"/>
        </w:trPr>
        <w:tc>
          <w:tcPr>
            <w:tcW w:w="805" w:type="dxa"/>
            <w:hideMark/>
          </w:tcPr>
          <w:p w14:paraId="6173C7B8"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2025</w:t>
            </w:r>
          </w:p>
        </w:tc>
        <w:tc>
          <w:tcPr>
            <w:tcW w:w="1530" w:type="dxa"/>
            <w:hideMark/>
          </w:tcPr>
          <w:p w14:paraId="31C1DAD3"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43.5</w:t>
            </w:r>
          </w:p>
        </w:tc>
        <w:tc>
          <w:tcPr>
            <w:tcW w:w="1350" w:type="dxa"/>
            <w:hideMark/>
          </w:tcPr>
          <w:p w14:paraId="74F4A997"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74.5</w:t>
            </w:r>
          </w:p>
        </w:tc>
        <w:tc>
          <w:tcPr>
            <w:tcW w:w="1440" w:type="dxa"/>
            <w:hideMark/>
          </w:tcPr>
          <w:p w14:paraId="691AF6FF"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26.7</w:t>
            </w:r>
          </w:p>
        </w:tc>
        <w:tc>
          <w:tcPr>
            <w:tcW w:w="1440" w:type="dxa"/>
            <w:hideMark/>
          </w:tcPr>
          <w:p w14:paraId="4A827944"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54.2</w:t>
            </w:r>
          </w:p>
        </w:tc>
        <w:tc>
          <w:tcPr>
            <w:tcW w:w="1449" w:type="dxa"/>
            <w:hideMark/>
          </w:tcPr>
          <w:p w14:paraId="0A72FD5F"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38</w:t>
            </w:r>
          </w:p>
        </w:tc>
        <w:tc>
          <w:tcPr>
            <w:tcW w:w="1336" w:type="dxa"/>
            <w:hideMark/>
          </w:tcPr>
          <w:p w14:paraId="786EECEA"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75.4</w:t>
            </w:r>
          </w:p>
        </w:tc>
      </w:tr>
      <w:tr w:rsidR="00291092" w:rsidRPr="00291092" w14:paraId="7BB6CE09" w14:textId="77777777" w:rsidTr="00291092">
        <w:trPr>
          <w:trHeight w:val="290"/>
        </w:trPr>
        <w:tc>
          <w:tcPr>
            <w:tcW w:w="805" w:type="dxa"/>
            <w:hideMark/>
          </w:tcPr>
          <w:p w14:paraId="25FCBB70"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2026</w:t>
            </w:r>
          </w:p>
        </w:tc>
        <w:tc>
          <w:tcPr>
            <w:tcW w:w="1530" w:type="dxa"/>
            <w:hideMark/>
          </w:tcPr>
          <w:p w14:paraId="6BAF767A"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44</w:t>
            </w:r>
          </w:p>
        </w:tc>
        <w:tc>
          <w:tcPr>
            <w:tcW w:w="1350" w:type="dxa"/>
            <w:hideMark/>
          </w:tcPr>
          <w:p w14:paraId="45610867"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75.2</w:t>
            </w:r>
          </w:p>
        </w:tc>
        <w:tc>
          <w:tcPr>
            <w:tcW w:w="1440" w:type="dxa"/>
            <w:hideMark/>
          </w:tcPr>
          <w:p w14:paraId="368C286B"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26.8</w:t>
            </w:r>
          </w:p>
        </w:tc>
        <w:tc>
          <w:tcPr>
            <w:tcW w:w="1440" w:type="dxa"/>
            <w:hideMark/>
          </w:tcPr>
          <w:p w14:paraId="39F751E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54.5</w:t>
            </w:r>
          </w:p>
        </w:tc>
        <w:tc>
          <w:tcPr>
            <w:tcW w:w="1449" w:type="dxa"/>
            <w:hideMark/>
          </w:tcPr>
          <w:p w14:paraId="600E2498"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38.7</w:t>
            </w:r>
          </w:p>
        </w:tc>
        <w:tc>
          <w:tcPr>
            <w:tcW w:w="1336" w:type="dxa"/>
            <w:hideMark/>
          </w:tcPr>
          <w:p w14:paraId="199EC9F7"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76.1</w:t>
            </w:r>
          </w:p>
        </w:tc>
      </w:tr>
      <w:tr w:rsidR="00291092" w:rsidRPr="00291092" w14:paraId="6A8E7DA3" w14:textId="77777777" w:rsidTr="00291092">
        <w:trPr>
          <w:trHeight w:val="290"/>
        </w:trPr>
        <w:tc>
          <w:tcPr>
            <w:tcW w:w="805" w:type="dxa"/>
            <w:hideMark/>
          </w:tcPr>
          <w:p w14:paraId="2F0B3026"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2027</w:t>
            </w:r>
          </w:p>
        </w:tc>
        <w:tc>
          <w:tcPr>
            <w:tcW w:w="1530" w:type="dxa"/>
            <w:hideMark/>
          </w:tcPr>
          <w:p w14:paraId="5B42E577"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44.5</w:t>
            </w:r>
          </w:p>
        </w:tc>
        <w:tc>
          <w:tcPr>
            <w:tcW w:w="1350" w:type="dxa"/>
            <w:hideMark/>
          </w:tcPr>
          <w:p w14:paraId="3069E0E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75.9</w:t>
            </w:r>
          </w:p>
        </w:tc>
        <w:tc>
          <w:tcPr>
            <w:tcW w:w="1440" w:type="dxa"/>
            <w:hideMark/>
          </w:tcPr>
          <w:p w14:paraId="68E582C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27</w:t>
            </w:r>
          </w:p>
        </w:tc>
        <w:tc>
          <w:tcPr>
            <w:tcW w:w="1440" w:type="dxa"/>
            <w:hideMark/>
          </w:tcPr>
          <w:p w14:paraId="47D751CE"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54.7</w:t>
            </w:r>
          </w:p>
        </w:tc>
        <w:tc>
          <w:tcPr>
            <w:tcW w:w="1449" w:type="dxa"/>
            <w:hideMark/>
          </w:tcPr>
          <w:p w14:paraId="2A6A1E2F"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39.3</w:t>
            </w:r>
          </w:p>
        </w:tc>
        <w:tc>
          <w:tcPr>
            <w:tcW w:w="1336" w:type="dxa"/>
            <w:hideMark/>
          </w:tcPr>
          <w:p w14:paraId="4414BC74"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76.7</w:t>
            </w:r>
          </w:p>
        </w:tc>
      </w:tr>
      <w:tr w:rsidR="00291092" w:rsidRPr="00291092" w14:paraId="05FF7417" w14:textId="77777777" w:rsidTr="00291092">
        <w:trPr>
          <w:trHeight w:val="290"/>
        </w:trPr>
        <w:tc>
          <w:tcPr>
            <w:tcW w:w="805" w:type="dxa"/>
            <w:hideMark/>
          </w:tcPr>
          <w:p w14:paraId="7776CBB3"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2028</w:t>
            </w:r>
          </w:p>
        </w:tc>
        <w:tc>
          <w:tcPr>
            <w:tcW w:w="1530" w:type="dxa"/>
            <w:hideMark/>
          </w:tcPr>
          <w:p w14:paraId="23718B0A"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45</w:t>
            </w:r>
          </w:p>
        </w:tc>
        <w:tc>
          <w:tcPr>
            <w:tcW w:w="1350" w:type="dxa"/>
            <w:hideMark/>
          </w:tcPr>
          <w:p w14:paraId="55EFBF98"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76.6</w:t>
            </w:r>
          </w:p>
        </w:tc>
        <w:tc>
          <w:tcPr>
            <w:tcW w:w="1440" w:type="dxa"/>
            <w:hideMark/>
          </w:tcPr>
          <w:p w14:paraId="69961690"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27.1</w:t>
            </w:r>
          </w:p>
        </w:tc>
        <w:tc>
          <w:tcPr>
            <w:tcW w:w="1440" w:type="dxa"/>
            <w:hideMark/>
          </w:tcPr>
          <w:p w14:paraId="3DEC852E"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54.9</w:t>
            </w:r>
          </w:p>
        </w:tc>
        <w:tc>
          <w:tcPr>
            <w:tcW w:w="1449" w:type="dxa"/>
            <w:hideMark/>
          </w:tcPr>
          <w:p w14:paraId="35BDFAA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40</w:t>
            </w:r>
          </w:p>
        </w:tc>
        <w:tc>
          <w:tcPr>
            <w:tcW w:w="1336" w:type="dxa"/>
            <w:hideMark/>
          </w:tcPr>
          <w:p w14:paraId="544569FA"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77.4</w:t>
            </w:r>
          </w:p>
        </w:tc>
      </w:tr>
      <w:tr w:rsidR="00291092" w:rsidRPr="00291092" w14:paraId="1E1C81F5" w14:textId="77777777" w:rsidTr="00291092">
        <w:trPr>
          <w:trHeight w:val="290"/>
        </w:trPr>
        <w:tc>
          <w:tcPr>
            <w:tcW w:w="805" w:type="dxa"/>
            <w:hideMark/>
          </w:tcPr>
          <w:p w14:paraId="341548C9"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2029</w:t>
            </w:r>
          </w:p>
        </w:tc>
        <w:tc>
          <w:tcPr>
            <w:tcW w:w="1530" w:type="dxa"/>
            <w:hideMark/>
          </w:tcPr>
          <w:p w14:paraId="2F9603D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45.5</w:t>
            </w:r>
          </w:p>
        </w:tc>
        <w:tc>
          <w:tcPr>
            <w:tcW w:w="1350" w:type="dxa"/>
            <w:hideMark/>
          </w:tcPr>
          <w:p w14:paraId="291EFBA5"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77.3</w:t>
            </w:r>
          </w:p>
        </w:tc>
        <w:tc>
          <w:tcPr>
            <w:tcW w:w="1440" w:type="dxa"/>
            <w:hideMark/>
          </w:tcPr>
          <w:p w14:paraId="24A8B1E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27.3</w:t>
            </w:r>
          </w:p>
        </w:tc>
        <w:tc>
          <w:tcPr>
            <w:tcW w:w="1440" w:type="dxa"/>
            <w:hideMark/>
          </w:tcPr>
          <w:p w14:paraId="76BE816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55.1</w:t>
            </w:r>
          </w:p>
        </w:tc>
        <w:tc>
          <w:tcPr>
            <w:tcW w:w="1449" w:type="dxa"/>
            <w:hideMark/>
          </w:tcPr>
          <w:p w14:paraId="05781283"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40.7</w:t>
            </w:r>
          </w:p>
        </w:tc>
        <w:tc>
          <w:tcPr>
            <w:tcW w:w="1336" w:type="dxa"/>
            <w:hideMark/>
          </w:tcPr>
          <w:p w14:paraId="6A6ACBE2"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78.1</w:t>
            </w:r>
          </w:p>
        </w:tc>
      </w:tr>
      <w:tr w:rsidR="00291092" w:rsidRPr="00291092" w14:paraId="686DDE45" w14:textId="77777777" w:rsidTr="00291092">
        <w:trPr>
          <w:trHeight w:val="290"/>
        </w:trPr>
        <w:tc>
          <w:tcPr>
            <w:tcW w:w="805" w:type="dxa"/>
            <w:hideMark/>
          </w:tcPr>
          <w:p w14:paraId="46B25A36"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2030</w:t>
            </w:r>
          </w:p>
        </w:tc>
        <w:tc>
          <w:tcPr>
            <w:tcW w:w="1530" w:type="dxa"/>
            <w:hideMark/>
          </w:tcPr>
          <w:p w14:paraId="433BAB06"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46</w:t>
            </w:r>
          </w:p>
        </w:tc>
        <w:tc>
          <w:tcPr>
            <w:tcW w:w="1350" w:type="dxa"/>
            <w:hideMark/>
          </w:tcPr>
          <w:p w14:paraId="631CE41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78</w:t>
            </w:r>
          </w:p>
        </w:tc>
        <w:tc>
          <w:tcPr>
            <w:tcW w:w="1440" w:type="dxa"/>
            <w:hideMark/>
          </w:tcPr>
          <w:p w14:paraId="66680BB1"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27.5</w:t>
            </w:r>
          </w:p>
        </w:tc>
        <w:tc>
          <w:tcPr>
            <w:tcW w:w="1440" w:type="dxa"/>
            <w:hideMark/>
          </w:tcPr>
          <w:p w14:paraId="4095795D"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55.3</w:t>
            </w:r>
          </w:p>
        </w:tc>
        <w:tc>
          <w:tcPr>
            <w:tcW w:w="1449" w:type="dxa"/>
            <w:hideMark/>
          </w:tcPr>
          <w:p w14:paraId="415DCC7C"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41.3</w:t>
            </w:r>
          </w:p>
        </w:tc>
        <w:tc>
          <w:tcPr>
            <w:tcW w:w="1336" w:type="dxa"/>
            <w:hideMark/>
          </w:tcPr>
          <w:p w14:paraId="467A99DF" w14:textId="77777777" w:rsidR="00291092" w:rsidRPr="00291092" w:rsidRDefault="00291092" w:rsidP="00291092">
            <w:pPr>
              <w:spacing w:line="240" w:lineRule="auto"/>
              <w:jc w:val="right"/>
              <w:rPr>
                <w:rFonts w:ascii="Times New Roman" w:hAnsi="Times New Roman" w:cs="Times New Roman"/>
              </w:rPr>
            </w:pPr>
            <w:r w:rsidRPr="00291092">
              <w:rPr>
                <w:rFonts w:ascii="Times New Roman" w:hAnsi="Times New Roman" w:cs="Times New Roman"/>
              </w:rPr>
              <w:t>78.7</w:t>
            </w:r>
          </w:p>
        </w:tc>
      </w:tr>
    </w:tbl>
    <w:p w14:paraId="1CC9D2C6" w14:textId="284C860B" w:rsidR="0062738A" w:rsidRPr="00AF54C0" w:rsidRDefault="0062738A" w:rsidP="0062738A">
      <w:pPr>
        <w:spacing w:before="120" w:line="480" w:lineRule="auto"/>
        <w:rPr>
          <w:rFonts w:ascii="Times New Roman" w:hAnsi="Times New Roman" w:cs="Times New Roman"/>
        </w:rPr>
      </w:pPr>
      <w:r>
        <w:rPr>
          <w:rFonts w:ascii="Times New Roman" w:hAnsi="Times New Roman" w:cs="Times New Roman"/>
        </w:rPr>
        <w:t xml:space="preserve">Table </w:t>
      </w:r>
      <w:r w:rsidR="00AF54C0">
        <w:rPr>
          <w:rFonts w:ascii="Times New Roman" w:hAnsi="Times New Roman" w:cs="Times New Roman"/>
        </w:rPr>
        <w:t>S</w:t>
      </w:r>
      <w:r w:rsidR="005641BB">
        <w:rPr>
          <w:rFonts w:ascii="Times New Roman" w:hAnsi="Times New Roman" w:cs="Times New Roman"/>
        </w:rPr>
        <w:t>5</w:t>
      </w:r>
      <w:r w:rsidRPr="00A611C6">
        <w:rPr>
          <w:rFonts w:ascii="Times New Roman" w:hAnsi="Times New Roman" w:cs="Times New Roman"/>
        </w:rPr>
        <w:t>–</w:t>
      </w:r>
      <w:r w:rsidR="00AF54C0">
        <w:rPr>
          <w:rFonts w:ascii="Times New Roman" w:hAnsi="Times New Roman" w:cs="Times New Roman"/>
        </w:rPr>
        <w:t>S</w:t>
      </w:r>
      <w:r w:rsidR="005641BB">
        <w:rPr>
          <w:rFonts w:ascii="Times New Roman" w:hAnsi="Times New Roman" w:cs="Times New Roman"/>
        </w:rPr>
        <w:t>7</w:t>
      </w:r>
      <w:r>
        <w:rPr>
          <w:rFonts w:ascii="Times New Roman" w:hAnsi="Times New Roman" w:cs="Times New Roman"/>
        </w:rPr>
        <w:t xml:space="preserve"> </w:t>
      </w:r>
      <w:r w:rsidRPr="0062738A">
        <w:rPr>
          <w:rFonts w:ascii="Times New Roman" w:hAnsi="Times New Roman" w:cs="Times New Roman"/>
        </w:rPr>
        <w:t xml:space="preserve">The practical-access rate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62738A">
        <w:rPr>
          <w:rFonts w:ascii="Times New Roman" w:hAnsi="Times New Roman" w:cs="Times New Roman"/>
        </w:rPr>
        <w:t xml:space="preserve">is designed as a country-specific index for the fraction of eligible adults who can realistically obtain GLP-1 treatment after </w:t>
      </w:r>
      <w:r w:rsidR="0099187B">
        <w:rPr>
          <w:rFonts w:ascii="Times New Roman" w:hAnsi="Times New Roman" w:cs="Times New Roman"/>
        </w:rPr>
        <w:t>considering</w:t>
      </w:r>
      <w:r w:rsidRPr="0062738A">
        <w:rPr>
          <w:rFonts w:ascii="Times New Roman" w:hAnsi="Times New Roman" w:cs="Times New Roman"/>
        </w:rPr>
        <w:t xml:space="preserve"> for regulatory approval</w:t>
      </w:r>
      <w:r w:rsidRPr="00AF54C0">
        <w:rPr>
          <w:rFonts w:ascii="Times New Roman" w:hAnsi="Times New Roman" w:cs="Times New Roman"/>
        </w:rPr>
        <w:t xml:space="preserve">, insurance coverage, public reimbursement, drug price, prescribing infrastructure, and market availability. For the United States,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AF54C0">
        <w:rPr>
          <w:rFonts w:ascii="Times New Roman" w:hAnsi="Times New Roman" w:cs="Times New Roman"/>
        </w:rPr>
        <w:t>is set highest because the U.S. GLP-1 market is the largest and fastest-moving: FDA approvals of Wegovy for chronic weight management and Zepbound for adults with obesity or overweight plus a weight-related condition expanded the approved treatment base, and Wegovy later received a cardiovascular-risk indication that strengthens reimbursement justification for some adults with obesity or overweight and established cardiovascular disease</w:t>
      </w:r>
      <w:r w:rsidR="0099187B" w:rsidRPr="00AF54C0">
        <w:rPr>
          <w:rFonts w:ascii="Times New Roman" w:hAnsi="Times New Roman" w:cs="Times New Roman"/>
        </w:rPr>
        <w:t xml:space="preserve"> </w:t>
      </w:r>
      <w:r w:rsidR="0099187B" w:rsidRPr="00AF54C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{"citationID":"KzVu3IR0","properties":{"unsorted":false,"formattedCitation":"\\super 17\\uc0\\u8211{}19\\nosupersub{}","plainCitation":"17–19","noteIndex":0},"citationItems":[{"id":500,"uris":["http://zotero.org/users/12629452/items/QXTIKKGV"],"itemData":{"id":500,"type":"article-journal","abstract":"Glucagon-like peptide 1 receptor agonists and glucagon-like peptide 1/gastric inhibitory polypeptide receptor agonists offer weight reduction and associated health benefits that, if sustained over time, have the potential to markedly improve population health. However, over 40% of US adults have obesity, translating into more than 100 million potential new users of obesity medications. Standing in the way of the major opportunity to improve health for these individuals is the massive and likely ongoing cost of treating such a large segment of the population, even though use of the treatments is estimated to be cost–effective over a lifetime. This paper analyzes the range of emerging market approaches and policy reforms that have the potential to help the broader US health system achieve affordable and equitable access to these medications, and the relative advantages, barriers and possible unintended consequences of each approach. We seek to present policymakers and industry leaders with insights and lessons learned from experts while offering a menu of options for the future that will help all stakeholders play an active part in an innovative future of pricing, coverage and payment for new obesity medications., New policy analysis from the Institute for Clinical and Economic Review (ICER) provides clear policy and market solutions to help the US health system achieve affordable and equitable access to glucagon-like peptide 1 obesity medications.","container-title":"Journal of Comparative Effectiveness Research","DOI":"10.57264/cer-2025-0083","ISSN":"2042-6305","issue":"9","journalAbbreviation":"J Comp Eff Res","page":"e250083","PMID":"40641455","PMCID":"PMC12403326","source":"PubMed Central","title":"Affordable access to GLP-1 obesity medications: strategies to guide market action and policy solutions in the US","title-short":"Affordable access to GLP-1 obesity medications","volume":"14","author":[{"family":"Pearson","given":"Steven D"},{"family":"Whaley","given":"Christopher M"},{"family":"Emond","given":"Sarah K"}],"issued":{"date-parts":[["2025"]]}}},{"id":503,"uris":["http://zotero.org/users/12629452/items/WZ7HQV4S"],"itemData":{"id":503,"type":"webpage","abstract":"The FDA approved Zepbound (tirzepatide) injection for chronic weight management in adults with obesity or overweight with at least one weight-related condition, for use in addition to a reduced calorie diet and increased physical activity.","container-title":"FDA","language":"en","publisher":"FDA","title":"FDA Approves New Medication for Chronic Weight Management","URL":"https://www.fda.gov/news-events/press-announcements/fda-approves-new-medication-chronic-weight-management","author":[{"family":"U.S. Food and Drug Administration","given":""}],"accessed":{"date-parts":[["2026",6,16]]},"issued":{"date-parts":[["2024",8,9]]}}},{"id":505,"uris":["http://zotero.org/users/12629452/items/JILTYS2S"],"itemData":{"id":505,"type":"webpage","abstract":"The FDA approved a new use for a drug to reduce the risk of cardiovascular disease, heart attack and stroke in adults with cardiovascular disease and either obesity or overweight.","container-title":"FDA","language":"en","publisher":"FDA","title":"FDA Approves First Treatment to Reduce Risk of Serious Heart Problems Specifically in Adults with Obesity or Overweight","URL":"https://www.fda.gov/news-events/press-announcements/fda-approves-first-treatment-reduce-risk-serious-heart-problems-specifically-adults-obesity-or","author":[{"family":"U.S. Food and Drug Administration","given":""}],"accessed":{"date-parts":[["2026",6,16]]},"issued":{"date-parts":[["2024",8,9]]}}}],"schema":"https://github.com/citation-style-language/schema/raw/master/csl-citation.json"} </w:instrText>
      </w:r>
      <w:r w:rsidR="0099187B" w:rsidRPr="00AF54C0">
        <w:rPr>
          <w:rFonts w:ascii="Times New Roman" w:hAnsi="Times New Roman" w:cs="Times New Roman"/>
        </w:rPr>
        <w:fldChar w:fldCharType="separate"/>
      </w:r>
      <w:r w:rsidR="005B14DE" w:rsidRPr="005B14DE">
        <w:rPr>
          <w:rFonts w:ascii="Times New Roman" w:hAnsi="Times New Roman" w:cs="Times New Roman"/>
          <w:kern w:val="0"/>
          <w:vertAlign w:val="superscript"/>
        </w:rPr>
        <w:t>17–19</w:t>
      </w:r>
      <w:r w:rsidR="0099187B" w:rsidRPr="00AF54C0">
        <w:rPr>
          <w:rFonts w:ascii="Times New Roman" w:hAnsi="Times New Roman" w:cs="Times New Roman"/>
        </w:rPr>
        <w:fldChar w:fldCharType="end"/>
      </w:r>
      <w:r w:rsidRPr="00AF54C0">
        <w:rPr>
          <w:rFonts w:ascii="Times New Roman" w:hAnsi="Times New Roman" w:cs="Times New Roman"/>
        </w:rPr>
        <w:t xml:space="preserve">. However,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AF54C0">
        <w:rPr>
          <w:rFonts w:ascii="Times New Roman" w:hAnsi="Times New Roman" w:cs="Times New Roman"/>
        </w:rPr>
        <w:t>remains well below one because access is still constrained by high prices, insurance restrictions, and public-program limits: KFF reports that Medicare coverage for GLP-1s used specifically for obesity treatment remains prohibited under current law, and only 13 state Medicaid fee-for-service programs covered GLP-1s for obesity treatment as of January 2026, often with utilization controls such as prior authorization</w:t>
      </w:r>
      <w:r w:rsidR="0099187B" w:rsidRPr="00AF54C0">
        <w:rPr>
          <w:rFonts w:ascii="Times New Roman" w:hAnsi="Times New Roman" w:cs="Times New Roman"/>
        </w:rPr>
        <w:t xml:space="preserve"> </w:t>
      </w:r>
      <w:r w:rsidR="00E34893" w:rsidRPr="00AF54C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{"citationID":"7Ye6PXzF","properties":{"unsorted":false,"formattedCitation":"\\super 20,21\\nosupersub{}","plainCitation":"20,21","noteIndex":0},"citationItems":[{"id":509,"uris":["http://zotero.org/users/12629452/items/ZICXSPUN"],"itemData":{"id":509,"type":"post-weblog","abstract":"This brief discusses the current landscape of Medicaid GLP-1 coverage and examines recent trends in Medicaid prescriptions and gross spending on GLP-1s.","container-title":"KFF","language":"en-US","title":"Medicaid Coverage of and Spending on GLP-1s","URL":"https://www.kff.org/medicaid/medicaid-coverage-of-and-spending-on-glp-1s/","author":[{"family":"KFF","given":""}],"accessed":{"date-parts":[["2026",6,16]]},"issued":{"date-parts":[["2026",1,16]]}}},{"id":507,"uris":["http://zotero.org/users/12629452/items/JFAIYQ85"],"itemData":{"id":507,"type":"post-weblog","abstract":"This brief describes current coverage of GLP-1s in Medicare and Medicaid, the Centers for Medicare &amp; Medicaid Services’ (CMS) efforts to expand access and lower costs for GLP-1s through temporary demonstration programs including the BALANCE Model, and potential impacts on beneficiaries and program budgets.","container-title":"KFF","language":"en-US","title":"What to Know About the BALANCE Model for GLP-1s in Medicare and Medicaid and the Medicare GLP-1 Bridge","URL":"https://www.kff.org/medicare/what-to-know-about-the-balance-model-for-glp-1s-in-medicare-and-medicaid/","author":[{"family":"KFF","given":""}],"accessed":{"date-parts":[["2026",6,16]]},"issued":{"date-parts":[["2026",5,11]]}}}],"schema":"https://github.com/citation-style-language/schema/raw/master/csl-citation.json"} </w:instrText>
      </w:r>
      <w:r w:rsidR="00E34893" w:rsidRPr="00AF54C0">
        <w:rPr>
          <w:rFonts w:ascii="Times New Roman" w:hAnsi="Times New Roman" w:cs="Times New Roman"/>
        </w:rPr>
        <w:fldChar w:fldCharType="separate"/>
      </w:r>
      <w:r w:rsidR="005B14DE" w:rsidRPr="005B14DE">
        <w:rPr>
          <w:rFonts w:ascii="Times New Roman" w:hAnsi="Times New Roman" w:cs="Times New Roman"/>
          <w:kern w:val="0"/>
          <w:vertAlign w:val="superscript"/>
        </w:rPr>
        <w:t>20,21</w:t>
      </w:r>
      <w:r w:rsidR="00E34893" w:rsidRPr="00AF54C0">
        <w:rPr>
          <w:rFonts w:ascii="Times New Roman" w:hAnsi="Times New Roman" w:cs="Times New Roman"/>
        </w:rPr>
        <w:fldChar w:fldCharType="end"/>
      </w:r>
      <w:r w:rsidRPr="00AF54C0">
        <w:rPr>
          <w:rFonts w:ascii="Times New Roman" w:hAnsi="Times New Roman" w:cs="Times New Roman"/>
        </w:rPr>
        <w:t>. Private coverage is broader but incomplete: Reuters reports that 44% of U.S. employers with more than 500 workers covered weight-loss drugs in 2024, rising from 41% in 2023, while coverage among the largest employers exceeded 60%; at the same time, cost pressures are causing some employers to add restrictions or even drop coverage</w:t>
      </w:r>
      <w:r w:rsidR="00E34893" w:rsidRPr="00AF54C0">
        <w:rPr>
          <w:rFonts w:ascii="Times New Roman" w:hAnsi="Times New Roman" w:cs="Times New Roman"/>
        </w:rPr>
        <w:t xml:space="preserve"> </w:t>
      </w:r>
      <w:r w:rsidR="00E34893" w:rsidRPr="00AF54C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{"citationID":"t6wwB46m","properties":{"unsorted":false,"formattedCitation":"\\super 22,23\\nosupersub{}","plainCitation":"22,23","noteIndex":0},"citationItems":[{"id":511,"uris":["http://zotero.org/users/12629452/items/DWRU7RYV"],"itemData":{"id":511,"type":"article-newspaper","abstract":"About 44% of U.S. employers with 500 or more employees cover drugs for weight loss in 2024, up from 41% in 2023, according to a survey from consulting firm Mercer released on Wednesday.","container-title":"Reuters","language":"en","section":"Healthcare &amp; Pharmaceuticals","source":"www.reuters.com","title":"Weight-loss drug coverage rises among largest US employers, Mercer survey finds","URL":"https://www.reuters.com/business/healthcare-pharmaceuticals/weight-loss-drug-coverage-rises-among-largest-us-employers-mercer-survey-finds-2024-11-20/","author":[{"family":"Reuters","given":""}],"accessed":{"date-parts":[["2026",6,16]]},"issued":{"date-parts":[["2024",11,20]]}}},{"id":513,"uris":["http://zotero.org/users/12629452/items/66MQAKM9"],"itemData":{"id":513,"type":"article-newspaper","abstract":"Some employers are planning to drop coverage of GLP-1 drugs for weight loss next year as more people take the medications, counteracting some savings from lower prices for Novo Nordisk's Wegovy and Eli Lilly's Zepbound ​and Foundayo.","container-title":"Reuters","language":"en","section":"Healthcare &amp; Pharmaceuticals","source":"www.reuters.com","title":"Some US employers to drop coverage of GLP-1 obesity drugs in 2027 as use increases","URL":"https://www.reuters.com/legal/litigation/some-us-employers-drop-coverage-glp-1-obesity-drugs-2027-use-increases-2026-06-11/","author":[{"family":"Reuters","given":""}],"accessed":{"date-parts":[["2026",6,16]]},"issued":{"date-parts":[["2026",6,11]]}}}],"schema":"https://github.com/citation-style-language/schema/raw/master/csl-citation.json"} </w:instrText>
      </w:r>
      <w:r w:rsidR="00E34893" w:rsidRPr="00AF54C0">
        <w:rPr>
          <w:rFonts w:ascii="Times New Roman" w:hAnsi="Times New Roman" w:cs="Times New Roman"/>
        </w:rPr>
        <w:fldChar w:fldCharType="separate"/>
      </w:r>
      <w:r w:rsidR="005B14DE" w:rsidRPr="005B14DE">
        <w:rPr>
          <w:rFonts w:ascii="Times New Roman" w:hAnsi="Times New Roman" w:cs="Times New Roman"/>
          <w:kern w:val="0"/>
          <w:vertAlign w:val="superscript"/>
        </w:rPr>
        <w:t>22,23</w:t>
      </w:r>
      <w:r w:rsidR="00E34893" w:rsidRPr="00AF54C0">
        <w:rPr>
          <w:rFonts w:ascii="Times New Roman" w:hAnsi="Times New Roman" w:cs="Times New Roman"/>
        </w:rPr>
        <w:fldChar w:fldCharType="end"/>
      </w:r>
      <w:r w:rsidRPr="00AF54C0">
        <w:rPr>
          <w:rFonts w:ascii="Times New Roman" w:hAnsi="Times New Roman" w:cs="Times New Roman"/>
        </w:rPr>
        <w:t>. The U.S. also receives a faster projected increase after 2025 because market size and price competition are expanding: U.S. GLP-1 spending increased from $13.7 billion in 2018 to $71.7 billion in 2023, global anti-obesity medication spending exceeded $30 billion in 2024, and direct-to-consumer/self-pay price reductions lowered some U.S. cash prices from more than $1,000 per month toward several-hundred-dollar monthly levels</w:t>
      </w:r>
      <w:r w:rsidR="00E34893" w:rsidRPr="00AF54C0">
        <w:rPr>
          <w:rFonts w:ascii="Times New Roman" w:hAnsi="Times New Roman" w:cs="Times New Roman"/>
        </w:rPr>
        <w:t xml:space="preserve"> </w:t>
      </w:r>
      <w:r w:rsidR="00E34893" w:rsidRPr="00AF54C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{"citationID":"KcZSZHge","properties":{"unsorted":false,"formattedCitation":"\\super 24\\uc0\\u8211{}26\\nosupersub{}","plainCitation":"24–26","noteIndex":0},"citationItems":[{"id":519,"uris":["http://zotero.org/users/12629452/items/YWVEBBII"],"itemData":{"id":519,"type":"webpage","abstract":"The company agreed earlier this month to offer the reduced pricing on TrumpRx.","container-title":"Axios","language":"en","title":"Novo Nordisk reduces Ozempic, Wegovy prices","URL":"https://www.axios.com/2025/11/17/ozempic-wegovy-glp-1-prices","author":[{"family":"Goldman","given":"Nathan Bomey","suffix":"Maya"}],"accessed":{"date-parts":[["2026",6,16]]},"issued":{"date-parts":[["2025",11,17]]}}},{"id":518,"uris":["http://zotero.org/users/12629452/items/AL5NUM95"],"itemData":{"id":518,"type":"webpage","abstract":"&lt;p&gt;As 2025 gets underway, we take a look at what lies ahead for the highly dynamic market for effective anti-obesity medications (AOMs).&lt;/p&gt;\n&lt;p&gt;With 2024 as the year when the AOM market took shape, and 2026 a pivotal year that will define future competitive dynamics as the next wave of AOMs launch, and when the first off patent semaglutide likely becomes available in some countries, it is easy to dismiss 2025 as an uneventful transition. However, 2025 will be anything but, as we will elaborate in this blog. This year will provide a glimpse into the future AOM market as key trends play out across reimbursement, innovation and competition; as the diagnosis of clinical obesity will be redefined, while evidence substantiating the value of AOMs begins to accumulate in the real world.&lt;/p&gt;\n&lt;p&gt;Before we start looking ahead, we want to take stock of where 2024 left the AOM market.&lt;/p&gt;\n&lt;h4&gt;Highlights of 2024: The year the obesity market took shape&lt;/h4&gt;\n&lt;p&gt;The market for anti-obesity medications (AOMs) reached a major milestone in 2024 with global spend exceeding $30Bn for the first time, an over ten-fold increase since 2020. This was predominantly driven by the continuing roll-out of Novo Nordisk&amp;rsquo;s semaglutide and Lilly&amp;rsquo;s tirzepatide, and off-label use of their respective T2D-indicated brands.&lt;/p&gt;\n&lt;p&gt;Official supply shortages persisted for most of 2024, as surging demand for AOMs continued to outstrip product supply, despite limited reimbursement, which presented an opportunity quickly seized upon by U.S. compounders. At the same time, both Lilly and Novo Nordisk made multi-billion dollar capital investments in expanding their manufacturing capacity to satisfy unrelenting patient demand, including pharma&amp;rsquo;s largest M&amp;amp;A deal of the year, the $16.5Bn acquisition of CDMO Catalent by Novo Holdings, the controlling shareholder of Novo Nordisk.&lt;/p&gt;\n&lt;p&gt;In 2024, we also saw unprecedented willingness by large numbers of patients to pay out of pocket, even in European markets, as public coverage of AOMs is still limited, at best, and more often non-existent. For example, IQVIA data suggests privately paid use of AOMs by almost 100,000 patients in Germany; almost 100,000 patients paying privately for Wegovy alone in Denmark; while in the UK over 400,000 patients paid out of pocket for AOMs.&lt;/p&gt;\n&lt;p&gt;Incretin mimetics considerably expanded their proven benefits beyond obesity in 2024. The FDA approved CV risk reduction as additional indication for Wegovy and obstructive sleep apnoea for Zepbound. Additionally, several key clinical trial readouts delivered compelling data across multiple indications, for example (see Figure 1):&lt;/p&gt;\n&lt;ul&gt;\n    &lt;li&gt;&lt;strong&gt;Semaglutide&lt;/strong&gt;: STEP-HFpEF (functional benefits in HFpEF), STEP-9 (pain reduction in knee osteoarthritis), STEP-10 (reversion to normoglycaemia in pre-diabetic, obese patients), ESSENCE (resolution of MASH, improvement in fibrosis)&lt;/li&gt;\n    &lt;li&gt;&lt;strong&gt;Tirzepatide&lt;/strong&gt;: SUMMIT (risk reduction in HFpEF outcomes; functional benefits); SURMOUNT-1, 104-week extension (risk reduction of progression to T2D, in pre-diabetic, obese/overweight patients);&amp;nbsp; SYNERGY-NASH (resolution of MASH, improvement in fibrosis); SURMOUNT-OSA (reduction in apnoea&amp;ndash;hypopnea in obstructive sleep apnoea)&lt;/li&gt;\n    &lt;li&gt;&lt;strong&gt;Survodutide&lt;/strong&gt;: MASH trial (resolution of MASH, improvement in fibrosis)&lt;/li&gt;\n&lt;/ul&gt;","language":"en","title":"Outlook for obesity in 2025: more than a transition year","title-short":"Outlook for obesity in 2025","URL":"https://www.iqvia.com/locations/emea/blogs/2025/01/outlook-for-obesity-in-2025-more-than-a-transition-year","author":[{"family":"IQVIA","given":""}],"accessed":{"date-parts":[["2026",6,16]]},"issued":{"date-parts":[["2025"]]}}},{"id":515,"uris":["http://zotero.org/users/12629452/items/CASN2QHM"],"itemData":{"id":515,"type":"article-journal","abstract":"This economic evaluation estimates annual total US spending on glucagon-like peptide-1 receptor agonists from 2018 to 2023.","container-title":"JAMA Network Open","DOI":"10.1001/jamanetworkopen.2025.2964","ISSN":"2574-3805","issue":"4","journalAbbreviation":"JAMA Netw Open","page":"e252964","PMID":"40172891","PMCID":"PMC11966331","source":"PubMed Central","title":"Spending on Glucagon-Like Peptide-1 Receptor Agonists Among US Adults","volume":"8","author":[{"family":"Tsipas","given":"Stavros"},{"family":"Khan","given":"Tamkeen"},{"family":"Loustalot","given":"Fleetwood"},{"family":"Myftari","given":"Klodiana"},{"family":"Wozniak","given":"Gregory"}],"issued":{"date-parts":[["2025",4,2]]}}}],"schema":"https://github.com/citation-style-language/schema/raw/master/csl-citation.json"} </w:instrText>
      </w:r>
      <w:r w:rsidR="00E34893" w:rsidRPr="00AF54C0">
        <w:rPr>
          <w:rFonts w:ascii="Times New Roman" w:hAnsi="Times New Roman" w:cs="Times New Roman"/>
        </w:rPr>
        <w:fldChar w:fldCharType="separate"/>
      </w:r>
      <w:r w:rsidR="005B14DE" w:rsidRPr="005B14DE">
        <w:rPr>
          <w:rFonts w:ascii="Times New Roman" w:hAnsi="Times New Roman" w:cs="Times New Roman"/>
          <w:kern w:val="0"/>
          <w:vertAlign w:val="superscript"/>
        </w:rPr>
        <w:t>24–26</w:t>
      </w:r>
      <w:r w:rsidR="00E34893" w:rsidRPr="00AF54C0">
        <w:rPr>
          <w:rFonts w:ascii="Times New Roman" w:hAnsi="Times New Roman" w:cs="Times New Roman"/>
        </w:rPr>
        <w:fldChar w:fldCharType="end"/>
      </w:r>
      <w:r w:rsidRPr="00AF54C0">
        <w:rPr>
          <w:rFonts w:ascii="Times New Roman" w:hAnsi="Times New Roman" w:cs="Times New Roman"/>
        </w:rPr>
        <w:t xml:space="preserve">. </w:t>
      </w:r>
    </w:p>
    <w:p w14:paraId="05A7AE94" w14:textId="4D8D8258" w:rsidR="0062738A" w:rsidRPr="00AF54C0" w:rsidRDefault="0062738A" w:rsidP="00AF54C0">
      <w:pPr>
        <w:spacing w:before="120" w:line="480" w:lineRule="auto"/>
        <w:ind w:firstLine="720"/>
        <w:rPr>
          <w:rFonts w:ascii="Times New Roman" w:hAnsi="Times New Roman" w:cs="Times New Roman"/>
        </w:rPr>
      </w:pPr>
      <w:r w:rsidRPr="00AF54C0">
        <w:rPr>
          <w:rFonts w:ascii="Times New Roman" w:hAnsi="Times New Roman" w:cs="Times New Roman"/>
        </w:rPr>
        <w:t xml:space="preserve">For Canada,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AF54C0">
        <w:rPr>
          <w:rFonts w:ascii="Times New Roman" w:hAnsi="Times New Roman" w:cs="Times New Roman"/>
        </w:rPr>
        <w:t xml:space="preserve">is designed lower than the U.S. because regulatory availability exists but reimbursement and insurance coverage remain much narrower. Health Canada authorized Wegovy for chronic weight management in adults with BMI ≥ 30, or BMI ≥ 27 with at least one weight-related comorbidity, but Canada’s public reimbursement environment has been restrictive: </w:t>
      </w:r>
      <w:r w:rsidR="001B6820" w:rsidRPr="001B6820">
        <w:rPr>
          <w:rFonts w:ascii="Times New Roman" w:hAnsi="Times New Roman" w:cs="Times New Roman"/>
        </w:rPr>
        <w:t xml:space="preserve">Canadian Agency for Drugs and Technologies in Health </w:t>
      </w:r>
      <w:r w:rsidR="001B6820">
        <w:rPr>
          <w:rFonts w:ascii="Times New Roman" w:hAnsi="Times New Roman" w:cs="Times New Roman"/>
        </w:rPr>
        <w:t>(</w:t>
      </w:r>
      <w:r w:rsidRPr="00AF54C0">
        <w:rPr>
          <w:rFonts w:ascii="Times New Roman" w:hAnsi="Times New Roman" w:cs="Times New Roman"/>
        </w:rPr>
        <w:t>CADTH</w:t>
      </w:r>
      <w:r w:rsidR="001B6820">
        <w:rPr>
          <w:rFonts w:ascii="Times New Roman" w:hAnsi="Times New Roman" w:cs="Times New Roman"/>
        </w:rPr>
        <w:t>)</w:t>
      </w:r>
      <w:r w:rsidRPr="00AF54C0">
        <w:rPr>
          <w:rFonts w:ascii="Times New Roman" w:hAnsi="Times New Roman" w:cs="Times New Roman"/>
        </w:rPr>
        <w:t xml:space="preserve"> initially recommended that Wegovy should not be reimbursed by public drug plans for broad chronic weight management, and the 2025 Canada’s Drug Agency recommendation limited reimbursement to adults with BMI ≥ 27 and established cardiovascular disease under specified conditions</w:t>
      </w:r>
      <w:r w:rsidR="00E34893" w:rsidRPr="00AF54C0">
        <w:rPr>
          <w:rFonts w:ascii="Times New Roman" w:hAnsi="Times New Roman" w:cs="Times New Roman"/>
        </w:rPr>
        <w:t xml:space="preserve"> </w:t>
      </w:r>
      <w:r w:rsidR="00E34893" w:rsidRPr="00AF54C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{"citationID":"zW250eNT","properties":{"unsorted":false,"formattedCitation":"\\super 27,28\\nosupersub{}","plainCitation":"27,28","noteIndex":0},"citationItems":[{"id":"jVo37HTg/es8xhAF9","uris":["http://zotero.org/users/12629452/items/NL4G8QLH"],"itemData":{"id":494,"type":"webpage","title":"semaglutide | CDA-AMC","URL":"https://www.cda-amc.ca/semaglutide-2?utm_source=chatgpt.com","author":[{"family":"CDA-AMC","given":"CDA-AMC"}],"accessed":{"date-parts":[["2026",6,16]]},"issued":{"date-parts":[["2024"]]}}},{"id":488,"uris":["http://zotero.org/users/12629452/items/L7BVD7CF"],"itemData":{"id":488,"type":"webpage","abstract":"Information on drug and health products authorized by Health Canada.","language":"eng","title":"Regulatory Decision Summary for Wegovy","URL":"https://dhpp.hpfb-dgpsa.ca/review-documents/resource/RDS00896","author":[{"family":"Health Canada","given":""}],"accessed":{"date-parts":[["2026",6,16]]},"issued":{"date-parts":[["2021"]]}}}],"schema":"https://github.com/citation-style-language/schema/raw/master/csl-citation.json"} </w:instrText>
      </w:r>
      <w:r w:rsidR="00E34893" w:rsidRPr="00AF54C0">
        <w:rPr>
          <w:rFonts w:ascii="Times New Roman" w:hAnsi="Times New Roman" w:cs="Times New Roman"/>
        </w:rPr>
        <w:fldChar w:fldCharType="separate"/>
      </w:r>
      <w:r w:rsidR="005B14DE" w:rsidRPr="005B14DE">
        <w:rPr>
          <w:rFonts w:ascii="Times New Roman" w:hAnsi="Times New Roman" w:cs="Times New Roman"/>
          <w:kern w:val="0"/>
          <w:vertAlign w:val="superscript"/>
        </w:rPr>
        <w:t>27,28</w:t>
      </w:r>
      <w:r w:rsidR="00E34893" w:rsidRPr="00AF54C0">
        <w:rPr>
          <w:rFonts w:ascii="Times New Roman" w:hAnsi="Times New Roman" w:cs="Times New Roman"/>
        </w:rPr>
        <w:fldChar w:fldCharType="end"/>
      </w:r>
      <w:r w:rsidRPr="00AF54C0">
        <w:rPr>
          <w:rFonts w:ascii="Times New Roman" w:hAnsi="Times New Roman" w:cs="Times New Roman"/>
        </w:rPr>
        <w:t>. Private insurance access is also limited: Obesity Canada states that fewer than 20% of private drug plans cover obesity medications and public plans do not cover them broadly, while the Canadian Medical Association notes that only a small number of private plans offer partial coverage for GLP-1 drugs approved for chronic weight management and that public plans generally do not cover them for weight management</w:t>
      </w:r>
      <w:r w:rsidR="00AD1052" w:rsidRPr="00AF54C0">
        <w:rPr>
          <w:rFonts w:ascii="Times New Roman" w:hAnsi="Times New Roman" w:cs="Times New Roman"/>
        </w:rPr>
        <w:t xml:space="preserve"> </w:t>
      </w:r>
      <w:r w:rsidR="00AD1052" w:rsidRPr="00AF54C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{"citationID":"f61C8lK7","properties":{"unsorted":false,"formattedCitation":"\\super 29,30\\nosupersub{}","plainCitation":"29,30","noteIndex":0},"citationItems":[{"id":524,"uris":["http://zotero.org/users/12629452/items/M2QYVCK9"],"itemData":{"id":524,"type":"webpage","abstract":"Wondering if you can get GLP‑1 drugs like Ozempic or Wegovy in Canada? Learn how prescriptions work, what coverage looks like, how much they cost, and when generic semaglutide may arrive.","language":"en","title":"Can you get GLP‑1 drugs in Canada? | CMA","title-short":"Can you get GLP‑1 drugs in Canada?","URL":"https://www.cma.ca/healthcare-for-real/can-you-get-glp-1-drugs-canada","author":[{"family":"CMA","given":""}],"accessed":{"date-parts":[["2026",6,16]]}}},{"id":526,"uris":["http://zotero.org/users/12629452/items/AFKMS7NU"],"itemData":{"id":526,"type":"post-weblog","abstract":"Learn what the latest update to Canada’s obesity pharmacotherapy guidelines means for care, treatment options, &amp; the future of access.","container-title":"Obesity Canada","language":"en-CA","title":"A new chapter in obesity pharmacotherapy: What the latest guideline update means for Canadians","title-short":"A new chapter in obesity pharmacotherapy","URL":"https://obesitycanada.ca/news/obesity-pharmacotherapy-guideline-update/","author":[{"family":"Obesity Canada","given":""}],"accessed":{"date-parts":[["2026",6,16]]},"issued":{"date-parts":[["2025"]]}}}],"schema":"https://github.com/citation-style-language/schema/raw/master/csl-citation.json"} </w:instrText>
      </w:r>
      <w:r w:rsidR="00AD1052" w:rsidRPr="00AF54C0">
        <w:rPr>
          <w:rFonts w:ascii="Times New Roman" w:hAnsi="Times New Roman" w:cs="Times New Roman"/>
        </w:rPr>
        <w:fldChar w:fldCharType="separate"/>
      </w:r>
      <w:r w:rsidR="005B14DE" w:rsidRPr="005B14DE">
        <w:rPr>
          <w:rFonts w:ascii="Times New Roman" w:hAnsi="Times New Roman" w:cs="Times New Roman"/>
          <w:kern w:val="0"/>
          <w:vertAlign w:val="superscript"/>
        </w:rPr>
        <w:t>29,30</w:t>
      </w:r>
      <w:r w:rsidR="00AD1052" w:rsidRPr="00AF54C0">
        <w:rPr>
          <w:rFonts w:ascii="Times New Roman" w:hAnsi="Times New Roman" w:cs="Times New Roman"/>
        </w:rPr>
        <w:fldChar w:fldCharType="end"/>
      </w:r>
      <w:r w:rsidRPr="00AF54C0">
        <w:rPr>
          <w:rFonts w:ascii="Times New Roman" w:hAnsi="Times New Roman" w:cs="Times New Roman"/>
        </w:rPr>
        <w:t xml:space="preserve">. Therefore, Canada’s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AF54C0">
        <w:rPr>
          <w:rFonts w:ascii="Times New Roman" w:hAnsi="Times New Roman" w:cs="Times New Roman"/>
        </w:rPr>
        <w:t>rises gradually rather than sharply, reflecting prescription availability and growing clinical acceptance, but it remains below the U.S. because most patients still face private-plan restrictions or out-of-pocket costs; future increases after 2025 are justified by conditional reimbursement decisions, additional approved obesity medications, and the possibility of price pressure as the GLP-1 market matures</w:t>
      </w:r>
      <w:r w:rsidR="00AD1052" w:rsidRPr="00AF54C0">
        <w:rPr>
          <w:rFonts w:ascii="Times New Roman" w:hAnsi="Times New Roman" w:cs="Times New Roman"/>
        </w:rPr>
        <w:t xml:space="preserve"> </w:t>
      </w:r>
      <w:r w:rsidR="00AD1052" w:rsidRPr="00AF54C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{"citationID":"gV7H7wwb","properties":{"unsorted":false,"formattedCitation":"\\super 31\\nosupersub{}","plainCitation":"31","noteIndex":0},"citationItems":[{"id":529,"uris":["http://zotero.org/users/12629452/items/MVZLD2AV"],"itemData":{"id":529,"type":"article-journal","abstract":"BACKGROUND: Pharmacotherapy is a key component of comprehensive obesity management, alongside behavioural therapy and metabolic and bariatric surgery. In this guideline, we update the pharmacotherapy recommendations in the 2020 Canadian clinical practice guideline on obesity in adults and in the 2022 pharmacotherapy for obesity management revision to provide current recommendations for clinicians on the efficacy, safety, and appropriate use of pharmacotherapy in the management of obesity in adults.\nMETHODS: This guideline update follows the same methodology as the 2020 Canadian guideline on obesity in adults, adhering to the Appraisal of Guidelines for Research and Evaluation instrument and using the Shekelle framework to assess and grade evidence and to formulate recommendations. Building on the search conducted for the 2022 pharmacotherapy revision, we conducted a systematic literature review (search dates January 2022 to July 2024), supplemented by relevant trials published through May 2025, to identify studies assessing the efficacy of pharmacotherapy for weight management. We also conducted 13 targeted searches on the management of weight-related complications in 13 subpopulations with important adiposity-related health issues. We engaged primary care physicians, obesity medicine specialists, and people with lived experience of obesity to provide feedback on the recommendations.\nRECOMMENDATIONS: This update includes 6 new and 7 revised recommendations since the 2022 pharmacotherapy guideline revision (all 2020 pharmacotherapy recommendations are updated). Measures of central adiposity, in addition to ethnicity-specific body mass index and adiposity-related complications, should be used to guide the decision to initiate pharmacotherapy. Obesity pharmacotherapy should be used in conjunction with health behaviour changes and individualized based on a person's specific health needs and in keeping with their values and preferences. Recommendations support long-term use of obesity pharmacotherapy for sustained weight loss and maintenance of weight loss. We provide recommendations for use of specific obesity pharmacotherapies with proven benefit in specific subpopulations - atherosclerotic cardiovascular disease, heart failure with preserved ejection fraction, metabolic dysfunction-associated steatohepatitis, prediabetes, type 2 diabetes, obstructive sleep apnea, osteoarthritis - and for those with certain specific monogenic causes of obesity. We recommend against the use of compounded medications or medications other than those approved for weight loss in people with excess adiposity.\nINTERPRETATION: Pharmacotherapy in obesity facilitates clinically meaningful weight loss and important improvements in obesity-related health complications. Clinicians who treat people with obesity with or without obesity-related health complications should appropriately use pharmacotherapy as an integral part of their treatment paradigm.","container-title":"CMAJ: Canadian Medical Association journal = journal de l'Association medicale canadienne","DOI":"10.1503/cmaj.250502","ISSN":"1488-2329","issue":"27","journalAbbreviation":"CMAJ","language":"eng","page":"E797-E809","PMID":"40789597","PMCID":"PMC12350384","source":"PubMed","title":"Pharmacotherapy for obesity management in adults: 2025 clinical practice guideline update","title-short":"Pharmacotherapy for obesity management in adults","volume":"197","author":[{"family":"Pedersen","given":"Sue D."},{"family":"Manjoo","given":"Priya"},{"family":"Dash","given":"Satya"},{"family":"Jain","given":"Akshay"},{"family":"Pearce","given":"Nicole"},{"family":"Poddar","given":"Megha"}],"issued":{"date-parts":[["2025",8,10]]}}}],"schema":"https://github.com/citation-style-language/schema/raw/master/csl-citation.json"} </w:instrText>
      </w:r>
      <w:r w:rsidR="00AD1052" w:rsidRPr="00AF54C0">
        <w:rPr>
          <w:rFonts w:ascii="Times New Roman" w:hAnsi="Times New Roman" w:cs="Times New Roman"/>
        </w:rPr>
        <w:fldChar w:fldCharType="separate"/>
      </w:r>
      <w:r w:rsidR="005B14DE" w:rsidRPr="005B14DE">
        <w:rPr>
          <w:rFonts w:ascii="Times New Roman" w:hAnsi="Times New Roman" w:cs="Times New Roman"/>
          <w:kern w:val="0"/>
          <w:vertAlign w:val="superscript"/>
        </w:rPr>
        <w:t>31</w:t>
      </w:r>
      <w:r w:rsidR="00AD1052" w:rsidRPr="00AF54C0">
        <w:rPr>
          <w:rFonts w:ascii="Times New Roman" w:hAnsi="Times New Roman" w:cs="Times New Roman"/>
        </w:rPr>
        <w:fldChar w:fldCharType="end"/>
      </w:r>
      <w:r w:rsidRPr="00AF54C0">
        <w:rPr>
          <w:rFonts w:ascii="Times New Roman" w:hAnsi="Times New Roman" w:cs="Times New Roman"/>
        </w:rPr>
        <w:t xml:space="preserve">. </w:t>
      </w:r>
    </w:p>
    <w:p w14:paraId="3306A070" w14:textId="0FC27E00" w:rsidR="00734E27" w:rsidRDefault="0062738A" w:rsidP="00AF54C0">
      <w:pPr>
        <w:spacing w:before="120" w:line="480" w:lineRule="auto"/>
        <w:ind w:firstLine="720"/>
        <w:rPr>
          <w:rFonts w:ascii="Times New Roman" w:hAnsi="Times New Roman" w:cs="Times New Roman"/>
        </w:rPr>
      </w:pPr>
      <w:r w:rsidRPr="00AF54C0">
        <w:rPr>
          <w:rFonts w:ascii="Times New Roman" w:hAnsi="Times New Roman" w:cs="Times New Roman"/>
        </w:rPr>
        <w:t xml:space="preserve">For Mexico,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62738A">
        <w:rPr>
          <w:rFonts w:ascii="Times New Roman" w:hAnsi="Times New Roman" w:cs="Times New Roman"/>
        </w:rPr>
        <w:t xml:space="preserve">is assigned the lowest path because regulatory authorization and clinical availability exist, but practical access is more dependent on private purchase, specialist prescribing, pharmacy availability, and out-of-pocket affordability. Mexican clinical guidelines report that long-term pharmacological options for adult overweight and obesity are available in Mexico, including semaglutide and liraglutide, and </w:t>
      </w:r>
      <w:r w:rsidR="00EA4A99" w:rsidRPr="00EA4A99">
        <w:rPr>
          <w:rFonts w:ascii="Times New Roman" w:hAnsi="Times New Roman" w:cs="Times New Roman"/>
        </w:rPr>
        <w:t xml:space="preserve">Comisión Federal para la </w:t>
      </w:r>
      <w:proofErr w:type="spellStart"/>
      <w:r w:rsidR="00EA4A99" w:rsidRPr="00EA4A99">
        <w:rPr>
          <w:rFonts w:ascii="Times New Roman" w:hAnsi="Times New Roman" w:cs="Times New Roman"/>
        </w:rPr>
        <w:t>Protección</w:t>
      </w:r>
      <w:proofErr w:type="spellEnd"/>
      <w:r w:rsidR="00EA4A99" w:rsidRPr="00EA4A99">
        <w:rPr>
          <w:rFonts w:ascii="Times New Roman" w:hAnsi="Times New Roman" w:cs="Times New Roman"/>
        </w:rPr>
        <w:t xml:space="preserve"> contra </w:t>
      </w:r>
      <w:proofErr w:type="spellStart"/>
      <w:r w:rsidR="00EA4A99" w:rsidRPr="00EA4A99">
        <w:rPr>
          <w:rFonts w:ascii="Times New Roman" w:hAnsi="Times New Roman" w:cs="Times New Roman"/>
        </w:rPr>
        <w:t>Riesgos</w:t>
      </w:r>
      <w:proofErr w:type="spellEnd"/>
      <w:r w:rsidR="00EA4A99" w:rsidRPr="00EA4A99">
        <w:rPr>
          <w:rFonts w:ascii="Times New Roman" w:hAnsi="Times New Roman" w:cs="Times New Roman"/>
        </w:rPr>
        <w:t xml:space="preserve"> Sanitarios </w:t>
      </w:r>
      <w:r w:rsidR="00EA4A99">
        <w:rPr>
          <w:rFonts w:ascii="Times New Roman" w:hAnsi="Times New Roman" w:cs="Times New Roman"/>
        </w:rPr>
        <w:t>(</w:t>
      </w:r>
      <w:r w:rsidRPr="0062738A">
        <w:rPr>
          <w:rFonts w:ascii="Times New Roman" w:hAnsi="Times New Roman" w:cs="Times New Roman"/>
        </w:rPr>
        <w:t>COFEPRIS</w:t>
      </w:r>
      <w:r w:rsidR="00EA4A99">
        <w:rPr>
          <w:rFonts w:ascii="Times New Roman" w:hAnsi="Times New Roman" w:cs="Times New Roman"/>
        </w:rPr>
        <w:t>)</w:t>
      </w:r>
      <w:r w:rsidRPr="0062738A">
        <w:rPr>
          <w:rFonts w:ascii="Times New Roman" w:hAnsi="Times New Roman" w:cs="Times New Roman"/>
        </w:rPr>
        <w:t xml:space="preserve"> identifies Wegovy and </w:t>
      </w:r>
      <w:proofErr w:type="spellStart"/>
      <w:r w:rsidRPr="0062738A">
        <w:rPr>
          <w:rFonts w:ascii="Times New Roman" w:hAnsi="Times New Roman" w:cs="Times New Roman"/>
        </w:rPr>
        <w:t>Saxenda</w:t>
      </w:r>
      <w:proofErr w:type="spellEnd"/>
      <w:r w:rsidRPr="0062738A">
        <w:rPr>
          <w:rFonts w:ascii="Times New Roman" w:hAnsi="Times New Roman" w:cs="Times New Roman"/>
        </w:rPr>
        <w:t xml:space="preserve"> as authorized prescription medicines for weight control</w:t>
      </w:r>
      <w:r w:rsidR="008B5581">
        <w:rPr>
          <w:rFonts w:ascii="Times New Roman" w:hAnsi="Times New Roman" w:cs="Times New Roman"/>
        </w:rPr>
        <w:t xml:space="preserve"> </w:t>
      </w:r>
      <w:r w:rsidR="008B5581">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{"citationID":"IVxm0CSv","properties":{"unsorted":false,"formattedCitation":"\\super 32\\nosupersub{}","plainCitation":"32","noteIndex":0},"citationItems":[{"id":532,"uris":["http://zotero.org/users/12629452/items/9B8VFSUQ"],"itemData":{"id":532,"type":"article-journal","abstract":"Purpose\nTo develop Mexico’s first methodologically rigorous clinical practice guideline for the management of adult overweight and obesity. The target audiences are interdisciplinary healthcare professionals across healthcare systems who are the first point of contact for patients with obesity in Mexico, patients, and health system decision makers.\n\nRecent Findings\nA review of recent international obesity clinical practice guidelines and an expert consensus process identified: i) common recommendations appropriate for implementation in Mexico and ii) knowledge gaps requiring the formulation of new recommendations. In all, 20 new recommendations and 20 good practice statements were developed using the GRADE Evidence-to-Decision Framework and expert consensus.\n\nSummary\nOverweight and obesity negatively impact the health and well-being of individuals and populations in Mexico. This guideline aims to establish a new evidence-based, patient-centered, non-stigmatizing, and practical treatment and management framework, based on the fundamental principles of chronic disease prevention and management.\n\nSupplementary Information\nThe online version contains supplementary material available at 10.1007/s13679-024-00585-w.","container-title":"Current Obesity Reports","DOI":"10.1007/s13679-024-00585-w","ISSN":"2162-4968","issue":"4","journalAbbreviation":"Curr Obes Rep","page":"643-666","PMID":"39356455","PMCID":"PMC11522083","source":"PubMed Central","title":"Mexican Clinical Practice Guidelines for Adult Overweight and Obesity Management","volume":"13","author":[{"family":"Chávez-Manzanera","given":"Emma A."},{"family":"Vera-Zertuche","given":"Juan M."},{"family":"Kaufer-Horwitz","given":"Martha"},{"family":"Vázquez-Velázquez","given":"Verónica"},{"family":"Flores-Lázaro","given":"José R."},{"family":"Mireles-Zavala","given":"Leonor"},{"family":"Calzada-León","given":"Raúl"},{"family":"Garnica-Cuellar","given":"Juan C."},{"family":"Sánchez-Muñoz","given":"Verónica"},{"family":"Ramírez-Butanda","given":"Eduardo"},{"family":"Hernández-González","given":"Ricardo"},{"family":"Vargas-Martínez","given":"María A."},{"family":"Laviada-Molina","given":"Hugo"},{"family":"Violante-Ortíz","given":"Rafael"},{"family":"Esquivias-Zavala","given":"Héctor"},{"family":"García-García","given":"Eduardo"},{"family":"Lavalle-González","given":"Fernando J."},{"family":"Mancillas-Adame","given":"Leonardo"},{"family":"López-Alvarenga","given":"Juan C."},{"family":"Pérez-Hernández","given":"Juan F."},{"family":"Soto-Fuentes","given":"Erika V."},{"family":"Soriano-Cortés","given":"Reina R."},{"family":"Goicoechea-Turcott","given":"Eduardo W."},{"family":"Magallanes-Díaz","given":"Gerardo"},{"family":"Herrera-Hernández","given":"Miguel F."},{"family":"Barquera-Cervera","given":"Simón"},{"family":"Vargas-Contreras","given":"Edith"},{"family":"Díaz-Wionczek","given":"Cybele B."},{"family":"Salmon","given":"Morgan"},{"family":"Jesús","given":"Dinorah Ramírez-De"},{"family":"Villaseñor-Díaz","given":"Juan P."},{"family":"Peña","given":"Javiera"},{"family":"Ramos-Rojas","given":"José"},{"family":"Ávila-Oliver","given":"Camila"},{"family":"Rada","given":"Gabriel"},{"family":"Hussey","given":"Brad"},{"family":"Salas","given":"Ximena Ramos"}],"issued":{"date-parts":[["2024"]]}}}],"schema":"https://github.com/citation-style-language/schema/raw/master/csl-citation.json"} </w:instrText>
      </w:r>
      <w:r w:rsidR="008B5581">
        <w:rPr>
          <w:rFonts w:ascii="Times New Roman" w:hAnsi="Times New Roman" w:cs="Times New Roman"/>
        </w:rPr>
        <w:fldChar w:fldCharType="separate"/>
      </w:r>
      <w:r w:rsidR="005B14DE" w:rsidRPr="005B14DE">
        <w:rPr>
          <w:rFonts w:ascii="Times New Roman" w:hAnsi="Times New Roman" w:cs="Times New Roman"/>
          <w:kern w:val="0"/>
          <w:vertAlign w:val="superscript"/>
        </w:rPr>
        <w:t>32</w:t>
      </w:r>
      <w:r w:rsidR="008B5581">
        <w:rPr>
          <w:rFonts w:ascii="Times New Roman" w:hAnsi="Times New Roman" w:cs="Times New Roman"/>
        </w:rPr>
        <w:fldChar w:fldCharType="end"/>
      </w:r>
      <w:r w:rsidRPr="0062738A">
        <w:rPr>
          <w:rFonts w:ascii="Times New Roman" w:hAnsi="Times New Roman" w:cs="Times New Roman"/>
        </w:rPr>
        <w:t>. However, access is kept lower than in the U.S. and Canada because coverage through broad public or employer-sponsored insurance channels is less established in the available evidence, so realized access is likely to depend more heavily on private clinics, licensed pharmacies, and household willingness to pay. COFEPRIS also warns about indiscriminate use and unauthorized/counterfeit GLP-1 products, which supports treating Mexico as a market with regulatory availability but weaker practical access and greater reliance on formal prescription channels</w:t>
      </w:r>
      <w:r w:rsidR="008B5581">
        <w:rPr>
          <w:rFonts w:ascii="Times New Roman" w:hAnsi="Times New Roman" w:cs="Times New Roman"/>
        </w:rPr>
        <w:t xml:space="preserve"> </w:t>
      </w:r>
      <w:r w:rsidR="00385F22">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{"citationID":"vzA33BO2","properties":{"unsorted":false,"formattedCitation":"\\super 33\\nosupersub{}","plainCitation":"33","noteIndex":0},"citationItems":[{"id":537,"uris":["http://zotero.org/users/12629452/items/PHZ68QHQ"],"itemData":{"id":537,"type":"report","title":"Alerta Epidemiológica: Uso indebido de medicamentos agonistas del receptor GLP-1 y sus consideraciones para la Región de las Américas","URL":"https://www.paho.org/sites/default/files/2026/02/2026-feb-27-phe-alerta-agonistas-glp-1-es.pdf#:~:text=La%20obesidad%20es%20reconocida%20por,un%20abordaje%20integral%20y%20sostenido.","author":[{"family":"OPS","given":""}],"issued":{"date-parts":[["2026"]]}}}],"schema":"https://github.com/citation-style-language/schema/raw/master/csl-citation.json"} </w:instrText>
      </w:r>
      <w:r w:rsidR="00385F22">
        <w:rPr>
          <w:rFonts w:ascii="Times New Roman" w:hAnsi="Times New Roman" w:cs="Times New Roman"/>
        </w:rPr>
        <w:fldChar w:fldCharType="separate"/>
      </w:r>
      <w:r w:rsidR="005B14DE" w:rsidRPr="005B14DE">
        <w:rPr>
          <w:rFonts w:ascii="Times New Roman" w:hAnsi="Times New Roman" w:cs="Times New Roman"/>
          <w:kern w:val="0"/>
          <w:vertAlign w:val="superscript"/>
        </w:rPr>
        <w:t>33</w:t>
      </w:r>
      <w:r w:rsidR="00385F22">
        <w:rPr>
          <w:rFonts w:ascii="Times New Roman" w:hAnsi="Times New Roman" w:cs="Times New Roman"/>
        </w:rPr>
        <w:fldChar w:fldCharType="end"/>
      </w:r>
      <w:r w:rsidRPr="0062738A">
        <w:rPr>
          <w:rFonts w:ascii="Times New Roman" w:hAnsi="Times New Roman" w:cs="Times New Roman"/>
        </w:rPr>
        <w:t xml:space="preserve">. Thus, Mexico’s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62738A">
        <w:rPr>
          <w:rFonts w:ascii="Times New Roman" w:hAnsi="Times New Roman" w:cs="Times New Roman"/>
        </w:rPr>
        <w:t>increases slowly through 2025 and then rises more under the expanded-access scenario after 2026, reflecting broader availability of semaglutide/liraglutide for obesity treatment and potential price/market expansion, but it remains below the U.S. and Canada because affordability, insurance coverage, and formal access channels are more binding constraints.</w:t>
      </w:r>
    </w:p>
    <w:tbl>
      <w:tblPr>
        <w:tblStyle w:val="TableGrid"/>
        <w:tblW w:w="0" w:type="auto"/>
        <w:tblInd w:w="0" w:type="dxa"/>
        <w:tblLook w:val="04A0" w:firstRow="1" w:lastRow="0" w:firstColumn="1" w:lastColumn="0" w:noHBand="0" w:noVBand="1"/>
      </w:tblPr>
      <w:tblGrid>
        <w:gridCol w:w="810"/>
        <w:gridCol w:w="1800"/>
        <w:gridCol w:w="1620"/>
        <w:gridCol w:w="1980"/>
        <w:gridCol w:w="1975"/>
      </w:tblGrid>
      <w:tr w:rsidR="00B44D01" w:rsidRPr="00B44D01" w14:paraId="75D906E7" w14:textId="77777777" w:rsidTr="008C5DFD">
        <w:trPr>
          <w:trHeight w:val="431"/>
        </w:trPr>
        <w:tc>
          <w:tcPr>
            <w:tcW w:w="8185" w:type="dxa"/>
            <w:gridSpan w:val="5"/>
          </w:tcPr>
          <w:p w14:paraId="7B2281C3" w14:textId="691463E6" w:rsidR="00B44D01" w:rsidRPr="00B44D01" w:rsidRDefault="00B44D01" w:rsidP="00B44D01">
            <w:pPr>
              <w:spacing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Table </w:t>
            </w:r>
            <w:r w:rsidR="00AF54C0">
              <w:rPr>
                <w:rFonts w:ascii="Times New Roman" w:eastAsia="Times New Roman" w:hAnsi="Times New Roman" w:cs="Times New Roman"/>
                <w:b/>
                <w:bCs/>
                <w:color w:val="000000"/>
                <w:kern w:val="0"/>
                <w14:ligatures w14:val="none"/>
              </w:rPr>
              <w:t>S</w:t>
            </w:r>
            <w:r w:rsidR="00AB192C">
              <w:rPr>
                <w:rFonts w:ascii="Times New Roman" w:eastAsia="Times New Roman" w:hAnsi="Times New Roman" w:cs="Times New Roman"/>
                <w:b/>
                <w:bCs/>
                <w:color w:val="000000"/>
                <w:kern w:val="0"/>
                <w14:ligatures w14:val="none"/>
              </w:rPr>
              <w:t>5</w:t>
            </w:r>
            <w:r>
              <w:rPr>
                <w:rFonts w:ascii="Times New Roman" w:eastAsia="Times New Roman" w:hAnsi="Times New Roman" w:cs="Times New Roman"/>
                <w:b/>
                <w:bCs/>
                <w:color w:val="000000"/>
                <w:kern w:val="0"/>
                <w14:ligatures w14:val="none"/>
              </w:rPr>
              <w:t xml:space="preserve">. </w:t>
            </w:r>
            <w:r w:rsidR="00F1462C">
              <w:rPr>
                <w:rFonts w:ascii="Times New Roman" w:eastAsia="Times New Roman" w:hAnsi="Times New Roman" w:cs="Times New Roman"/>
                <w:b/>
                <w:bCs/>
                <w:color w:val="000000"/>
                <w:kern w:val="0"/>
                <w14:ligatures w14:val="none"/>
              </w:rPr>
              <w:t xml:space="preserve">The Access </w:t>
            </w:r>
            <w:r w:rsidR="00F1462C" w:rsidRPr="00F1462C">
              <w:rPr>
                <w:rFonts w:ascii="Times New Roman" w:eastAsia="Times New Roman" w:hAnsi="Times New Roman" w:cs="Times New Roman"/>
                <w:b/>
                <w:bCs/>
                <w:color w:val="000000"/>
                <w:kern w:val="0"/>
                <w14:ligatures w14:val="none"/>
              </w:rPr>
              <w:t>Rate (</w:t>
            </w:r>
            <m:oMath>
              <m:sSub>
                <m:sSubPr>
                  <m:ctrlPr>
                    <w:rPr>
                      <w:rFonts w:ascii="Cambria Math" w:hAnsi="Cambria Math" w:cs="Times New Roman"/>
                      <w:b/>
                      <w:bCs/>
                    </w:rPr>
                  </m:ctrlPr>
                </m:sSubPr>
                <m:e>
                  <m:r>
                    <m:rPr>
                      <m:sty m:val="bi"/>
                    </m:rPr>
                    <w:rPr>
                      <w:rFonts w:ascii="Cambria Math" w:hAnsi="Cambria Math" w:cs="Times New Roman"/>
                    </w:rPr>
                    <m:t>a</m:t>
                  </m:r>
                </m:e>
                <m:sub>
                  <m:r>
                    <m:rPr>
                      <m:sty m:val="bi"/>
                    </m:rPr>
                    <w:rPr>
                      <w:rFonts w:ascii="Cambria Math" w:hAnsi="Cambria Math" w:cs="Times New Roman"/>
                    </w:rPr>
                    <m:t>t</m:t>
                  </m:r>
                </m:sub>
              </m:sSub>
            </m:oMath>
            <w:r w:rsidR="00F1462C" w:rsidRPr="00F1462C">
              <w:rPr>
                <w:rFonts w:ascii="Times New Roman" w:eastAsia="Times New Roman" w:hAnsi="Times New Roman" w:cs="Times New Roman"/>
                <w:b/>
                <w:bCs/>
                <w:color w:val="000000"/>
                <w:kern w:val="0"/>
                <w14:ligatures w14:val="none"/>
              </w:rPr>
              <w:t>) and Market Potential (</w:t>
            </w:r>
            <m:oMath>
              <m:sSub>
                <m:sSubPr>
                  <m:ctrlPr>
                    <w:rPr>
                      <w:rFonts w:ascii="Cambria Math" w:hAnsi="Cambria Math" w:cs="Times New Roman"/>
                      <w:b/>
                      <w:bCs/>
                    </w:rPr>
                  </m:ctrlPr>
                </m:sSubPr>
                <m:e>
                  <m:r>
                    <m:rPr>
                      <m:sty m:val="bi"/>
                    </m:rPr>
                    <w:rPr>
                      <w:rFonts w:ascii="Cambria Math" w:hAnsi="Cambria Math" w:cs="Times New Roman"/>
                    </w:rPr>
                    <m:t>m</m:t>
                  </m:r>
                </m:e>
                <m:sub>
                  <m:r>
                    <m:rPr>
                      <m:sty m:val="bi"/>
                    </m:rPr>
                    <w:rPr>
                      <w:rFonts w:ascii="Cambria Math" w:hAnsi="Cambria Math" w:cs="Times New Roman"/>
                    </w:rPr>
                    <m:t>t</m:t>
                  </m:r>
                </m:sub>
              </m:sSub>
            </m:oMath>
            <w:r w:rsidR="00F1462C" w:rsidRPr="00F1462C">
              <w:rPr>
                <w:rFonts w:ascii="Times New Roman" w:eastAsia="Times New Roman" w:hAnsi="Times New Roman" w:cs="Times New Roman"/>
                <w:b/>
                <w:bCs/>
                <w:color w:val="000000"/>
                <w:kern w:val="0"/>
                <w14:ligatures w14:val="none"/>
              </w:rPr>
              <w:t>) for</w:t>
            </w:r>
            <w:r w:rsidR="00F1462C">
              <w:rPr>
                <w:rFonts w:ascii="Times New Roman" w:eastAsia="Times New Roman" w:hAnsi="Times New Roman" w:cs="Times New Roman"/>
                <w:b/>
                <w:bCs/>
                <w:color w:val="000000"/>
                <w:kern w:val="0"/>
                <w14:ligatures w14:val="none"/>
              </w:rPr>
              <w:t xml:space="preserve"> United States </w:t>
            </w:r>
            <w:r w:rsidR="00F1462C" w:rsidRPr="00B44D01">
              <w:rPr>
                <w:rFonts w:ascii="Times New Roman" w:hAnsi="Times New Roman" w:cs="Times New Roman"/>
                <w:b/>
                <w:bCs/>
              </w:rPr>
              <w:t xml:space="preserve">from </w:t>
            </w:r>
            <w:r w:rsidR="00F1462C">
              <w:rPr>
                <w:rFonts w:ascii="Times New Roman" w:hAnsi="Times New Roman" w:cs="Times New Roman"/>
                <w:b/>
                <w:bCs/>
              </w:rPr>
              <w:t>Y</w:t>
            </w:r>
            <w:r w:rsidR="00F1462C" w:rsidRPr="00B44D01">
              <w:rPr>
                <w:rFonts w:ascii="Times New Roman" w:hAnsi="Times New Roman" w:cs="Times New Roman"/>
                <w:b/>
                <w:bCs/>
              </w:rPr>
              <w:t>ear 2014 to 2030.</w:t>
            </w:r>
          </w:p>
        </w:tc>
      </w:tr>
      <w:tr w:rsidR="00B44D01" w:rsidRPr="00B44D01" w14:paraId="2B31F2A4" w14:textId="77777777" w:rsidTr="00B44D01">
        <w:trPr>
          <w:trHeight w:val="431"/>
        </w:trPr>
        <w:tc>
          <w:tcPr>
            <w:tcW w:w="810" w:type="dxa"/>
            <w:hideMark/>
          </w:tcPr>
          <w:p w14:paraId="66FC5F49"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Year</w:t>
            </w:r>
          </w:p>
        </w:tc>
        <w:tc>
          <w:tcPr>
            <w:tcW w:w="1800" w:type="dxa"/>
            <w:hideMark/>
          </w:tcPr>
          <w:p w14:paraId="7AE06ED9" w14:textId="20974723"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B44D01">
              <w:rPr>
                <w:rFonts w:ascii="Times New Roman" w:eastAsia="Times New Roman" w:hAnsi="Times New Roman" w:cs="Times New Roman"/>
                <w:color w:val="000000"/>
                <w:kern w:val="0"/>
                <w14:ligatures w14:val="none"/>
              </w:rPr>
              <w:t>) Current</w:t>
            </w:r>
          </w:p>
        </w:tc>
        <w:tc>
          <w:tcPr>
            <w:tcW w:w="1620" w:type="dxa"/>
            <w:hideMark/>
          </w:tcPr>
          <w:p w14:paraId="0F097A4A" w14:textId="01BF8AAB"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oMath>
            <w:r w:rsidRPr="00B44D01">
              <w:rPr>
                <w:rFonts w:ascii="Times New Roman" w:eastAsia="Times New Roman" w:hAnsi="Times New Roman" w:cs="Times New Roman"/>
                <w:color w:val="000000"/>
                <w:kern w:val="0"/>
                <w14:ligatures w14:val="none"/>
              </w:rPr>
              <w:t>) Current</w:t>
            </w:r>
          </w:p>
        </w:tc>
        <w:tc>
          <w:tcPr>
            <w:tcW w:w="1980" w:type="dxa"/>
            <w:hideMark/>
          </w:tcPr>
          <w:p w14:paraId="79A51B4E" w14:textId="0B58E6A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B44D01">
              <w:rPr>
                <w:rFonts w:ascii="Times New Roman" w:eastAsia="Times New Roman" w:hAnsi="Times New Roman" w:cs="Times New Roman"/>
                <w:color w:val="000000"/>
                <w:kern w:val="0"/>
                <w14:ligatures w14:val="none"/>
              </w:rPr>
              <w:t>) Expanded</w:t>
            </w:r>
          </w:p>
        </w:tc>
        <w:tc>
          <w:tcPr>
            <w:tcW w:w="1975" w:type="dxa"/>
            <w:hideMark/>
          </w:tcPr>
          <w:p w14:paraId="4E1588E7" w14:textId="4BB4DBC5"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oMath>
            <w:r w:rsidRPr="00B44D01">
              <w:rPr>
                <w:rFonts w:ascii="Times New Roman" w:eastAsia="Times New Roman" w:hAnsi="Times New Roman" w:cs="Times New Roman"/>
                <w:color w:val="000000"/>
                <w:kern w:val="0"/>
                <w14:ligatures w14:val="none"/>
              </w:rPr>
              <w:t>) Expanded</w:t>
            </w:r>
          </w:p>
        </w:tc>
      </w:tr>
      <w:tr w:rsidR="00B44D01" w:rsidRPr="00B44D01" w14:paraId="1F829EF2" w14:textId="77777777" w:rsidTr="00B44D01">
        <w:trPr>
          <w:trHeight w:val="290"/>
        </w:trPr>
        <w:tc>
          <w:tcPr>
            <w:tcW w:w="810" w:type="dxa"/>
            <w:hideMark/>
          </w:tcPr>
          <w:p w14:paraId="5B3DB2A4"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2014</w:t>
            </w:r>
          </w:p>
        </w:tc>
        <w:tc>
          <w:tcPr>
            <w:tcW w:w="1800" w:type="dxa"/>
            <w:hideMark/>
          </w:tcPr>
          <w:p w14:paraId="68FB1D7C"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0.119</w:t>
            </w:r>
          </w:p>
        </w:tc>
        <w:tc>
          <w:tcPr>
            <w:tcW w:w="1620" w:type="dxa"/>
            <w:hideMark/>
          </w:tcPr>
          <w:p w14:paraId="04A70B12"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0.045</w:t>
            </w:r>
          </w:p>
        </w:tc>
        <w:tc>
          <w:tcPr>
            <w:tcW w:w="1980" w:type="dxa"/>
            <w:hideMark/>
          </w:tcPr>
          <w:p w14:paraId="17607008"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0.067</w:t>
            </w:r>
          </w:p>
        </w:tc>
        <w:tc>
          <w:tcPr>
            <w:tcW w:w="1975" w:type="dxa"/>
            <w:hideMark/>
          </w:tcPr>
          <w:p w14:paraId="69B6A91D"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0.045</w:t>
            </w:r>
          </w:p>
        </w:tc>
      </w:tr>
      <w:tr w:rsidR="00B44D01" w:rsidRPr="00B44D01" w14:paraId="76CE2040" w14:textId="77777777" w:rsidTr="00B44D01">
        <w:trPr>
          <w:trHeight w:val="290"/>
        </w:trPr>
        <w:tc>
          <w:tcPr>
            <w:tcW w:w="810" w:type="dxa"/>
            <w:hideMark/>
          </w:tcPr>
          <w:p w14:paraId="4F870E35"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2015</w:t>
            </w:r>
          </w:p>
        </w:tc>
        <w:tc>
          <w:tcPr>
            <w:tcW w:w="1800" w:type="dxa"/>
            <w:hideMark/>
          </w:tcPr>
          <w:p w14:paraId="0B38D51C"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0.12</w:t>
            </w:r>
          </w:p>
        </w:tc>
        <w:tc>
          <w:tcPr>
            <w:tcW w:w="1620" w:type="dxa"/>
            <w:hideMark/>
          </w:tcPr>
          <w:p w14:paraId="1E543C16"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0.046</w:t>
            </w:r>
          </w:p>
        </w:tc>
        <w:tc>
          <w:tcPr>
            <w:tcW w:w="1980" w:type="dxa"/>
            <w:hideMark/>
          </w:tcPr>
          <w:p w14:paraId="2091D237"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0.068</w:t>
            </w:r>
          </w:p>
        </w:tc>
        <w:tc>
          <w:tcPr>
            <w:tcW w:w="1975" w:type="dxa"/>
            <w:hideMark/>
          </w:tcPr>
          <w:p w14:paraId="153A40A1"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0.046</w:t>
            </w:r>
          </w:p>
        </w:tc>
      </w:tr>
      <w:tr w:rsidR="00B44D01" w:rsidRPr="00B44D01" w14:paraId="625856DE" w14:textId="77777777" w:rsidTr="00B44D01">
        <w:trPr>
          <w:trHeight w:val="290"/>
        </w:trPr>
        <w:tc>
          <w:tcPr>
            <w:tcW w:w="810" w:type="dxa"/>
            <w:hideMark/>
          </w:tcPr>
          <w:p w14:paraId="1FC46B07"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2016</w:t>
            </w:r>
          </w:p>
        </w:tc>
        <w:tc>
          <w:tcPr>
            <w:tcW w:w="1800" w:type="dxa"/>
            <w:hideMark/>
          </w:tcPr>
          <w:p w14:paraId="4D4AB86B"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0.121</w:t>
            </w:r>
          </w:p>
        </w:tc>
        <w:tc>
          <w:tcPr>
            <w:tcW w:w="1620" w:type="dxa"/>
            <w:hideMark/>
          </w:tcPr>
          <w:p w14:paraId="4691C8A6"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0.047</w:t>
            </w:r>
          </w:p>
        </w:tc>
        <w:tc>
          <w:tcPr>
            <w:tcW w:w="1980" w:type="dxa"/>
            <w:hideMark/>
          </w:tcPr>
          <w:p w14:paraId="61CB51BC"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0.069</w:t>
            </w:r>
          </w:p>
        </w:tc>
        <w:tc>
          <w:tcPr>
            <w:tcW w:w="1975" w:type="dxa"/>
            <w:hideMark/>
          </w:tcPr>
          <w:p w14:paraId="500B736F"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0.047</w:t>
            </w:r>
          </w:p>
        </w:tc>
      </w:tr>
      <w:tr w:rsidR="00B44D01" w:rsidRPr="00B44D01" w14:paraId="059506E0" w14:textId="77777777" w:rsidTr="00B44D01">
        <w:trPr>
          <w:trHeight w:val="290"/>
        </w:trPr>
        <w:tc>
          <w:tcPr>
            <w:tcW w:w="810" w:type="dxa"/>
            <w:hideMark/>
          </w:tcPr>
          <w:p w14:paraId="6F641418"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2017</w:t>
            </w:r>
          </w:p>
        </w:tc>
        <w:tc>
          <w:tcPr>
            <w:tcW w:w="1800" w:type="dxa"/>
            <w:hideMark/>
          </w:tcPr>
          <w:p w14:paraId="6D63C0BF"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0.129</w:t>
            </w:r>
          </w:p>
        </w:tc>
        <w:tc>
          <w:tcPr>
            <w:tcW w:w="1620" w:type="dxa"/>
            <w:hideMark/>
          </w:tcPr>
          <w:p w14:paraId="26E64C1C"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0.051</w:t>
            </w:r>
          </w:p>
        </w:tc>
        <w:tc>
          <w:tcPr>
            <w:tcW w:w="1980" w:type="dxa"/>
            <w:hideMark/>
          </w:tcPr>
          <w:p w14:paraId="6C029739"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0.074</w:t>
            </w:r>
          </w:p>
        </w:tc>
        <w:tc>
          <w:tcPr>
            <w:tcW w:w="1975" w:type="dxa"/>
            <w:hideMark/>
          </w:tcPr>
          <w:p w14:paraId="3A7069BB"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0.051</w:t>
            </w:r>
          </w:p>
        </w:tc>
      </w:tr>
      <w:tr w:rsidR="00B44D01" w:rsidRPr="00B44D01" w14:paraId="089FFF64" w14:textId="77777777" w:rsidTr="00B44D01">
        <w:trPr>
          <w:trHeight w:val="290"/>
        </w:trPr>
        <w:tc>
          <w:tcPr>
            <w:tcW w:w="810" w:type="dxa"/>
            <w:hideMark/>
          </w:tcPr>
          <w:p w14:paraId="39C90F46"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2018</w:t>
            </w:r>
          </w:p>
        </w:tc>
        <w:tc>
          <w:tcPr>
            <w:tcW w:w="1800" w:type="dxa"/>
            <w:hideMark/>
          </w:tcPr>
          <w:p w14:paraId="715BC924"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0.14</w:t>
            </w:r>
          </w:p>
        </w:tc>
        <w:tc>
          <w:tcPr>
            <w:tcW w:w="1620" w:type="dxa"/>
            <w:hideMark/>
          </w:tcPr>
          <w:p w14:paraId="69406CAD"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0.056</w:t>
            </w:r>
          </w:p>
        </w:tc>
        <w:tc>
          <w:tcPr>
            <w:tcW w:w="1980" w:type="dxa"/>
            <w:hideMark/>
          </w:tcPr>
          <w:p w14:paraId="679619C3"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0.08</w:t>
            </w:r>
          </w:p>
        </w:tc>
        <w:tc>
          <w:tcPr>
            <w:tcW w:w="1975" w:type="dxa"/>
            <w:hideMark/>
          </w:tcPr>
          <w:p w14:paraId="046743C8"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0.056</w:t>
            </w:r>
          </w:p>
        </w:tc>
      </w:tr>
      <w:tr w:rsidR="00B44D01" w:rsidRPr="00B44D01" w14:paraId="5098FE68" w14:textId="77777777" w:rsidTr="00B44D01">
        <w:trPr>
          <w:trHeight w:val="290"/>
        </w:trPr>
        <w:tc>
          <w:tcPr>
            <w:tcW w:w="810" w:type="dxa"/>
            <w:hideMark/>
          </w:tcPr>
          <w:p w14:paraId="34646E09"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2019</w:t>
            </w:r>
          </w:p>
        </w:tc>
        <w:tc>
          <w:tcPr>
            <w:tcW w:w="1800" w:type="dxa"/>
            <w:hideMark/>
          </w:tcPr>
          <w:p w14:paraId="0BDE3134"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0.151</w:t>
            </w:r>
          </w:p>
        </w:tc>
        <w:tc>
          <w:tcPr>
            <w:tcW w:w="1620" w:type="dxa"/>
            <w:hideMark/>
          </w:tcPr>
          <w:p w14:paraId="66125AE0"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0.061</w:t>
            </w:r>
          </w:p>
        </w:tc>
        <w:tc>
          <w:tcPr>
            <w:tcW w:w="1980" w:type="dxa"/>
            <w:hideMark/>
          </w:tcPr>
          <w:p w14:paraId="69352C0C"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0.087</w:t>
            </w:r>
          </w:p>
        </w:tc>
        <w:tc>
          <w:tcPr>
            <w:tcW w:w="1975" w:type="dxa"/>
            <w:hideMark/>
          </w:tcPr>
          <w:p w14:paraId="37E7BF0C"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0.061</w:t>
            </w:r>
          </w:p>
        </w:tc>
      </w:tr>
      <w:tr w:rsidR="00B44D01" w:rsidRPr="00B44D01" w14:paraId="3C0366AA" w14:textId="77777777" w:rsidTr="00B44D01">
        <w:trPr>
          <w:trHeight w:val="290"/>
        </w:trPr>
        <w:tc>
          <w:tcPr>
            <w:tcW w:w="810" w:type="dxa"/>
            <w:hideMark/>
          </w:tcPr>
          <w:p w14:paraId="6E38DCA9"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2020</w:t>
            </w:r>
          </w:p>
        </w:tc>
        <w:tc>
          <w:tcPr>
            <w:tcW w:w="1800" w:type="dxa"/>
            <w:hideMark/>
          </w:tcPr>
          <w:p w14:paraId="16762467"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0.161</w:t>
            </w:r>
          </w:p>
        </w:tc>
        <w:tc>
          <w:tcPr>
            <w:tcW w:w="1620" w:type="dxa"/>
            <w:hideMark/>
          </w:tcPr>
          <w:p w14:paraId="4D5F3133"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0.066</w:t>
            </w:r>
          </w:p>
        </w:tc>
        <w:tc>
          <w:tcPr>
            <w:tcW w:w="1980" w:type="dxa"/>
            <w:hideMark/>
          </w:tcPr>
          <w:p w14:paraId="57EF4AB1"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0.093</w:t>
            </w:r>
          </w:p>
        </w:tc>
        <w:tc>
          <w:tcPr>
            <w:tcW w:w="1975" w:type="dxa"/>
            <w:hideMark/>
          </w:tcPr>
          <w:p w14:paraId="121147FD"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0.066</w:t>
            </w:r>
          </w:p>
        </w:tc>
      </w:tr>
      <w:tr w:rsidR="00B44D01" w:rsidRPr="00B44D01" w14:paraId="2188A12C" w14:textId="77777777" w:rsidTr="00B44D01">
        <w:trPr>
          <w:trHeight w:val="290"/>
        </w:trPr>
        <w:tc>
          <w:tcPr>
            <w:tcW w:w="810" w:type="dxa"/>
            <w:hideMark/>
          </w:tcPr>
          <w:p w14:paraId="611C161E"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2021</w:t>
            </w:r>
          </w:p>
        </w:tc>
        <w:tc>
          <w:tcPr>
            <w:tcW w:w="1800" w:type="dxa"/>
            <w:hideMark/>
          </w:tcPr>
          <w:p w14:paraId="0D8968E0"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0.193</w:t>
            </w:r>
          </w:p>
        </w:tc>
        <w:tc>
          <w:tcPr>
            <w:tcW w:w="1620" w:type="dxa"/>
            <w:hideMark/>
          </w:tcPr>
          <w:p w14:paraId="6B890308"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0.08</w:t>
            </w:r>
          </w:p>
        </w:tc>
        <w:tc>
          <w:tcPr>
            <w:tcW w:w="1980" w:type="dxa"/>
            <w:hideMark/>
          </w:tcPr>
          <w:p w14:paraId="024649D0"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0.112</w:t>
            </w:r>
          </w:p>
        </w:tc>
        <w:tc>
          <w:tcPr>
            <w:tcW w:w="1975" w:type="dxa"/>
            <w:hideMark/>
          </w:tcPr>
          <w:p w14:paraId="5D8A666F"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0.08</w:t>
            </w:r>
          </w:p>
        </w:tc>
      </w:tr>
      <w:tr w:rsidR="00B44D01" w:rsidRPr="00B44D01" w14:paraId="297547AA" w14:textId="77777777" w:rsidTr="00B44D01">
        <w:trPr>
          <w:trHeight w:val="290"/>
        </w:trPr>
        <w:tc>
          <w:tcPr>
            <w:tcW w:w="810" w:type="dxa"/>
            <w:hideMark/>
          </w:tcPr>
          <w:p w14:paraId="21437E95"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2022</w:t>
            </w:r>
          </w:p>
        </w:tc>
        <w:tc>
          <w:tcPr>
            <w:tcW w:w="1800" w:type="dxa"/>
            <w:hideMark/>
          </w:tcPr>
          <w:p w14:paraId="355BE91B"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0.238</w:t>
            </w:r>
          </w:p>
        </w:tc>
        <w:tc>
          <w:tcPr>
            <w:tcW w:w="1620" w:type="dxa"/>
            <w:hideMark/>
          </w:tcPr>
          <w:p w14:paraId="220A7585"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w:t>
            </w:r>
          </w:p>
        </w:tc>
        <w:tc>
          <w:tcPr>
            <w:tcW w:w="1980" w:type="dxa"/>
            <w:hideMark/>
          </w:tcPr>
          <w:p w14:paraId="064B3873"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0.138</w:t>
            </w:r>
          </w:p>
        </w:tc>
        <w:tc>
          <w:tcPr>
            <w:tcW w:w="1975" w:type="dxa"/>
            <w:hideMark/>
          </w:tcPr>
          <w:p w14:paraId="0EC1520C"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w:t>
            </w:r>
          </w:p>
        </w:tc>
      </w:tr>
      <w:tr w:rsidR="00B44D01" w:rsidRPr="00B44D01" w14:paraId="2291AF31" w14:textId="77777777" w:rsidTr="00B44D01">
        <w:trPr>
          <w:trHeight w:val="290"/>
        </w:trPr>
        <w:tc>
          <w:tcPr>
            <w:tcW w:w="810" w:type="dxa"/>
            <w:hideMark/>
          </w:tcPr>
          <w:p w14:paraId="411E8511"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2023</w:t>
            </w:r>
          </w:p>
        </w:tc>
        <w:tc>
          <w:tcPr>
            <w:tcW w:w="1800" w:type="dxa"/>
            <w:hideMark/>
          </w:tcPr>
          <w:p w14:paraId="4AE3C6E6"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0.294</w:t>
            </w:r>
          </w:p>
        </w:tc>
        <w:tc>
          <w:tcPr>
            <w:tcW w:w="1620" w:type="dxa"/>
            <w:hideMark/>
          </w:tcPr>
          <w:p w14:paraId="1F524AB6"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0.125</w:t>
            </w:r>
          </w:p>
        </w:tc>
        <w:tc>
          <w:tcPr>
            <w:tcW w:w="1980" w:type="dxa"/>
            <w:hideMark/>
          </w:tcPr>
          <w:p w14:paraId="3308E3D6"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0.171</w:t>
            </w:r>
          </w:p>
        </w:tc>
        <w:tc>
          <w:tcPr>
            <w:tcW w:w="1975" w:type="dxa"/>
            <w:hideMark/>
          </w:tcPr>
          <w:p w14:paraId="771959A9"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0.125</w:t>
            </w:r>
          </w:p>
        </w:tc>
      </w:tr>
      <w:tr w:rsidR="00B44D01" w:rsidRPr="00B44D01" w14:paraId="3A9FF64D" w14:textId="77777777" w:rsidTr="00B44D01">
        <w:trPr>
          <w:trHeight w:val="290"/>
        </w:trPr>
        <w:tc>
          <w:tcPr>
            <w:tcW w:w="810" w:type="dxa"/>
            <w:hideMark/>
          </w:tcPr>
          <w:p w14:paraId="33092841"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2024</w:t>
            </w:r>
          </w:p>
        </w:tc>
        <w:tc>
          <w:tcPr>
            <w:tcW w:w="1800" w:type="dxa"/>
            <w:hideMark/>
          </w:tcPr>
          <w:p w14:paraId="015A0A54"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0.36</w:t>
            </w:r>
          </w:p>
        </w:tc>
        <w:tc>
          <w:tcPr>
            <w:tcW w:w="1620" w:type="dxa"/>
            <w:hideMark/>
          </w:tcPr>
          <w:p w14:paraId="764ADB48"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0.155</w:t>
            </w:r>
          </w:p>
        </w:tc>
        <w:tc>
          <w:tcPr>
            <w:tcW w:w="1980" w:type="dxa"/>
            <w:hideMark/>
          </w:tcPr>
          <w:p w14:paraId="30CB3DCA"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0.21</w:t>
            </w:r>
          </w:p>
        </w:tc>
        <w:tc>
          <w:tcPr>
            <w:tcW w:w="1975" w:type="dxa"/>
            <w:hideMark/>
          </w:tcPr>
          <w:p w14:paraId="000E2B4E"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0.155</w:t>
            </w:r>
          </w:p>
        </w:tc>
      </w:tr>
      <w:tr w:rsidR="00B44D01" w:rsidRPr="00B44D01" w14:paraId="43685B48" w14:textId="77777777" w:rsidTr="00B44D01">
        <w:trPr>
          <w:trHeight w:val="290"/>
        </w:trPr>
        <w:tc>
          <w:tcPr>
            <w:tcW w:w="810" w:type="dxa"/>
            <w:hideMark/>
          </w:tcPr>
          <w:p w14:paraId="38CB4C15"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2025</w:t>
            </w:r>
          </w:p>
        </w:tc>
        <w:tc>
          <w:tcPr>
            <w:tcW w:w="1800" w:type="dxa"/>
            <w:hideMark/>
          </w:tcPr>
          <w:p w14:paraId="6A32A043"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0.437</w:t>
            </w:r>
          </w:p>
        </w:tc>
        <w:tc>
          <w:tcPr>
            <w:tcW w:w="1620" w:type="dxa"/>
            <w:hideMark/>
          </w:tcPr>
          <w:p w14:paraId="333B13FD"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0.19</w:t>
            </w:r>
          </w:p>
        </w:tc>
        <w:tc>
          <w:tcPr>
            <w:tcW w:w="1980" w:type="dxa"/>
            <w:hideMark/>
          </w:tcPr>
          <w:p w14:paraId="7C7AAF17"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0.255</w:t>
            </w:r>
          </w:p>
        </w:tc>
        <w:tc>
          <w:tcPr>
            <w:tcW w:w="1975" w:type="dxa"/>
            <w:hideMark/>
          </w:tcPr>
          <w:p w14:paraId="099C11ED"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0.19</w:t>
            </w:r>
          </w:p>
        </w:tc>
      </w:tr>
      <w:tr w:rsidR="00B44D01" w:rsidRPr="00B44D01" w14:paraId="11720801" w14:textId="77777777" w:rsidTr="00B44D01">
        <w:trPr>
          <w:trHeight w:val="290"/>
        </w:trPr>
        <w:tc>
          <w:tcPr>
            <w:tcW w:w="810" w:type="dxa"/>
            <w:hideMark/>
          </w:tcPr>
          <w:p w14:paraId="539DC0D9"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2026</w:t>
            </w:r>
          </w:p>
        </w:tc>
        <w:tc>
          <w:tcPr>
            <w:tcW w:w="1800" w:type="dxa"/>
            <w:hideMark/>
          </w:tcPr>
          <w:p w14:paraId="65FC3154"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0.523</w:t>
            </w:r>
          </w:p>
        </w:tc>
        <w:tc>
          <w:tcPr>
            <w:tcW w:w="1620" w:type="dxa"/>
            <w:hideMark/>
          </w:tcPr>
          <w:p w14:paraId="16FD3DF5"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0.23</w:t>
            </w:r>
          </w:p>
        </w:tc>
        <w:tc>
          <w:tcPr>
            <w:tcW w:w="1980" w:type="dxa"/>
            <w:hideMark/>
          </w:tcPr>
          <w:p w14:paraId="0C3E9CB3"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0.319</w:t>
            </w:r>
          </w:p>
        </w:tc>
        <w:tc>
          <w:tcPr>
            <w:tcW w:w="1975" w:type="dxa"/>
            <w:hideMark/>
          </w:tcPr>
          <w:p w14:paraId="590E3772"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0.24</w:t>
            </w:r>
          </w:p>
        </w:tc>
      </w:tr>
      <w:tr w:rsidR="00B44D01" w:rsidRPr="00B44D01" w14:paraId="60647E14" w14:textId="77777777" w:rsidTr="00B44D01">
        <w:trPr>
          <w:trHeight w:val="290"/>
        </w:trPr>
        <w:tc>
          <w:tcPr>
            <w:tcW w:w="810" w:type="dxa"/>
            <w:hideMark/>
          </w:tcPr>
          <w:p w14:paraId="30E8AD81"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2027</w:t>
            </w:r>
          </w:p>
        </w:tc>
        <w:tc>
          <w:tcPr>
            <w:tcW w:w="1800" w:type="dxa"/>
            <w:hideMark/>
          </w:tcPr>
          <w:p w14:paraId="6954F75E"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0.618</w:t>
            </w:r>
          </w:p>
        </w:tc>
        <w:tc>
          <w:tcPr>
            <w:tcW w:w="1620" w:type="dxa"/>
            <w:hideMark/>
          </w:tcPr>
          <w:p w14:paraId="7BA2B241"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0.275</w:t>
            </w:r>
          </w:p>
        </w:tc>
        <w:tc>
          <w:tcPr>
            <w:tcW w:w="1980" w:type="dxa"/>
            <w:hideMark/>
          </w:tcPr>
          <w:p w14:paraId="2B9D510A"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0.408</w:t>
            </w:r>
          </w:p>
        </w:tc>
        <w:tc>
          <w:tcPr>
            <w:tcW w:w="1975" w:type="dxa"/>
            <w:hideMark/>
          </w:tcPr>
          <w:p w14:paraId="4D3AB5FD"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0.31</w:t>
            </w:r>
          </w:p>
        </w:tc>
      </w:tr>
      <w:tr w:rsidR="00B44D01" w:rsidRPr="00B44D01" w14:paraId="4EB612DF" w14:textId="77777777" w:rsidTr="00B44D01">
        <w:trPr>
          <w:trHeight w:val="290"/>
        </w:trPr>
        <w:tc>
          <w:tcPr>
            <w:tcW w:w="810" w:type="dxa"/>
            <w:hideMark/>
          </w:tcPr>
          <w:p w14:paraId="2F87B75B"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2028</w:t>
            </w:r>
          </w:p>
        </w:tc>
        <w:tc>
          <w:tcPr>
            <w:tcW w:w="1800" w:type="dxa"/>
            <w:hideMark/>
          </w:tcPr>
          <w:p w14:paraId="0491F14F"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0.733</w:t>
            </w:r>
          </w:p>
        </w:tc>
        <w:tc>
          <w:tcPr>
            <w:tcW w:w="1620" w:type="dxa"/>
            <w:hideMark/>
          </w:tcPr>
          <w:p w14:paraId="6DE30F9B"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0.33</w:t>
            </w:r>
          </w:p>
        </w:tc>
        <w:tc>
          <w:tcPr>
            <w:tcW w:w="1980" w:type="dxa"/>
            <w:hideMark/>
          </w:tcPr>
          <w:p w14:paraId="3ADA9815"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0.529</w:t>
            </w:r>
          </w:p>
        </w:tc>
        <w:tc>
          <w:tcPr>
            <w:tcW w:w="1975" w:type="dxa"/>
            <w:hideMark/>
          </w:tcPr>
          <w:p w14:paraId="6F093152"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0.405</w:t>
            </w:r>
          </w:p>
        </w:tc>
      </w:tr>
      <w:tr w:rsidR="00B44D01" w:rsidRPr="00B44D01" w14:paraId="0FE69BAD" w14:textId="77777777" w:rsidTr="00B44D01">
        <w:trPr>
          <w:trHeight w:val="290"/>
        </w:trPr>
        <w:tc>
          <w:tcPr>
            <w:tcW w:w="810" w:type="dxa"/>
            <w:hideMark/>
          </w:tcPr>
          <w:p w14:paraId="7E276050"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2029</w:t>
            </w:r>
          </w:p>
        </w:tc>
        <w:tc>
          <w:tcPr>
            <w:tcW w:w="1800" w:type="dxa"/>
            <w:hideMark/>
          </w:tcPr>
          <w:p w14:paraId="47A6E369"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0.868</w:t>
            </w:r>
          </w:p>
        </w:tc>
        <w:tc>
          <w:tcPr>
            <w:tcW w:w="1620" w:type="dxa"/>
            <w:hideMark/>
          </w:tcPr>
          <w:p w14:paraId="686F00D8"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0.395</w:t>
            </w:r>
          </w:p>
        </w:tc>
        <w:tc>
          <w:tcPr>
            <w:tcW w:w="1980" w:type="dxa"/>
            <w:hideMark/>
          </w:tcPr>
          <w:p w14:paraId="0580462C"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0.686</w:t>
            </w:r>
          </w:p>
        </w:tc>
        <w:tc>
          <w:tcPr>
            <w:tcW w:w="1975" w:type="dxa"/>
            <w:hideMark/>
          </w:tcPr>
          <w:p w14:paraId="2510C873"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0.53</w:t>
            </w:r>
          </w:p>
        </w:tc>
      </w:tr>
      <w:tr w:rsidR="00B44D01" w:rsidRPr="00B44D01" w14:paraId="26A47F34" w14:textId="77777777" w:rsidTr="00B44D01">
        <w:trPr>
          <w:trHeight w:val="290"/>
        </w:trPr>
        <w:tc>
          <w:tcPr>
            <w:tcW w:w="810" w:type="dxa"/>
            <w:hideMark/>
          </w:tcPr>
          <w:p w14:paraId="1845B376"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2030</w:t>
            </w:r>
          </w:p>
        </w:tc>
        <w:tc>
          <w:tcPr>
            <w:tcW w:w="1800" w:type="dxa"/>
            <w:hideMark/>
          </w:tcPr>
          <w:p w14:paraId="450273D5"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1</w:t>
            </w:r>
          </w:p>
        </w:tc>
        <w:tc>
          <w:tcPr>
            <w:tcW w:w="1620" w:type="dxa"/>
            <w:hideMark/>
          </w:tcPr>
          <w:p w14:paraId="0A22948A"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0.46</w:t>
            </w:r>
          </w:p>
        </w:tc>
        <w:tc>
          <w:tcPr>
            <w:tcW w:w="1980" w:type="dxa"/>
            <w:hideMark/>
          </w:tcPr>
          <w:p w14:paraId="6BA923A8"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0.872</w:t>
            </w:r>
          </w:p>
        </w:tc>
        <w:tc>
          <w:tcPr>
            <w:tcW w:w="1975" w:type="dxa"/>
            <w:hideMark/>
          </w:tcPr>
          <w:p w14:paraId="52C9E6B5" w14:textId="77777777" w:rsidR="00B44D01" w:rsidRPr="00B44D01" w:rsidRDefault="00B44D01" w:rsidP="00B44D01">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0.68</w:t>
            </w:r>
          </w:p>
        </w:tc>
      </w:tr>
    </w:tbl>
    <w:p w14:paraId="1E64E88A" w14:textId="77777777" w:rsidR="00734E27" w:rsidRDefault="00734E27" w:rsidP="00A75A10">
      <w:pPr>
        <w:spacing w:before="120" w:line="480" w:lineRule="auto"/>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810"/>
        <w:gridCol w:w="1800"/>
        <w:gridCol w:w="1620"/>
        <w:gridCol w:w="1980"/>
        <w:gridCol w:w="1975"/>
      </w:tblGrid>
      <w:tr w:rsidR="0093026F" w:rsidRPr="00B44D01" w14:paraId="5D0C2539" w14:textId="77777777" w:rsidTr="00783644">
        <w:trPr>
          <w:trHeight w:val="431"/>
        </w:trPr>
        <w:tc>
          <w:tcPr>
            <w:tcW w:w="8185" w:type="dxa"/>
            <w:gridSpan w:val="5"/>
          </w:tcPr>
          <w:p w14:paraId="01D17F45" w14:textId="612224ED" w:rsidR="0093026F" w:rsidRPr="00B44D01" w:rsidRDefault="0093026F" w:rsidP="00783644">
            <w:pPr>
              <w:spacing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Table </w:t>
            </w:r>
            <w:r w:rsidR="00AF54C0">
              <w:rPr>
                <w:rFonts w:ascii="Times New Roman" w:eastAsia="Times New Roman" w:hAnsi="Times New Roman" w:cs="Times New Roman"/>
                <w:b/>
                <w:bCs/>
                <w:color w:val="000000"/>
                <w:kern w:val="0"/>
                <w14:ligatures w14:val="none"/>
              </w:rPr>
              <w:t>S</w:t>
            </w:r>
            <w:r w:rsidR="00AB192C">
              <w:rPr>
                <w:rFonts w:ascii="Times New Roman" w:eastAsia="Times New Roman" w:hAnsi="Times New Roman" w:cs="Times New Roman"/>
                <w:b/>
                <w:bCs/>
                <w:color w:val="000000"/>
                <w:kern w:val="0"/>
                <w14:ligatures w14:val="none"/>
              </w:rPr>
              <w:t>6</w:t>
            </w:r>
            <w:r>
              <w:rPr>
                <w:rFonts w:ascii="Times New Roman" w:eastAsia="Times New Roman" w:hAnsi="Times New Roman" w:cs="Times New Roman"/>
                <w:b/>
                <w:bCs/>
                <w:color w:val="000000"/>
                <w:kern w:val="0"/>
                <w14:ligatures w14:val="none"/>
              </w:rPr>
              <w:t xml:space="preserve">. The Access </w:t>
            </w:r>
            <w:r w:rsidRPr="00F1462C">
              <w:rPr>
                <w:rFonts w:ascii="Times New Roman" w:eastAsia="Times New Roman" w:hAnsi="Times New Roman" w:cs="Times New Roman"/>
                <w:b/>
                <w:bCs/>
                <w:color w:val="000000"/>
                <w:kern w:val="0"/>
                <w14:ligatures w14:val="none"/>
              </w:rPr>
              <w:t>Rate (</w:t>
            </w:r>
            <m:oMath>
              <m:sSub>
                <m:sSubPr>
                  <m:ctrlPr>
                    <w:rPr>
                      <w:rFonts w:ascii="Cambria Math" w:hAnsi="Cambria Math" w:cs="Times New Roman"/>
                      <w:b/>
                      <w:bCs/>
                    </w:rPr>
                  </m:ctrlPr>
                </m:sSubPr>
                <m:e>
                  <m:r>
                    <m:rPr>
                      <m:sty m:val="bi"/>
                    </m:rPr>
                    <w:rPr>
                      <w:rFonts w:ascii="Cambria Math" w:hAnsi="Cambria Math" w:cs="Times New Roman"/>
                    </w:rPr>
                    <m:t>a</m:t>
                  </m:r>
                </m:e>
                <m:sub>
                  <m:r>
                    <m:rPr>
                      <m:sty m:val="bi"/>
                    </m:rPr>
                    <w:rPr>
                      <w:rFonts w:ascii="Cambria Math" w:hAnsi="Cambria Math" w:cs="Times New Roman"/>
                    </w:rPr>
                    <m:t>t</m:t>
                  </m:r>
                </m:sub>
              </m:sSub>
            </m:oMath>
            <w:r w:rsidRPr="00F1462C">
              <w:rPr>
                <w:rFonts w:ascii="Times New Roman" w:eastAsia="Times New Roman" w:hAnsi="Times New Roman" w:cs="Times New Roman"/>
                <w:b/>
                <w:bCs/>
                <w:color w:val="000000"/>
                <w:kern w:val="0"/>
                <w14:ligatures w14:val="none"/>
              </w:rPr>
              <w:t>) and Market Potential (</w:t>
            </w:r>
            <m:oMath>
              <m:sSub>
                <m:sSubPr>
                  <m:ctrlPr>
                    <w:rPr>
                      <w:rFonts w:ascii="Cambria Math" w:hAnsi="Cambria Math" w:cs="Times New Roman"/>
                      <w:b/>
                      <w:bCs/>
                    </w:rPr>
                  </m:ctrlPr>
                </m:sSubPr>
                <m:e>
                  <m:r>
                    <m:rPr>
                      <m:sty m:val="bi"/>
                    </m:rPr>
                    <w:rPr>
                      <w:rFonts w:ascii="Cambria Math" w:hAnsi="Cambria Math" w:cs="Times New Roman"/>
                    </w:rPr>
                    <m:t>m</m:t>
                  </m:r>
                </m:e>
                <m:sub>
                  <m:r>
                    <m:rPr>
                      <m:sty m:val="bi"/>
                    </m:rPr>
                    <w:rPr>
                      <w:rFonts w:ascii="Cambria Math" w:hAnsi="Cambria Math" w:cs="Times New Roman"/>
                    </w:rPr>
                    <m:t>t</m:t>
                  </m:r>
                </m:sub>
              </m:sSub>
            </m:oMath>
            <w:r w:rsidRPr="00F1462C">
              <w:rPr>
                <w:rFonts w:ascii="Times New Roman" w:eastAsia="Times New Roman" w:hAnsi="Times New Roman" w:cs="Times New Roman"/>
                <w:b/>
                <w:bCs/>
                <w:color w:val="000000"/>
                <w:kern w:val="0"/>
                <w14:ligatures w14:val="none"/>
              </w:rPr>
              <w:t>) for</w:t>
            </w:r>
            <w:r>
              <w:rPr>
                <w:rFonts w:ascii="Times New Roman" w:eastAsia="Times New Roman" w:hAnsi="Times New Roman" w:cs="Times New Roman"/>
                <w:b/>
                <w:bCs/>
                <w:color w:val="000000"/>
                <w:kern w:val="0"/>
                <w14:ligatures w14:val="none"/>
              </w:rPr>
              <w:t xml:space="preserve"> Canada </w:t>
            </w:r>
            <w:r w:rsidRPr="00B44D01">
              <w:rPr>
                <w:rFonts w:ascii="Times New Roman" w:hAnsi="Times New Roman" w:cs="Times New Roman"/>
                <w:b/>
                <w:bCs/>
              </w:rPr>
              <w:t xml:space="preserve">from </w:t>
            </w:r>
            <w:r>
              <w:rPr>
                <w:rFonts w:ascii="Times New Roman" w:hAnsi="Times New Roman" w:cs="Times New Roman"/>
                <w:b/>
                <w:bCs/>
              </w:rPr>
              <w:t>Y</w:t>
            </w:r>
            <w:r w:rsidRPr="00B44D01">
              <w:rPr>
                <w:rFonts w:ascii="Times New Roman" w:hAnsi="Times New Roman" w:cs="Times New Roman"/>
                <w:b/>
                <w:bCs/>
              </w:rPr>
              <w:t>ear 2014 to 2030.</w:t>
            </w:r>
          </w:p>
        </w:tc>
      </w:tr>
      <w:tr w:rsidR="0093026F" w:rsidRPr="00B44D01" w14:paraId="291E5FF5" w14:textId="77777777" w:rsidTr="0093026F">
        <w:trPr>
          <w:trHeight w:val="431"/>
        </w:trPr>
        <w:tc>
          <w:tcPr>
            <w:tcW w:w="810" w:type="dxa"/>
            <w:hideMark/>
          </w:tcPr>
          <w:p w14:paraId="35FCED87" w14:textId="77777777" w:rsidR="0093026F" w:rsidRPr="00B44D01" w:rsidRDefault="0093026F" w:rsidP="00783644">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Year</w:t>
            </w:r>
          </w:p>
        </w:tc>
        <w:tc>
          <w:tcPr>
            <w:tcW w:w="1800" w:type="dxa"/>
            <w:tcBorders>
              <w:bottom w:val="single" w:sz="4" w:space="0" w:color="auto"/>
            </w:tcBorders>
            <w:hideMark/>
          </w:tcPr>
          <w:p w14:paraId="43311B26" w14:textId="77777777" w:rsidR="0093026F" w:rsidRPr="00B44D01" w:rsidRDefault="0093026F" w:rsidP="00783644">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B44D01">
              <w:rPr>
                <w:rFonts w:ascii="Times New Roman" w:eastAsia="Times New Roman" w:hAnsi="Times New Roman" w:cs="Times New Roman"/>
                <w:color w:val="000000"/>
                <w:kern w:val="0"/>
                <w14:ligatures w14:val="none"/>
              </w:rPr>
              <w:t>) Current</w:t>
            </w:r>
          </w:p>
        </w:tc>
        <w:tc>
          <w:tcPr>
            <w:tcW w:w="1620" w:type="dxa"/>
            <w:tcBorders>
              <w:bottom w:val="single" w:sz="4" w:space="0" w:color="auto"/>
            </w:tcBorders>
            <w:hideMark/>
          </w:tcPr>
          <w:p w14:paraId="4DEB691B" w14:textId="77777777" w:rsidR="0093026F" w:rsidRPr="00B44D01" w:rsidRDefault="0093026F" w:rsidP="00783644">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oMath>
            <w:r w:rsidRPr="00B44D01">
              <w:rPr>
                <w:rFonts w:ascii="Times New Roman" w:eastAsia="Times New Roman" w:hAnsi="Times New Roman" w:cs="Times New Roman"/>
                <w:color w:val="000000"/>
                <w:kern w:val="0"/>
                <w14:ligatures w14:val="none"/>
              </w:rPr>
              <w:t>) Current</w:t>
            </w:r>
          </w:p>
        </w:tc>
        <w:tc>
          <w:tcPr>
            <w:tcW w:w="1980" w:type="dxa"/>
            <w:tcBorders>
              <w:bottom w:val="single" w:sz="4" w:space="0" w:color="auto"/>
            </w:tcBorders>
            <w:hideMark/>
          </w:tcPr>
          <w:p w14:paraId="5B2C04A7" w14:textId="77777777" w:rsidR="0093026F" w:rsidRPr="00B44D01" w:rsidRDefault="0093026F" w:rsidP="00783644">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B44D01">
              <w:rPr>
                <w:rFonts w:ascii="Times New Roman" w:eastAsia="Times New Roman" w:hAnsi="Times New Roman" w:cs="Times New Roman"/>
                <w:color w:val="000000"/>
                <w:kern w:val="0"/>
                <w14:ligatures w14:val="none"/>
              </w:rPr>
              <w:t>) Expanded</w:t>
            </w:r>
          </w:p>
        </w:tc>
        <w:tc>
          <w:tcPr>
            <w:tcW w:w="1975" w:type="dxa"/>
            <w:tcBorders>
              <w:bottom w:val="single" w:sz="4" w:space="0" w:color="auto"/>
            </w:tcBorders>
            <w:hideMark/>
          </w:tcPr>
          <w:p w14:paraId="42BB5E53" w14:textId="77777777" w:rsidR="0093026F" w:rsidRPr="00B44D01" w:rsidRDefault="0093026F" w:rsidP="00783644">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oMath>
            <w:r w:rsidRPr="00B44D01">
              <w:rPr>
                <w:rFonts w:ascii="Times New Roman" w:eastAsia="Times New Roman" w:hAnsi="Times New Roman" w:cs="Times New Roman"/>
                <w:color w:val="000000"/>
                <w:kern w:val="0"/>
                <w14:ligatures w14:val="none"/>
              </w:rPr>
              <w:t>) Expanded</w:t>
            </w:r>
          </w:p>
        </w:tc>
      </w:tr>
      <w:tr w:rsidR="0093026F" w:rsidRPr="00B44D01" w14:paraId="5C8F9C85" w14:textId="77777777" w:rsidTr="0093026F">
        <w:trPr>
          <w:trHeight w:val="290"/>
        </w:trPr>
        <w:tc>
          <w:tcPr>
            <w:tcW w:w="810" w:type="dxa"/>
            <w:hideMark/>
          </w:tcPr>
          <w:p w14:paraId="127CD21B"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2015</w:t>
            </w:r>
          </w:p>
        </w:tc>
        <w:tc>
          <w:tcPr>
            <w:tcW w:w="1800" w:type="dxa"/>
            <w:tcBorders>
              <w:top w:val="single" w:sz="4" w:space="0" w:color="auto"/>
              <w:left w:val="nil"/>
              <w:bottom w:val="single" w:sz="4" w:space="0" w:color="auto"/>
              <w:right w:val="single" w:sz="4" w:space="0" w:color="auto"/>
            </w:tcBorders>
            <w:vAlign w:val="center"/>
            <w:hideMark/>
          </w:tcPr>
          <w:p w14:paraId="5995192B" w14:textId="6D8078F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0.08</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7F36BC6" w14:textId="1956947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07A6D02" w14:textId="4C9073E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0.038</w:t>
            </w:r>
          </w:p>
        </w:tc>
        <w:tc>
          <w:tcPr>
            <w:tcW w:w="1975" w:type="dxa"/>
            <w:tcBorders>
              <w:top w:val="single" w:sz="4" w:space="0" w:color="auto"/>
              <w:left w:val="single" w:sz="4" w:space="0" w:color="auto"/>
              <w:bottom w:val="single" w:sz="4" w:space="0" w:color="auto"/>
              <w:right w:val="single" w:sz="4" w:space="0" w:color="auto"/>
            </w:tcBorders>
            <w:vAlign w:val="center"/>
            <w:hideMark/>
          </w:tcPr>
          <w:p w14:paraId="53B4DD03" w14:textId="1264183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w:t>
            </w:r>
          </w:p>
        </w:tc>
      </w:tr>
      <w:tr w:rsidR="0093026F" w:rsidRPr="00B44D01" w14:paraId="3B721A15" w14:textId="77777777" w:rsidTr="0093026F">
        <w:trPr>
          <w:trHeight w:val="290"/>
        </w:trPr>
        <w:tc>
          <w:tcPr>
            <w:tcW w:w="810" w:type="dxa"/>
            <w:hideMark/>
          </w:tcPr>
          <w:p w14:paraId="0C7491C1"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2016</w:t>
            </w:r>
          </w:p>
        </w:tc>
        <w:tc>
          <w:tcPr>
            <w:tcW w:w="1800" w:type="dxa"/>
            <w:tcBorders>
              <w:top w:val="single" w:sz="4" w:space="0" w:color="auto"/>
              <w:left w:val="nil"/>
              <w:bottom w:val="single" w:sz="4" w:space="0" w:color="auto"/>
              <w:right w:val="single" w:sz="4" w:space="0" w:color="auto"/>
            </w:tcBorders>
            <w:vAlign w:val="center"/>
            <w:hideMark/>
          </w:tcPr>
          <w:p w14:paraId="6F08611E" w14:textId="2AA37D35"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0.079</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F82AB18" w14:textId="74727BE9"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2EA8079" w14:textId="4EDDB8C5"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0.038</w:t>
            </w:r>
          </w:p>
        </w:tc>
        <w:tc>
          <w:tcPr>
            <w:tcW w:w="1975" w:type="dxa"/>
            <w:tcBorders>
              <w:top w:val="single" w:sz="4" w:space="0" w:color="auto"/>
              <w:left w:val="single" w:sz="4" w:space="0" w:color="auto"/>
              <w:bottom w:val="single" w:sz="4" w:space="0" w:color="auto"/>
              <w:right w:val="single" w:sz="4" w:space="0" w:color="auto"/>
            </w:tcBorders>
            <w:vAlign w:val="center"/>
            <w:hideMark/>
          </w:tcPr>
          <w:p w14:paraId="394F8A1C" w14:textId="29433A0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w:t>
            </w:r>
          </w:p>
        </w:tc>
      </w:tr>
      <w:tr w:rsidR="0093026F" w:rsidRPr="00B44D01" w14:paraId="275B4D74" w14:textId="77777777" w:rsidTr="0093026F">
        <w:trPr>
          <w:trHeight w:val="290"/>
        </w:trPr>
        <w:tc>
          <w:tcPr>
            <w:tcW w:w="810" w:type="dxa"/>
            <w:hideMark/>
          </w:tcPr>
          <w:p w14:paraId="235F5D2A"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2017</w:t>
            </w:r>
          </w:p>
        </w:tc>
        <w:tc>
          <w:tcPr>
            <w:tcW w:w="1800" w:type="dxa"/>
            <w:tcBorders>
              <w:top w:val="single" w:sz="4" w:space="0" w:color="auto"/>
              <w:left w:val="nil"/>
              <w:bottom w:val="single" w:sz="4" w:space="0" w:color="auto"/>
              <w:right w:val="single" w:sz="4" w:space="0" w:color="auto"/>
            </w:tcBorders>
            <w:vAlign w:val="center"/>
            <w:hideMark/>
          </w:tcPr>
          <w:p w14:paraId="1C85DD51" w14:textId="69ADEDCF"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0.087</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68823B9" w14:textId="35749D35"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FCF4BFF" w14:textId="3786B8F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0.042</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EA33CAC" w14:textId="13540D5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0.022</w:t>
            </w:r>
          </w:p>
        </w:tc>
      </w:tr>
      <w:tr w:rsidR="0093026F" w:rsidRPr="00B44D01" w14:paraId="24CA1CEB" w14:textId="77777777" w:rsidTr="0093026F">
        <w:trPr>
          <w:trHeight w:val="290"/>
        </w:trPr>
        <w:tc>
          <w:tcPr>
            <w:tcW w:w="810" w:type="dxa"/>
            <w:hideMark/>
          </w:tcPr>
          <w:p w14:paraId="74B7331B"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2018</w:t>
            </w:r>
          </w:p>
        </w:tc>
        <w:tc>
          <w:tcPr>
            <w:tcW w:w="1800" w:type="dxa"/>
            <w:tcBorders>
              <w:top w:val="single" w:sz="4" w:space="0" w:color="auto"/>
              <w:left w:val="nil"/>
              <w:bottom w:val="single" w:sz="4" w:space="0" w:color="auto"/>
              <w:right w:val="single" w:sz="4" w:space="0" w:color="auto"/>
            </w:tcBorders>
            <w:vAlign w:val="center"/>
            <w:hideMark/>
          </w:tcPr>
          <w:p w14:paraId="33307617" w14:textId="5498F30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0.09</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52F1DC1" w14:textId="01FABFA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B95674D" w14:textId="64455BF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0.044</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DA8EE49" w14:textId="57131DB9"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0.023</w:t>
            </w:r>
          </w:p>
        </w:tc>
      </w:tr>
      <w:tr w:rsidR="0093026F" w:rsidRPr="00B44D01" w14:paraId="6E53082B" w14:textId="77777777" w:rsidTr="0093026F">
        <w:trPr>
          <w:trHeight w:val="290"/>
        </w:trPr>
        <w:tc>
          <w:tcPr>
            <w:tcW w:w="810" w:type="dxa"/>
            <w:hideMark/>
          </w:tcPr>
          <w:p w14:paraId="78C43843"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2019</w:t>
            </w:r>
          </w:p>
        </w:tc>
        <w:tc>
          <w:tcPr>
            <w:tcW w:w="1800" w:type="dxa"/>
            <w:tcBorders>
              <w:top w:val="single" w:sz="4" w:space="0" w:color="auto"/>
              <w:left w:val="nil"/>
              <w:bottom w:val="single" w:sz="4" w:space="0" w:color="auto"/>
              <w:right w:val="single" w:sz="4" w:space="0" w:color="auto"/>
            </w:tcBorders>
            <w:vAlign w:val="center"/>
            <w:hideMark/>
          </w:tcPr>
          <w:p w14:paraId="1AAF5AD4" w14:textId="1CC6818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0.097</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43C2D7D" w14:textId="14AFD538"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3A9F046" w14:textId="0FDBFBF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0.047</w:t>
            </w:r>
          </w:p>
        </w:tc>
        <w:tc>
          <w:tcPr>
            <w:tcW w:w="1975" w:type="dxa"/>
            <w:tcBorders>
              <w:top w:val="single" w:sz="4" w:space="0" w:color="auto"/>
              <w:left w:val="single" w:sz="4" w:space="0" w:color="auto"/>
              <w:bottom w:val="single" w:sz="4" w:space="0" w:color="auto"/>
              <w:right w:val="single" w:sz="4" w:space="0" w:color="auto"/>
            </w:tcBorders>
            <w:vAlign w:val="center"/>
            <w:hideMark/>
          </w:tcPr>
          <w:p w14:paraId="49737B6E" w14:textId="5E2CC35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0.025</w:t>
            </w:r>
          </w:p>
        </w:tc>
      </w:tr>
      <w:tr w:rsidR="0093026F" w:rsidRPr="00B44D01" w14:paraId="280DAB05" w14:textId="77777777" w:rsidTr="0093026F">
        <w:trPr>
          <w:trHeight w:val="290"/>
        </w:trPr>
        <w:tc>
          <w:tcPr>
            <w:tcW w:w="810" w:type="dxa"/>
            <w:hideMark/>
          </w:tcPr>
          <w:p w14:paraId="026D5854"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2020</w:t>
            </w:r>
          </w:p>
        </w:tc>
        <w:tc>
          <w:tcPr>
            <w:tcW w:w="1800" w:type="dxa"/>
            <w:tcBorders>
              <w:top w:val="single" w:sz="4" w:space="0" w:color="auto"/>
              <w:left w:val="nil"/>
              <w:bottom w:val="single" w:sz="4" w:space="0" w:color="auto"/>
              <w:right w:val="single" w:sz="4" w:space="0" w:color="auto"/>
            </w:tcBorders>
            <w:vAlign w:val="center"/>
            <w:hideMark/>
          </w:tcPr>
          <w:p w14:paraId="37E247FD" w14:textId="20C9DDE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EF07499" w14:textId="3F527C0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0.026</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9B6118F" w14:textId="1CD596B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0.049</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8CC7E15" w14:textId="42474363"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0.026</w:t>
            </w:r>
          </w:p>
        </w:tc>
      </w:tr>
      <w:tr w:rsidR="0093026F" w:rsidRPr="00B44D01" w14:paraId="4557DA71" w14:textId="77777777" w:rsidTr="0093026F">
        <w:trPr>
          <w:trHeight w:val="290"/>
        </w:trPr>
        <w:tc>
          <w:tcPr>
            <w:tcW w:w="810" w:type="dxa"/>
            <w:hideMark/>
          </w:tcPr>
          <w:p w14:paraId="2F66ABEB"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2021</w:t>
            </w:r>
          </w:p>
        </w:tc>
        <w:tc>
          <w:tcPr>
            <w:tcW w:w="1800" w:type="dxa"/>
            <w:tcBorders>
              <w:top w:val="single" w:sz="4" w:space="0" w:color="auto"/>
              <w:left w:val="nil"/>
              <w:bottom w:val="single" w:sz="4" w:space="0" w:color="auto"/>
              <w:right w:val="single" w:sz="4" w:space="0" w:color="auto"/>
            </w:tcBorders>
            <w:vAlign w:val="center"/>
            <w:hideMark/>
          </w:tcPr>
          <w:p w14:paraId="10DE2CB1" w14:textId="309C812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0.112</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6653F5E" w14:textId="42195748"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0.029</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53CD469" w14:textId="7A747EC9"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0.054</w:t>
            </w:r>
          </w:p>
        </w:tc>
        <w:tc>
          <w:tcPr>
            <w:tcW w:w="1975" w:type="dxa"/>
            <w:tcBorders>
              <w:top w:val="single" w:sz="4" w:space="0" w:color="auto"/>
              <w:left w:val="single" w:sz="4" w:space="0" w:color="auto"/>
              <w:bottom w:val="single" w:sz="4" w:space="0" w:color="auto"/>
              <w:right w:val="single" w:sz="4" w:space="0" w:color="auto"/>
            </w:tcBorders>
            <w:vAlign w:val="center"/>
            <w:hideMark/>
          </w:tcPr>
          <w:p w14:paraId="69ADA31F" w14:textId="096646FE"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0.029</w:t>
            </w:r>
          </w:p>
        </w:tc>
      </w:tr>
      <w:tr w:rsidR="0093026F" w:rsidRPr="00B44D01" w14:paraId="372AFBB2" w14:textId="77777777" w:rsidTr="0093026F">
        <w:trPr>
          <w:trHeight w:val="290"/>
        </w:trPr>
        <w:tc>
          <w:tcPr>
            <w:tcW w:w="810" w:type="dxa"/>
            <w:hideMark/>
          </w:tcPr>
          <w:p w14:paraId="5663F665"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2022</w:t>
            </w:r>
          </w:p>
        </w:tc>
        <w:tc>
          <w:tcPr>
            <w:tcW w:w="1800" w:type="dxa"/>
            <w:tcBorders>
              <w:top w:val="single" w:sz="4" w:space="0" w:color="auto"/>
              <w:left w:val="nil"/>
              <w:bottom w:val="single" w:sz="4" w:space="0" w:color="auto"/>
              <w:right w:val="single" w:sz="4" w:space="0" w:color="auto"/>
            </w:tcBorders>
            <w:vAlign w:val="center"/>
            <w:hideMark/>
          </w:tcPr>
          <w:p w14:paraId="53F05642" w14:textId="215F51BF"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0.122</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62A0C73" w14:textId="1D4DEF78"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62C75E3" w14:textId="60541864"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0.06</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2B364B4" w14:textId="3695EF14"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0.032</w:t>
            </w:r>
          </w:p>
        </w:tc>
      </w:tr>
      <w:tr w:rsidR="0093026F" w:rsidRPr="00B44D01" w14:paraId="215AF98D" w14:textId="77777777" w:rsidTr="0093026F">
        <w:trPr>
          <w:trHeight w:val="290"/>
        </w:trPr>
        <w:tc>
          <w:tcPr>
            <w:tcW w:w="810" w:type="dxa"/>
            <w:hideMark/>
          </w:tcPr>
          <w:p w14:paraId="0706BF40"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2023</w:t>
            </w:r>
          </w:p>
        </w:tc>
        <w:tc>
          <w:tcPr>
            <w:tcW w:w="1800" w:type="dxa"/>
            <w:tcBorders>
              <w:top w:val="single" w:sz="4" w:space="0" w:color="auto"/>
              <w:left w:val="nil"/>
              <w:bottom w:val="single" w:sz="4" w:space="0" w:color="auto"/>
              <w:right w:val="single" w:sz="4" w:space="0" w:color="auto"/>
            </w:tcBorders>
            <w:vAlign w:val="center"/>
            <w:hideMark/>
          </w:tcPr>
          <w:p w14:paraId="28E3ADBA" w14:textId="25575A7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0.136</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18C8A3E" w14:textId="6EE7CC6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0.036</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7A045EA" w14:textId="2DC978D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0.067</w:t>
            </w:r>
          </w:p>
        </w:tc>
        <w:tc>
          <w:tcPr>
            <w:tcW w:w="1975" w:type="dxa"/>
            <w:tcBorders>
              <w:top w:val="single" w:sz="4" w:space="0" w:color="auto"/>
              <w:left w:val="single" w:sz="4" w:space="0" w:color="auto"/>
              <w:bottom w:val="single" w:sz="4" w:space="0" w:color="auto"/>
              <w:right w:val="single" w:sz="4" w:space="0" w:color="auto"/>
            </w:tcBorders>
            <w:vAlign w:val="center"/>
            <w:hideMark/>
          </w:tcPr>
          <w:p w14:paraId="6AA6F03B" w14:textId="7F12613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0.036</w:t>
            </w:r>
          </w:p>
        </w:tc>
      </w:tr>
      <w:tr w:rsidR="0093026F" w:rsidRPr="00B44D01" w14:paraId="5C5D1A20" w14:textId="77777777" w:rsidTr="0093026F">
        <w:trPr>
          <w:trHeight w:val="290"/>
        </w:trPr>
        <w:tc>
          <w:tcPr>
            <w:tcW w:w="810" w:type="dxa"/>
            <w:hideMark/>
          </w:tcPr>
          <w:p w14:paraId="3A246233"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2024</w:t>
            </w:r>
          </w:p>
        </w:tc>
        <w:tc>
          <w:tcPr>
            <w:tcW w:w="1800" w:type="dxa"/>
            <w:tcBorders>
              <w:top w:val="single" w:sz="4" w:space="0" w:color="auto"/>
              <w:left w:val="nil"/>
              <w:bottom w:val="single" w:sz="4" w:space="0" w:color="auto"/>
              <w:right w:val="single" w:sz="4" w:space="0" w:color="auto"/>
            </w:tcBorders>
            <w:vAlign w:val="center"/>
            <w:hideMark/>
          </w:tcPr>
          <w:p w14:paraId="20D81F69" w14:textId="5E97B8A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0.155</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E39D3AB" w14:textId="05D22439"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B79F667" w14:textId="2DD08CE2"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0.076</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0EE9880" w14:textId="4B933712"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0.041</w:t>
            </w:r>
          </w:p>
        </w:tc>
      </w:tr>
      <w:tr w:rsidR="0093026F" w:rsidRPr="00B44D01" w14:paraId="7931E96C" w14:textId="77777777" w:rsidTr="0093026F">
        <w:trPr>
          <w:trHeight w:val="290"/>
        </w:trPr>
        <w:tc>
          <w:tcPr>
            <w:tcW w:w="810" w:type="dxa"/>
            <w:hideMark/>
          </w:tcPr>
          <w:p w14:paraId="7AC01D3B"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2025</w:t>
            </w:r>
          </w:p>
        </w:tc>
        <w:tc>
          <w:tcPr>
            <w:tcW w:w="1800" w:type="dxa"/>
            <w:tcBorders>
              <w:top w:val="single" w:sz="4" w:space="0" w:color="auto"/>
              <w:left w:val="nil"/>
              <w:bottom w:val="single" w:sz="4" w:space="0" w:color="auto"/>
              <w:right w:val="single" w:sz="4" w:space="0" w:color="auto"/>
            </w:tcBorders>
            <w:vAlign w:val="center"/>
            <w:hideMark/>
          </w:tcPr>
          <w:p w14:paraId="372E6369" w14:textId="4F4CD3CE"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0.18</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9A87A1B" w14:textId="5F2684E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F6111D0" w14:textId="09C31CB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0.089</w:t>
            </w:r>
          </w:p>
        </w:tc>
        <w:tc>
          <w:tcPr>
            <w:tcW w:w="1975" w:type="dxa"/>
            <w:tcBorders>
              <w:top w:val="single" w:sz="4" w:space="0" w:color="auto"/>
              <w:left w:val="single" w:sz="4" w:space="0" w:color="auto"/>
              <w:bottom w:val="single" w:sz="4" w:space="0" w:color="auto"/>
              <w:right w:val="single" w:sz="4" w:space="0" w:color="auto"/>
            </w:tcBorders>
            <w:vAlign w:val="center"/>
            <w:hideMark/>
          </w:tcPr>
          <w:p w14:paraId="69F50E49" w14:textId="0198C89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0.048</w:t>
            </w:r>
          </w:p>
        </w:tc>
      </w:tr>
      <w:tr w:rsidR="0093026F" w:rsidRPr="00B44D01" w14:paraId="1B3B3B29" w14:textId="77777777" w:rsidTr="0093026F">
        <w:trPr>
          <w:trHeight w:val="290"/>
        </w:trPr>
        <w:tc>
          <w:tcPr>
            <w:tcW w:w="810" w:type="dxa"/>
            <w:hideMark/>
          </w:tcPr>
          <w:p w14:paraId="0AD4CB73"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2026</w:t>
            </w:r>
          </w:p>
        </w:tc>
        <w:tc>
          <w:tcPr>
            <w:tcW w:w="1800" w:type="dxa"/>
            <w:tcBorders>
              <w:top w:val="single" w:sz="4" w:space="0" w:color="auto"/>
              <w:left w:val="nil"/>
              <w:bottom w:val="single" w:sz="4" w:space="0" w:color="auto"/>
              <w:right w:val="single" w:sz="4" w:space="0" w:color="auto"/>
            </w:tcBorders>
            <w:vAlign w:val="center"/>
            <w:hideMark/>
          </w:tcPr>
          <w:p w14:paraId="208DADF5" w14:textId="0AC4D99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0.216</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65745CD" w14:textId="767DCBFF"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0.058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D1DB35A" w14:textId="74CADB2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0.119</w:t>
            </w:r>
          </w:p>
        </w:tc>
        <w:tc>
          <w:tcPr>
            <w:tcW w:w="1975" w:type="dxa"/>
            <w:tcBorders>
              <w:top w:val="single" w:sz="4" w:space="0" w:color="auto"/>
              <w:left w:val="single" w:sz="4" w:space="0" w:color="auto"/>
              <w:bottom w:val="single" w:sz="4" w:space="0" w:color="auto"/>
              <w:right w:val="single" w:sz="4" w:space="0" w:color="auto"/>
            </w:tcBorders>
            <w:vAlign w:val="center"/>
            <w:hideMark/>
          </w:tcPr>
          <w:p w14:paraId="47762A22" w14:textId="70ABE97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0.065</w:t>
            </w:r>
          </w:p>
        </w:tc>
      </w:tr>
      <w:tr w:rsidR="0093026F" w:rsidRPr="00B44D01" w14:paraId="4F01BF65" w14:textId="77777777" w:rsidTr="0093026F">
        <w:trPr>
          <w:trHeight w:val="290"/>
        </w:trPr>
        <w:tc>
          <w:tcPr>
            <w:tcW w:w="810" w:type="dxa"/>
            <w:hideMark/>
          </w:tcPr>
          <w:p w14:paraId="4A596172"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2027</w:t>
            </w:r>
          </w:p>
        </w:tc>
        <w:tc>
          <w:tcPr>
            <w:tcW w:w="1800" w:type="dxa"/>
            <w:tcBorders>
              <w:top w:val="single" w:sz="4" w:space="0" w:color="auto"/>
              <w:left w:val="nil"/>
              <w:bottom w:val="single" w:sz="4" w:space="0" w:color="auto"/>
              <w:right w:val="single" w:sz="4" w:space="0" w:color="auto"/>
            </w:tcBorders>
            <w:vAlign w:val="center"/>
            <w:hideMark/>
          </w:tcPr>
          <w:p w14:paraId="61FC2C2D" w14:textId="5848E4A8"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0.263</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237AB6B" w14:textId="5D2BEF42"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0.071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CB7DF05" w14:textId="39C7BB19"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0.155</w:t>
            </w:r>
          </w:p>
        </w:tc>
        <w:tc>
          <w:tcPr>
            <w:tcW w:w="1975" w:type="dxa"/>
            <w:tcBorders>
              <w:top w:val="single" w:sz="4" w:space="0" w:color="auto"/>
              <w:left w:val="single" w:sz="4" w:space="0" w:color="auto"/>
              <w:bottom w:val="single" w:sz="4" w:space="0" w:color="auto"/>
              <w:right w:val="single" w:sz="4" w:space="0" w:color="auto"/>
            </w:tcBorders>
            <w:vAlign w:val="center"/>
            <w:hideMark/>
          </w:tcPr>
          <w:p w14:paraId="44F390AB" w14:textId="3FEA2BE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0.085</w:t>
            </w:r>
          </w:p>
        </w:tc>
      </w:tr>
      <w:tr w:rsidR="0093026F" w:rsidRPr="00B44D01" w14:paraId="6FC11553" w14:textId="77777777" w:rsidTr="0093026F">
        <w:trPr>
          <w:trHeight w:val="290"/>
        </w:trPr>
        <w:tc>
          <w:tcPr>
            <w:tcW w:w="810" w:type="dxa"/>
            <w:hideMark/>
          </w:tcPr>
          <w:p w14:paraId="11186647"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2028</w:t>
            </w:r>
          </w:p>
        </w:tc>
        <w:tc>
          <w:tcPr>
            <w:tcW w:w="1800" w:type="dxa"/>
            <w:tcBorders>
              <w:top w:val="single" w:sz="4" w:space="0" w:color="auto"/>
              <w:left w:val="nil"/>
              <w:bottom w:val="single" w:sz="4" w:space="0" w:color="auto"/>
              <w:right w:val="single" w:sz="4" w:space="0" w:color="auto"/>
            </w:tcBorders>
            <w:vAlign w:val="center"/>
            <w:hideMark/>
          </w:tcPr>
          <w:p w14:paraId="70186A70" w14:textId="492C59E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0.321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3B830D0" w14:textId="389D6003"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0.087</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C358B94" w14:textId="29BDCF28"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0.2</w:t>
            </w:r>
          </w:p>
        </w:tc>
        <w:tc>
          <w:tcPr>
            <w:tcW w:w="1975" w:type="dxa"/>
            <w:tcBorders>
              <w:top w:val="single" w:sz="4" w:space="0" w:color="auto"/>
              <w:left w:val="single" w:sz="4" w:space="0" w:color="auto"/>
              <w:bottom w:val="single" w:sz="4" w:space="0" w:color="auto"/>
              <w:right w:val="single" w:sz="4" w:space="0" w:color="auto"/>
            </w:tcBorders>
            <w:vAlign w:val="center"/>
            <w:hideMark/>
          </w:tcPr>
          <w:p w14:paraId="2D389BE3" w14:textId="10BF4829"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0.11</w:t>
            </w:r>
          </w:p>
        </w:tc>
      </w:tr>
      <w:tr w:rsidR="0093026F" w:rsidRPr="00B44D01" w14:paraId="6F57522C" w14:textId="77777777" w:rsidTr="0093026F">
        <w:trPr>
          <w:trHeight w:val="290"/>
        </w:trPr>
        <w:tc>
          <w:tcPr>
            <w:tcW w:w="810" w:type="dxa"/>
            <w:hideMark/>
          </w:tcPr>
          <w:p w14:paraId="5D5C0464"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2029</w:t>
            </w:r>
          </w:p>
        </w:tc>
        <w:tc>
          <w:tcPr>
            <w:tcW w:w="1800" w:type="dxa"/>
            <w:tcBorders>
              <w:top w:val="single" w:sz="4" w:space="0" w:color="auto"/>
              <w:left w:val="nil"/>
              <w:bottom w:val="single" w:sz="4" w:space="0" w:color="auto"/>
              <w:right w:val="single" w:sz="4" w:space="0" w:color="auto"/>
            </w:tcBorders>
            <w:vAlign w:val="center"/>
            <w:hideMark/>
          </w:tcPr>
          <w:p w14:paraId="2E215841" w14:textId="53388FB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0.392</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0438CFB" w14:textId="5B70B305"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0.107</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A844B14" w14:textId="04A8EE15"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0.254</w:t>
            </w:r>
          </w:p>
        </w:tc>
        <w:tc>
          <w:tcPr>
            <w:tcW w:w="1975" w:type="dxa"/>
            <w:tcBorders>
              <w:top w:val="single" w:sz="4" w:space="0" w:color="auto"/>
              <w:left w:val="single" w:sz="4" w:space="0" w:color="auto"/>
              <w:bottom w:val="single" w:sz="4" w:space="0" w:color="auto"/>
              <w:right w:val="single" w:sz="4" w:space="0" w:color="auto"/>
            </w:tcBorders>
            <w:vAlign w:val="center"/>
            <w:hideMark/>
          </w:tcPr>
          <w:p w14:paraId="50412C8F" w14:textId="3A116B1F"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0.14</w:t>
            </w:r>
          </w:p>
        </w:tc>
      </w:tr>
      <w:tr w:rsidR="0093026F" w:rsidRPr="00B44D01" w14:paraId="7F309ED4" w14:textId="77777777" w:rsidTr="0093026F">
        <w:trPr>
          <w:trHeight w:val="290"/>
        </w:trPr>
        <w:tc>
          <w:tcPr>
            <w:tcW w:w="810" w:type="dxa"/>
            <w:hideMark/>
          </w:tcPr>
          <w:p w14:paraId="03F8553A"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2030</w:t>
            </w:r>
          </w:p>
        </w:tc>
        <w:tc>
          <w:tcPr>
            <w:tcW w:w="1800" w:type="dxa"/>
            <w:tcBorders>
              <w:top w:val="single" w:sz="4" w:space="0" w:color="auto"/>
              <w:left w:val="nil"/>
              <w:bottom w:val="single" w:sz="4" w:space="0" w:color="auto"/>
              <w:right w:val="single" w:sz="4" w:space="0" w:color="auto"/>
            </w:tcBorders>
            <w:vAlign w:val="center"/>
            <w:hideMark/>
          </w:tcPr>
          <w:p w14:paraId="68EA53A1" w14:textId="529E555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0.473</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0974539" w14:textId="13672E47"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647473E" w14:textId="252CD977"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0.316</w:t>
            </w:r>
          </w:p>
        </w:tc>
        <w:tc>
          <w:tcPr>
            <w:tcW w:w="1975" w:type="dxa"/>
            <w:tcBorders>
              <w:top w:val="single" w:sz="4" w:space="0" w:color="auto"/>
              <w:left w:val="single" w:sz="4" w:space="0" w:color="auto"/>
              <w:bottom w:val="single" w:sz="4" w:space="0" w:color="auto"/>
              <w:right w:val="single" w:sz="4" w:space="0" w:color="auto"/>
            </w:tcBorders>
            <w:vAlign w:val="center"/>
            <w:hideMark/>
          </w:tcPr>
          <w:p w14:paraId="3784DD75" w14:textId="318732A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0.175</w:t>
            </w:r>
          </w:p>
        </w:tc>
      </w:tr>
    </w:tbl>
    <w:p w14:paraId="5ABF16E0" w14:textId="77777777" w:rsidR="0093026F" w:rsidRDefault="0093026F" w:rsidP="00A75A10">
      <w:pPr>
        <w:spacing w:before="120" w:line="480" w:lineRule="auto"/>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810"/>
        <w:gridCol w:w="1800"/>
        <w:gridCol w:w="1620"/>
        <w:gridCol w:w="1980"/>
        <w:gridCol w:w="1975"/>
      </w:tblGrid>
      <w:tr w:rsidR="0093026F" w:rsidRPr="00B44D01" w14:paraId="295FBDB2" w14:textId="77777777" w:rsidTr="00783644">
        <w:trPr>
          <w:trHeight w:val="431"/>
        </w:trPr>
        <w:tc>
          <w:tcPr>
            <w:tcW w:w="8185" w:type="dxa"/>
            <w:gridSpan w:val="5"/>
          </w:tcPr>
          <w:p w14:paraId="4217E2AC" w14:textId="43578879" w:rsidR="0093026F" w:rsidRPr="00B44D01" w:rsidRDefault="0093026F" w:rsidP="00783644">
            <w:pPr>
              <w:spacing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Table </w:t>
            </w:r>
            <w:r w:rsidR="00AF54C0">
              <w:rPr>
                <w:rFonts w:ascii="Times New Roman" w:eastAsia="Times New Roman" w:hAnsi="Times New Roman" w:cs="Times New Roman"/>
                <w:b/>
                <w:bCs/>
                <w:color w:val="000000"/>
                <w:kern w:val="0"/>
                <w14:ligatures w14:val="none"/>
              </w:rPr>
              <w:t>S</w:t>
            </w:r>
            <w:r w:rsidR="00AB192C">
              <w:rPr>
                <w:rFonts w:ascii="Times New Roman" w:eastAsia="Times New Roman" w:hAnsi="Times New Roman" w:cs="Times New Roman"/>
                <w:b/>
                <w:bCs/>
                <w:color w:val="000000"/>
                <w:kern w:val="0"/>
                <w14:ligatures w14:val="none"/>
              </w:rPr>
              <w:t>7</w:t>
            </w:r>
            <w:r>
              <w:rPr>
                <w:rFonts w:ascii="Times New Roman" w:eastAsia="Times New Roman" w:hAnsi="Times New Roman" w:cs="Times New Roman"/>
                <w:b/>
                <w:bCs/>
                <w:color w:val="000000"/>
                <w:kern w:val="0"/>
                <w14:ligatures w14:val="none"/>
              </w:rPr>
              <w:t xml:space="preserve">. The Access </w:t>
            </w:r>
            <w:r w:rsidRPr="00F1462C">
              <w:rPr>
                <w:rFonts w:ascii="Times New Roman" w:eastAsia="Times New Roman" w:hAnsi="Times New Roman" w:cs="Times New Roman"/>
                <w:b/>
                <w:bCs/>
                <w:color w:val="000000"/>
                <w:kern w:val="0"/>
                <w14:ligatures w14:val="none"/>
              </w:rPr>
              <w:t>Rate (</w:t>
            </w:r>
            <m:oMath>
              <m:sSub>
                <m:sSubPr>
                  <m:ctrlPr>
                    <w:rPr>
                      <w:rFonts w:ascii="Cambria Math" w:hAnsi="Cambria Math" w:cs="Times New Roman"/>
                      <w:b/>
                      <w:bCs/>
                    </w:rPr>
                  </m:ctrlPr>
                </m:sSubPr>
                <m:e>
                  <m:r>
                    <m:rPr>
                      <m:sty m:val="bi"/>
                    </m:rPr>
                    <w:rPr>
                      <w:rFonts w:ascii="Cambria Math" w:hAnsi="Cambria Math" w:cs="Times New Roman"/>
                    </w:rPr>
                    <m:t>a</m:t>
                  </m:r>
                </m:e>
                <m:sub>
                  <m:r>
                    <m:rPr>
                      <m:sty m:val="bi"/>
                    </m:rPr>
                    <w:rPr>
                      <w:rFonts w:ascii="Cambria Math" w:hAnsi="Cambria Math" w:cs="Times New Roman"/>
                    </w:rPr>
                    <m:t>t</m:t>
                  </m:r>
                </m:sub>
              </m:sSub>
            </m:oMath>
            <w:r w:rsidRPr="00F1462C">
              <w:rPr>
                <w:rFonts w:ascii="Times New Roman" w:eastAsia="Times New Roman" w:hAnsi="Times New Roman" w:cs="Times New Roman"/>
                <w:b/>
                <w:bCs/>
                <w:color w:val="000000"/>
                <w:kern w:val="0"/>
                <w14:ligatures w14:val="none"/>
              </w:rPr>
              <w:t>) and Market Potential (</w:t>
            </w:r>
            <m:oMath>
              <m:sSub>
                <m:sSubPr>
                  <m:ctrlPr>
                    <w:rPr>
                      <w:rFonts w:ascii="Cambria Math" w:hAnsi="Cambria Math" w:cs="Times New Roman"/>
                      <w:b/>
                      <w:bCs/>
                    </w:rPr>
                  </m:ctrlPr>
                </m:sSubPr>
                <m:e>
                  <m:r>
                    <m:rPr>
                      <m:sty m:val="bi"/>
                    </m:rPr>
                    <w:rPr>
                      <w:rFonts w:ascii="Cambria Math" w:hAnsi="Cambria Math" w:cs="Times New Roman"/>
                    </w:rPr>
                    <m:t>m</m:t>
                  </m:r>
                </m:e>
                <m:sub>
                  <m:r>
                    <m:rPr>
                      <m:sty m:val="bi"/>
                    </m:rPr>
                    <w:rPr>
                      <w:rFonts w:ascii="Cambria Math" w:hAnsi="Cambria Math" w:cs="Times New Roman"/>
                    </w:rPr>
                    <m:t>t</m:t>
                  </m:r>
                </m:sub>
              </m:sSub>
            </m:oMath>
            <w:r w:rsidRPr="00F1462C">
              <w:rPr>
                <w:rFonts w:ascii="Times New Roman" w:eastAsia="Times New Roman" w:hAnsi="Times New Roman" w:cs="Times New Roman"/>
                <w:b/>
                <w:bCs/>
                <w:color w:val="000000"/>
                <w:kern w:val="0"/>
                <w14:ligatures w14:val="none"/>
              </w:rPr>
              <w:t>) for</w:t>
            </w:r>
            <w:r>
              <w:rPr>
                <w:rFonts w:ascii="Times New Roman" w:eastAsia="Times New Roman" w:hAnsi="Times New Roman" w:cs="Times New Roman"/>
                <w:b/>
                <w:bCs/>
                <w:color w:val="000000"/>
                <w:kern w:val="0"/>
                <w14:ligatures w14:val="none"/>
              </w:rPr>
              <w:t xml:space="preserve"> Mexico </w:t>
            </w:r>
            <w:r w:rsidRPr="00B44D01">
              <w:rPr>
                <w:rFonts w:ascii="Times New Roman" w:hAnsi="Times New Roman" w:cs="Times New Roman"/>
                <w:b/>
                <w:bCs/>
              </w:rPr>
              <w:t xml:space="preserve">from </w:t>
            </w:r>
            <w:r>
              <w:rPr>
                <w:rFonts w:ascii="Times New Roman" w:hAnsi="Times New Roman" w:cs="Times New Roman"/>
                <w:b/>
                <w:bCs/>
              </w:rPr>
              <w:t>Y</w:t>
            </w:r>
            <w:r w:rsidRPr="00B44D01">
              <w:rPr>
                <w:rFonts w:ascii="Times New Roman" w:hAnsi="Times New Roman" w:cs="Times New Roman"/>
                <w:b/>
                <w:bCs/>
              </w:rPr>
              <w:t>ear 2014 to 2030.</w:t>
            </w:r>
          </w:p>
        </w:tc>
      </w:tr>
      <w:tr w:rsidR="0093026F" w:rsidRPr="00B44D01" w14:paraId="1154714E" w14:textId="77777777" w:rsidTr="00783644">
        <w:trPr>
          <w:trHeight w:val="431"/>
        </w:trPr>
        <w:tc>
          <w:tcPr>
            <w:tcW w:w="810" w:type="dxa"/>
            <w:hideMark/>
          </w:tcPr>
          <w:p w14:paraId="58FD2E01" w14:textId="77777777" w:rsidR="0093026F" w:rsidRPr="00B44D01" w:rsidRDefault="0093026F" w:rsidP="00783644">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Year</w:t>
            </w:r>
          </w:p>
        </w:tc>
        <w:tc>
          <w:tcPr>
            <w:tcW w:w="1800" w:type="dxa"/>
            <w:tcBorders>
              <w:bottom w:val="single" w:sz="4" w:space="0" w:color="auto"/>
            </w:tcBorders>
            <w:hideMark/>
          </w:tcPr>
          <w:p w14:paraId="03DABC20" w14:textId="77777777" w:rsidR="0093026F" w:rsidRPr="0093026F" w:rsidRDefault="0093026F" w:rsidP="00783644">
            <w:pPr>
              <w:spacing w:line="240" w:lineRule="auto"/>
              <w:jc w:val="right"/>
              <w:rPr>
                <w:rFonts w:ascii="Times New Roman" w:eastAsia="Times New Roman" w:hAnsi="Times New Roman" w:cs="Times New Roman"/>
                <w:color w:val="000000"/>
                <w:kern w:val="0"/>
                <w14:ligatures w14:val="none"/>
              </w:rPr>
            </w:pPr>
            <w:r w:rsidRPr="0093026F">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93026F">
              <w:rPr>
                <w:rFonts w:ascii="Times New Roman" w:eastAsia="Times New Roman" w:hAnsi="Times New Roman" w:cs="Times New Roman"/>
                <w:color w:val="000000"/>
                <w:kern w:val="0"/>
                <w14:ligatures w14:val="none"/>
              </w:rPr>
              <w:t>) Current</w:t>
            </w:r>
          </w:p>
        </w:tc>
        <w:tc>
          <w:tcPr>
            <w:tcW w:w="1620" w:type="dxa"/>
            <w:tcBorders>
              <w:bottom w:val="single" w:sz="4" w:space="0" w:color="auto"/>
            </w:tcBorders>
            <w:hideMark/>
          </w:tcPr>
          <w:p w14:paraId="796FD058" w14:textId="77777777" w:rsidR="0093026F" w:rsidRPr="0093026F" w:rsidRDefault="0093026F" w:rsidP="00783644">
            <w:pPr>
              <w:spacing w:line="240" w:lineRule="auto"/>
              <w:jc w:val="right"/>
              <w:rPr>
                <w:rFonts w:ascii="Times New Roman" w:eastAsia="Times New Roman" w:hAnsi="Times New Roman" w:cs="Times New Roman"/>
                <w:color w:val="000000"/>
                <w:kern w:val="0"/>
                <w14:ligatures w14:val="none"/>
              </w:rPr>
            </w:pPr>
            <w:r w:rsidRPr="0093026F">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oMath>
            <w:r w:rsidRPr="0093026F">
              <w:rPr>
                <w:rFonts w:ascii="Times New Roman" w:eastAsia="Times New Roman" w:hAnsi="Times New Roman" w:cs="Times New Roman"/>
                <w:color w:val="000000"/>
                <w:kern w:val="0"/>
                <w14:ligatures w14:val="none"/>
              </w:rPr>
              <w:t>) Current</w:t>
            </w:r>
          </w:p>
        </w:tc>
        <w:tc>
          <w:tcPr>
            <w:tcW w:w="1980" w:type="dxa"/>
            <w:tcBorders>
              <w:bottom w:val="single" w:sz="4" w:space="0" w:color="auto"/>
            </w:tcBorders>
            <w:hideMark/>
          </w:tcPr>
          <w:p w14:paraId="5198AD10" w14:textId="77777777" w:rsidR="0093026F" w:rsidRPr="0093026F" w:rsidRDefault="0093026F" w:rsidP="00783644">
            <w:pPr>
              <w:spacing w:line="240" w:lineRule="auto"/>
              <w:jc w:val="right"/>
              <w:rPr>
                <w:rFonts w:ascii="Times New Roman" w:eastAsia="Times New Roman" w:hAnsi="Times New Roman" w:cs="Times New Roman"/>
                <w:color w:val="000000"/>
                <w:kern w:val="0"/>
                <w14:ligatures w14:val="none"/>
              </w:rPr>
            </w:pPr>
            <w:r w:rsidRPr="0093026F">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w:r w:rsidRPr="0093026F">
              <w:rPr>
                <w:rFonts w:ascii="Times New Roman" w:eastAsia="Times New Roman" w:hAnsi="Times New Roman" w:cs="Times New Roman"/>
                <w:color w:val="000000"/>
                <w:kern w:val="0"/>
                <w14:ligatures w14:val="none"/>
              </w:rPr>
              <w:t>) Expanded</w:t>
            </w:r>
          </w:p>
        </w:tc>
        <w:tc>
          <w:tcPr>
            <w:tcW w:w="1975" w:type="dxa"/>
            <w:tcBorders>
              <w:bottom w:val="single" w:sz="4" w:space="0" w:color="auto"/>
            </w:tcBorders>
            <w:hideMark/>
          </w:tcPr>
          <w:p w14:paraId="69342AA2" w14:textId="77777777" w:rsidR="0093026F" w:rsidRPr="0093026F" w:rsidRDefault="0093026F" w:rsidP="00783644">
            <w:pPr>
              <w:spacing w:line="240" w:lineRule="auto"/>
              <w:jc w:val="right"/>
              <w:rPr>
                <w:rFonts w:ascii="Times New Roman" w:eastAsia="Times New Roman" w:hAnsi="Times New Roman" w:cs="Times New Roman"/>
                <w:color w:val="000000"/>
                <w:kern w:val="0"/>
                <w14:ligatures w14:val="none"/>
              </w:rPr>
            </w:pPr>
            <w:r w:rsidRPr="0093026F">
              <w:rPr>
                <w:rFonts w:ascii="Times New Roman" w:eastAsia="Times New Roman" w:hAnsi="Times New Roman" w:cs="Times New Roman"/>
                <w:color w:val="000000"/>
                <w:kern w:val="0"/>
                <w14:ligatures w14:val="none"/>
              </w:rPr>
              <w:t>(</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oMath>
            <w:r w:rsidRPr="0093026F">
              <w:rPr>
                <w:rFonts w:ascii="Times New Roman" w:eastAsia="Times New Roman" w:hAnsi="Times New Roman" w:cs="Times New Roman"/>
                <w:color w:val="000000"/>
                <w:kern w:val="0"/>
                <w14:ligatures w14:val="none"/>
              </w:rPr>
              <w:t>) Expanded</w:t>
            </w:r>
          </w:p>
        </w:tc>
      </w:tr>
      <w:tr w:rsidR="0093026F" w:rsidRPr="00B44D01" w14:paraId="6EAF5582" w14:textId="77777777" w:rsidTr="0093026F">
        <w:trPr>
          <w:trHeight w:val="290"/>
        </w:trPr>
        <w:tc>
          <w:tcPr>
            <w:tcW w:w="810" w:type="dxa"/>
            <w:hideMark/>
          </w:tcPr>
          <w:p w14:paraId="2EC19CEF"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2015</w:t>
            </w:r>
          </w:p>
        </w:tc>
        <w:tc>
          <w:tcPr>
            <w:tcW w:w="1800" w:type="dxa"/>
            <w:tcBorders>
              <w:top w:val="single" w:sz="4" w:space="0" w:color="auto"/>
              <w:left w:val="nil"/>
              <w:bottom w:val="single" w:sz="4" w:space="0" w:color="auto"/>
              <w:right w:val="single" w:sz="4" w:space="0" w:color="auto"/>
            </w:tcBorders>
            <w:vAlign w:val="center"/>
            <w:hideMark/>
          </w:tcPr>
          <w:p w14:paraId="54AE3851" w14:textId="1B61D84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AB36BA2" w14:textId="61361BE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034ECBD" w14:textId="497A7EF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0.019</w:t>
            </w:r>
          </w:p>
        </w:tc>
        <w:tc>
          <w:tcPr>
            <w:tcW w:w="1975" w:type="dxa"/>
            <w:tcBorders>
              <w:top w:val="single" w:sz="4" w:space="0" w:color="auto"/>
              <w:left w:val="single" w:sz="4" w:space="0" w:color="auto"/>
              <w:bottom w:val="single" w:sz="4" w:space="0" w:color="auto"/>
              <w:right w:val="single" w:sz="4" w:space="0" w:color="auto"/>
            </w:tcBorders>
            <w:vAlign w:val="center"/>
            <w:hideMark/>
          </w:tcPr>
          <w:p w14:paraId="596ABBB1" w14:textId="5B7BCAC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0.013</w:t>
            </w:r>
          </w:p>
        </w:tc>
      </w:tr>
      <w:tr w:rsidR="0093026F" w:rsidRPr="00B44D01" w14:paraId="1D7A8735" w14:textId="77777777" w:rsidTr="0093026F">
        <w:trPr>
          <w:trHeight w:val="290"/>
        </w:trPr>
        <w:tc>
          <w:tcPr>
            <w:tcW w:w="810" w:type="dxa"/>
            <w:hideMark/>
          </w:tcPr>
          <w:p w14:paraId="57703EC2"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2016</w:t>
            </w:r>
          </w:p>
        </w:tc>
        <w:tc>
          <w:tcPr>
            <w:tcW w:w="1800" w:type="dxa"/>
            <w:tcBorders>
              <w:top w:val="single" w:sz="4" w:space="0" w:color="auto"/>
              <w:left w:val="nil"/>
              <w:bottom w:val="single" w:sz="4" w:space="0" w:color="auto"/>
              <w:right w:val="single" w:sz="4" w:space="0" w:color="auto"/>
            </w:tcBorders>
            <w:vAlign w:val="center"/>
            <w:hideMark/>
          </w:tcPr>
          <w:p w14:paraId="08246CED" w14:textId="6361CAE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8736868" w14:textId="766BFF9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E795357" w14:textId="56C46253"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0.019</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F7F30A9" w14:textId="71165E2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0.013</w:t>
            </w:r>
          </w:p>
        </w:tc>
      </w:tr>
      <w:tr w:rsidR="0093026F" w:rsidRPr="00B44D01" w14:paraId="3AF9BEF7" w14:textId="77777777" w:rsidTr="0093026F">
        <w:trPr>
          <w:trHeight w:val="290"/>
        </w:trPr>
        <w:tc>
          <w:tcPr>
            <w:tcW w:w="810" w:type="dxa"/>
            <w:hideMark/>
          </w:tcPr>
          <w:p w14:paraId="00A1BE7F"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2017</w:t>
            </w:r>
          </w:p>
        </w:tc>
        <w:tc>
          <w:tcPr>
            <w:tcW w:w="1800" w:type="dxa"/>
            <w:tcBorders>
              <w:top w:val="single" w:sz="4" w:space="0" w:color="auto"/>
              <w:left w:val="nil"/>
              <w:bottom w:val="single" w:sz="4" w:space="0" w:color="auto"/>
              <w:right w:val="single" w:sz="4" w:space="0" w:color="auto"/>
            </w:tcBorders>
            <w:vAlign w:val="center"/>
            <w:hideMark/>
          </w:tcPr>
          <w:p w14:paraId="5815B121" w14:textId="484AF989"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0.046</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3391229" w14:textId="4C3DBFC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F7A85A9" w14:textId="542812C2"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0.021</w:t>
            </w:r>
          </w:p>
        </w:tc>
        <w:tc>
          <w:tcPr>
            <w:tcW w:w="1975" w:type="dxa"/>
            <w:tcBorders>
              <w:top w:val="single" w:sz="4" w:space="0" w:color="auto"/>
              <w:left w:val="single" w:sz="4" w:space="0" w:color="auto"/>
              <w:bottom w:val="single" w:sz="4" w:space="0" w:color="auto"/>
              <w:right w:val="single" w:sz="4" w:space="0" w:color="auto"/>
            </w:tcBorders>
            <w:vAlign w:val="center"/>
            <w:hideMark/>
          </w:tcPr>
          <w:p w14:paraId="2A668B46" w14:textId="4904D422"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0.015</w:t>
            </w:r>
          </w:p>
        </w:tc>
      </w:tr>
      <w:tr w:rsidR="0093026F" w:rsidRPr="00B44D01" w14:paraId="33F4A073" w14:textId="77777777" w:rsidTr="0093026F">
        <w:trPr>
          <w:trHeight w:val="290"/>
        </w:trPr>
        <w:tc>
          <w:tcPr>
            <w:tcW w:w="810" w:type="dxa"/>
            <w:hideMark/>
          </w:tcPr>
          <w:p w14:paraId="1A1FEEF6"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2018</w:t>
            </w:r>
          </w:p>
        </w:tc>
        <w:tc>
          <w:tcPr>
            <w:tcW w:w="1800" w:type="dxa"/>
            <w:tcBorders>
              <w:top w:val="single" w:sz="4" w:space="0" w:color="auto"/>
              <w:left w:val="nil"/>
              <w:bottom w:val="single" w:sz="4" w:space="0" w:color="auto"/>
              <w:right w:val="single" w:sz="4" w:space="0" w:color="auto"/>
            </w:tcBorders>
            <w:vAlign w:val="center"/>
            <w:hideMark/>
          </w:tcPr>
          <w:p w14:paraId="561F160D" w14:textId="2AF3519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0.051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19DE3E4" w14:textId="5A1CE2B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0.017</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13C5C46" w14:textId="4BB379A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0.024</w:t>
            </w:r>
          </w:p>
        </w:tc>
        <w:tc>
          <w:tcPr>
            <w:tcW w:w="1975" w:type="dxa"/>
            <w:tcBorders>
              <w:top w:val="single" w:sz="4" w:space="0" w:color="auto"/>
              <w:left w:val="single" w:sz="4" w:space="0" w:color="auto"/>
              <w:bottom w:val="single" w:sz="4" w:space="0" w:color="auto"/>
              <w:right w:val="single" w:sz="4" w:space="0" w:color="auto"/>
            </w:tcBorders>
            <w:vAlign w:val="center"/>
            <w:hideMark/>
          </w:tcPr>
          <w:p w14:paraId="23ACB6FC" w14:textId="61C8CE6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0.017</w:t>
            </w:r>
          </w:p>
        </w:tc>
      </w:tr>
      <w:tr w:rsidR="0093026F" w:rsidRPr="00B44D01" w14:paraId="3C1EC549" w14:textId="77777777" w:rsidTr="0093026F">
        <w:trPr>
          <w:trHeight w:val="290"/>
        </w:trPr>
        <w:tc>
          <w:tcPr>
            <w:tcW w:w="810" w:type="dxa"/>
            <w:hideMark/>
          </w:tcPr>
          <w:p w14:paraId="4ABC3521"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2019</w:t>
            </w:r>
          </w:p>
        </w:tc>
        <w:tc>
          <w:tcPr>
            <w:tcW w:w="1800" w:type="dxa"/>
            <w:tcBorders>
              <w:top w:val="single" w:sz="4" w:space="0" w:color="auto"/>
              <w:left w:val="nil"/>
              <w:bottom w:val="single" w:sz="4" w:space="0" w:color="auto"/>
              <w:right w:val="single" w:sz="4" w:space="0" w:color="auto"/>
            </w:tcBorders>
            <w:vAlign w:val="center"/>
            <w:hideMark/>
          </w:tcPr>
          <w:p w14:paraId="314F10EA" w14:textId="7EC85584"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0.059</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1489B9A" w14:textId="30C2B4C3"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9863E6F" w14:textId="0A60741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0.028</w:t>
            </w:r>
          </w:p>
        </w:tc>
        <w:tc>
          <w:tcPr>
            <w:tcW w:w="1975" w:type="dxa"/>
            <w:tcBorders>
              <w:top w:val="single" w:sz="4" w:space="0" w:color="auto"/>
              <w:left w:val="single" w:sz="4" w:space="0" w:color="auto"/>
              <w:bottom w:val="single" w:sz="4" w:space="0" w:color="auto"/>
              <w:right w:val="single" w:sz="4" w:space="0" w:color="auto"/>
            </w:tcBorders>
            <w:vAlign w:val="center"/>
            <w:hideMark/>
          </w:tcPr>
          <w:p w14:paraId="4E15F9D8" w14:textId="38BCD208"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w:t>
            </w:r>
          </w:p>
        </w:tc>
      </w:tr>
      <w:tr w:rsidR="0093026F" w:rsidRPr="00B44D01" w14:paraId="4F9D5663" w14:textId="77777777" w:rsidTr="0093026F">
        <w:trPr>
          <w:trHeight w:val="290"/>
        </w:trPr>
        <w:tc>
          <w:tcPr>
            <w:tcW w:w="810" w:type="dxa"/>
            <w:hideMark/>
          </w:tcPr>
          <w:p w14:paraId="038357FE"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2020</w:t>
            </w:r>
          </w:p>
        </w:tc>
        <w:tc>
          <w:tcPr>
            <w:tcW w:w="1800" w:type="dxa"/>
            <w:tcBorders>
              <w:top w:val="single" w:sz="4" w:space="0" w:color="auto"/>
              <w:left w:val="nil"/>
              <w:bottom w:val="single" w:sz="4" w:space="0" w:color="auto"/>
              <w:right w:val="single" w:sz="4" w:space="0" w:color="auto"/>
            </w:tcBorders>
            <w:vAlign w:val="center"/>
            <w:hideMark/>
          </w:tcPr>
          <w:p w14:paraId="60D34FE9" w14:textId="256DD989"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0.063</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5AD9708" w14:textId="4C55C4E8"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F87CB47" w14:textId="0A41736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0.031</w:t>
            </w:r>
          </w:p>
        </w:tc>
        <w:tc>
          <w:tcPr>
            <w:tcW w:w="1975" w:type="dxa"/>
            <w:tcBorders>
              <w:top w:val="single" w:sz="4" w:space="0" w:color="auto"/>
              <w:left w:val="single" w:sz="4" w:space="0" w:color="auto"/>
              <w:bottom w:val="single" w:sz="4" w:space="0" w:color="auto"/>
              <w:right w:val="single" w:sz="4" w:space="0" w:color="auto"/>
            </w:tcBorders>
            <w:vAlign w:val="center"/>
            <w:hideMark/>
          </w:tcPr>
          <w:p w14:paraId="678E0D33" w14:textId="5EF181B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0.022</w:t>
            </w:r>
          </w:p>
        </w:tc>
      </w:tr>
      <w:tr w:rsidR="0093026F" w:rsidRPr="00B44D01" w14:paraId="668E905E" w14:textId="77777777" w:rsidTr="0093026F">
        <w:trPr>
          <w:trHeight w:val="290"/>
        </w:trPr>
        <w:tc>
          <w:tcPr>
            <w:tcW w:w="810" w:type="dxa"/>
            <w:hideMark/>
          </w:tcPr>
          <w:p w14:paraId="6207ED47"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2021</w:t>
            </w:r>
          </w:p>
        </w:tc>
        <w:tc>
          <w:tcPr>
            <w:tcW w:w="1800" w:type="dxa"/>
            <w:tcBorders>
              <w:top w:val="single" w:sz="4" w:space="0" w:color="auto"/>
              <w:left w:val="nil"/>
              <w:bottom w:val="single" w:sz="4" w:space="0" w:color="auto"/>
              <w:right w:val="single" w:sz="4" w:space="0" w:color="auto"/>
            </w:tcBorders>
            <w:vAlign w:val="center"/>
            <w:hideMark/>
          </w:tcPr>
          <w:p w14:paraId="6526AA69" w14:textId="291FABB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0.071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7647462" w14:textId="2D7B0EA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3D19F35" w14:textId="3A83DE63"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0.034</w:t>
            </w:r>
          </w:p>
        </w:tc>
        <w:tc>
          <w:tcPr>
            <w:tcW w:w="1975" w:type="dxa"/>
            <w:tcBorders>
              <w:top w:val="single" w:sz="4" w:space="0" w:color="auto"/>
              <w:left w:val="single" w:sz="4" w:space="0" w:color="auto"/>
              <w:bottom w:val="single" w:sz="4" w:space="0" w:color="auto"/>
              <w:right w:val="single" w:sz="4" w:space="0" w:color="auto"/>
            </w:tcBorders>
            <w:vAlign w:val="center"/>
            <w:hideMark/>
          </w:tcPr>
          <w:p w14:paraId="1BD5724C" w14:textId="7C8729D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0.025</w:t>
            </w:r>
          </w:p>
        </w:tc>
      </w:tr>
      <w:tr w:rsidR="0093026F" w:rsidRPr="00B44D01" w14:paraId="2596A2E8" w14:textId="77777777" w:rsidTr="0093026F">
        <w:trPr>
          <w:trHeight w:val="290"/>
        </w:trPr>
        <w:tc>
          <w:tcPr>
            <w:tcW w:w="810" w:type="dxa"/>
            <w:hideMark/>
          </w:tcPr>
          <w:p w14:paraId="06456049"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2022</w:t>
            </w:r>
          </w:p>
        </w:tc>
        <w:tc>
          <w:tcPr>
            <w:tcW w:w="1800" w:type="dxa"/>
            <w:tcBorders>
              <w:top w:val="single" w:sz="4" w:space="0" w:color="auto"/>
              <w:left w:val="nil"/>
              <w:bottom w:val="single" w:sz="4" w:space="0" w:color="auto"/>
              <w:right w:val="single" w:sz="4" w:space="0" w:color="auto"/>
            </w:tcBorders>
            <w:vAlign w:val="center"/>
            <w:hideMark/>
          </w:tcPr>
          <w:p w14:paraId="2E8B86D8" w14:textId="35CFB252"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0.081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9C0DA65" w14:textId="1223949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0.029</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6872AEF" w14:textId="39A208D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w:t>
            </w:r>
          </w:p>
        </w:tc>
        <w:tc>
          <w:tcPr>
            <w:tcW w:w="1975" w:type="dxa"/>
            <w:tcBorders>
              <w:top w:val="single" w:sz="4" w:space="0" w:color="auto"/>
              <w:left w:val="single" w:sz="4" w:space="0" w:color="auto"/>
              <w:bottom w:val="single" w:sz="4" w:space="0" w:color="auto"/>
              <w:right w:val="single" w:sz="4" w:space="0" w:color="auto"/>
            </w:tcBorders>
            <w:vAlign w:val="center"/>
            <w:hideMark/>
          </w:tcPr>
          <w:p w14:paraId="7A86EF48" w14:textId="5C45CB1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0.029</w:t>
            </w:r>
          </w:p>
        </w:tc>
      </w:tr>
      <w:tr w:rsidR="0093026F" w:rsidRPr="00B44D01" w14:paraId="2494F491" w14:textId="77777777" w:rsidTr="0093026F">
        <w:trPr>
          <w:trHeight w:val="290"/>
        </w:trPr>
        <w:tc>
          <w:tcPr>
            <w:tcW w:w="810" w:type="dxa"/>
            <w:hideMark/>
          </w:tcPr>
          <w:p w14:paraId="1EF45A9A"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2023</w:t>
            </w:r>
          </w:p>
        </w:tc>
        <w:tc>
          <w:tcPr>
            <w:tcW w:w="1800" w:type="dxa"/>
            <w:tcBorders>
              <w:top w:val="single" w:sz="4" w:space="0" w:color="auto"/>
              <w:left w:val="nil"/>
              <w:bottom w:val="single" w:sz="4" w:space="0" w:color="auto"/>
              <w:right w:val="single" w:sz="4" w:space="0" w:color="auto"/>
            </w:tcBorders>
            <w:vAlign w:val="center"/>
            <w:hideMark/>
          </w:tcPr>
          <w:p w14:paraId="1F4481E4" w14:textId="473BAE22"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0.093</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237C74B" w14:textId="69BFB28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0E55C51" w14:textId="1D78CAF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0.046</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A1361A0" w14:textId="3E250F1E"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0.034</w:t>
            </w:r>
          </w:p>
        </w:tc>
      </w:tr>
      <w:tr w:rsidR="0093026F" w:rsidRPr="00B44D01" w14:paraId="30DA2F1A" w14:textId="77777777" w:rsidTr="0093026F">
        <w:trPr>
          <w:trHeight w:val="290"/>
        </w:trPr>
        <w:tc>
          <w:tcPr>
            <w:tcW w:w="810" w:type="dxa"/>
            <w:hideMark/>
          </w:tcPr>
          <w:p w14:paraId="0177366C"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2024</w:t>
            </w:r>
          </w:p>
        </w:tc>
        <w:tc>
          <w:tcPr>
            <w:tcW w:w="1800" w:type="dxa"/>
            <w:tcBorders>
              <w:top w:val="single" w:sz="4" w:space="0" w:color="auto"/>
              <w:left w:val="nil"/>
              <w:bottom w:val="single" w:sz="4" w:space="0" w:color="auto"/>
              <w:right w:val="single" w:sz="4" w:space="0" w:color="auto"/>
            </w:tcBorders>
            <w:vAlign w:val="center"/>
            <w:hideMark/>
          </w:tcPr>
          <w:p w14:paraId="556F753F" w14:textId="5A81310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0.113</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FF1CB94" w14:textId="124FA8C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A1BBBF6" w14:textId="7582AAE4"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0.056</w:t>
            </w:r>
          </w:p>
        </w:tc>
        <w:tc>
          <w:tcPr>
            <w:tcW w:w="1975" w:type="dxa"/>
            <w:tcBorders>
              <w:top w:val="single" w:sz="4" w:space="0" w:color="auto"/>
              <w:left w:val="single" w:sz="4" w:space="0" w:color="auto"/>
              <w:bottom w:val="single" w:sz="4" w:space="0" w:color="auto"/>
              <w:right w:val="single" w:sz="4" w:space="0" w:color="auto"/>
            </w:tcBorders>
            <w:vAlign w:val="center"/>
            <w:hideMark/>
          </w:tcPr>
          <w:p w14:paraId="4506CC58" w14:textId="0CB79D24"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0.042</w:t>
            </w:r>
          </w:p>
        </w:tc>
      </w:tr>
      <w:tr w:rsidR="0093026F" w:rsidRPr="00B44D01" w14:paraId="6670FC9C" w14:textId="77777777" w:rsidTr="0093026F">
        <w:trPr>
          <w:trHeight w:val="290"/>
        </w:trPr>
        <w:tc>
          <w:tcPr>
            <w:tcW w:w="810" w:type="dxa"/>
            <w:hideMark/>
          </w:tcPr>
          <w:p w14:paraId="3D4DB7D6"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2025</w:t>
            </w:r>
          </w:p>
        </w:tc>
        <w:tc>
          <w:tcPr>
            <w:tcW w:w="1800" w:type="dxa"/>
            <w:tcBorders>
              <w:top w:val="single" w:sz="4" w:space="0" w:color="auto"/>
              <w:left w:val="nil"/>
              <w:bottom w:val="single" w:sz="4" w:space="0" w:color="auto"/>
              <w:right w:val="single" w:sz="4" w:space="0" w:color="auto"/>
            </w:tcBorders>
            <w:vAlign w:val="center"/>
            <w:hideMark/>
          </w:tcPr>
          <w:p w14:paraId="699259D7" w14:textId="4CD9C775"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0.145</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E8D89CA" w14:textId="11300848"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0.055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6EBC774" w14:textId="5A52DB1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0.073</w:t>
            </w:r>
          </w:p>
        </w:tc>
        <w:tc>
          <w:tcPr>
            <w:tcW w:w="1975" w:type="dxa"/>
            <w:tcBorders>
              <w:top w:val="single" w:sz="4" w:space="0" w:color="auto"/>
              <w:left w:val="single" w:sz="4" w:space="0" w:color="auto"/>
              <w:bottom w:val="single" w:sz="4" w:space="0" w:color="auto"/>
              <w:right w:val="single" w:sz="4" w:space="0" w:color="auto"/>
            </w:tcBorders>
            <w:vAlign w:val="center"/>
            <w:hideMark/>
          </w:tcPr>
          <w:p w14:paraId="1E4F620B" w14:textId="7738EBE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0.055</w:t>
            </w:r>
          </w:p>
        </w:tc>
      </w:tr>
      <w:tr w:rsidR="0093026F" w:rsidRPr="00B44D01" w14:paraId="047091C8" w14:textId="77777777" w:rsidTr="0093026F">
        <w:trPr>
          <w:trHeight w:val="290"/>
        </w:trPr>
        <w:tc>
          <w:tcPr>
            <w:tcW w:w="810" w:type="dxa"/>
            <w:hideMark/>
          </w:tcPr>
          <w:p w14:paraId="1797EADB"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2026</w:t>
            </w:r>
          </w:p>
        </w:tc>
        <w:tc>
          <w:tcPr>
            <w:tcW w:w="1800" w:type="dxa"/>
            <w:tcBorders>
              <w:top w:val="single" w:sz="4" w:space="0" w:color="auto"/>
              <w:left w:val="nil"/>
              <w:bottom w:val="single" w:sz="4" w:space="0" w:color="auto"/>
              <w:right w:val="single" w:sz="4" w:space="0" w:color="auto"/>
            </w:tcBorders>
            <w:vAlign w:val="center"/>
            <w:hideMark/>
          </w:tcPr>
          <w:p w14:paraId="3A19828A" w14:textId="24F0193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0.168</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FB1BDB3" w14:textId="525693D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0.065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0C76680" w14:textId="00EBB557"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0.095</w:t>
            </w:r>
          </w:p>
        </w:tc>
        <w:tc>
          <w:tcPr>
            <w:tcW w:w="1975" w:type="dxa"/>
            <w:tcBorders>
              <w:top w:val="single" w:sz="4" w:space="0" w:color="auto"/>
              <w:left w:val="single" w:sz="4" w:space="0" w:color="auto"/>
              <w:bottom w:val="single" w:sz="4" w:space="0" w:color="auto"/>
              <w:right w:val="single" w:sz="4" w:space="0" w:color="auto"/>
            </w:tcBorders>
            <w:vAlign w:val="center"/>
            <w:hideMark/>
          </w:tcPr>
          <w:p w14:paraId="5CB41AAF" w14:textId="0F578FBA"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0.072</w:t>
            </w:r>
          </w:p>
        </w:tc>
      </w:tr>
      <w:tr w:rsidR="0093026F" w:rsidRPr="00B44D01" w14:paraId="2A40A97D" w14:textId="77777777" w:rsidTr="0093026F">
        <w:trPr>
          <w:trHeight w:val="290"/>
        </w:trPr>
        <w:tc>
          <w:tcPr>
            <w:tcW w:w="810" w:type="dxa"/>
            <w:hideMark/>
          </w:tcPr>
          <w:p w14:paraId="6D954FD7"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2027</w:t>
            </w:r>
          </w:p>
        </w:tc>
        <w:tc>
          <w:tcPr>
            <w:tcW w:w="1800" w:type="dxa"/>
            <w:tcBorders>
              <w:top w:val="single" w:sz="4" w:space="0" w:color="auto"/>
              <w:left w:val="nil"/>
              <w:bottom w:val="single" w:sz="4" w:space="0" w:color="auto"/>
              <w:right w:val="single" w:sz="4" w:space="0" w:color="auto"/>
            </w:tcBorders>
            <w:vAlign w:val="center"/>
            <w:hideMark/>
          </w:tcPr>
          <w:p w14:paraId="1424CF10" w14:textId="60018B41"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0.198</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3285846" w14:textId="088C1B0E"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0.078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DCF6FDD" w14:textId="6D336F8D"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0.12</w:t>
            </w:r>
          </w:p>
        </w:tc>
        <w:tc>
          <w:tcPr>
            <w:tcW w:w="1975" w:type="dxa"/>
            <w:tcBorders>
              <w:top w:val="single" w:sz="4" w:space="0" w:color="auto"/>
              <w:left w:val="single" w:sz="4" w:space="0" w:color="auto"/>
              <w:bottom w:val="single" w:sz="4" w:space="0" w:color="auto"/>
              <w:right w:val="single" w:sz="4" w:space="0" w:color="auto"/>
            </w:tcBorders>
            <w:vAlign w:val="center"/>
            <w:hideMark/>
          </w:tcPr>
          <w:p w14:paraId="3A03437B" w14:textId="0BBC04EF"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0.092</w:t>
            </w:r>
          </w:p>
        </w:tc>
      </w:tr>
      <w:tr w:rsidR="0093026F" w:rsidRPr="00B44D01" w14:paraId="682550DF" w14:textId="77777777" w:rsidTr="0093026F">
        <w:trPr>
          <w:trHeight w:val="290"/>
        </w:trPr>
        <w:tc>
          <w:tcPr>
            <w:tcW w:w="810" w:type="dxa"/>
            <w:hideMark/>
          </w:tcPr>
          <w:p w14:paraId="0DB2F828"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2028</w:t>
            </w:r>
          </w:p>
        </w:tc>
        <w:tc>
          <w:tcPr>
            <w:tcW w:w="1800" w:type="dxa"/>
            <w:tcBorders>
              <w:top w:val="single" w:sz="4" w:space="0" w:color="auto"/>
              <w:left w:val="nil"/>
              <w:bottom w:val="single" w:sz="4" w:space="0" w:color="auto"/>
              <w:right w:val="single" w:sz="4" w:space="0" w:color="auto"/>
            </w:tcBorders>
            <w:vAlign w:val="center"/>
            <w:hideMark/>
          </w:tcPr>
          <w:p w14:paraId="25E6BE8B" w14:textId="33FFAFD3"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0.235</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028B430" w14:textId="38A10545"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0.094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495592C" w14:textId="770AA53E"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0.152</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08ACE9F" w14:textId="2D1FBAB3"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0.118</w:t>
            </w:r>
          </w:p>
        </w:tc>
      </w:tr>
      <w:tr w:rsidR="0093026F" w:rsidRPr="00B44D01" w14:paraId="64F8E160" w14:textId="77777777" w:rsidTr="0093026F">
        <w:trPr>
          <w:trHeight w:val="290"/>
        </w:trPr>
        <w:tc>
          <w:tcPr>
            <w:tcW w:w="810" w:type="dxa"/>
            <w:hideMark/>
          </w:tcPr>
          <w:p w14:paraId="7A9C742B"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2029</w:t>
            </w:r>
          </w:p>
        </w:tc>
        <w:tc>
          <w:tcPr>
            <w:tcW w:w="1800" w:type="dxa"/>
            <w:tcBorders>
              <w:top w:val="single" w:sz="4" w:space="0" w:color="auto"/>
              <w:left w:val="nil"/>
              <w:bottom w:val="single" w:sz="4" w:space="0" w:color="auto"/>
              <w:right w:val="single" w:sz="4" w:space="0" w:color="auto"/>
            </w:tcBorders>
            <w:vAlign w:val="center"/>
            <w:hideMark/>
          </w:tcPr>
          <w:p w14:paraId="5F219645" w14:textId="7CD916A0"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0.278</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68ED0A0" w14:textId="2BD5AEEF"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0.113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FE651C1" w14:textId="32011A4E"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0.192</w:t>
            </w:r>
          </w:p>
        </w:tc>
        <w:tc>
          <w:tcPr>
            <w:tcW w:w="1975" w:type="dxa"/>
            <w:tcBorders>
              <w:top w:val="single" w:sz="4" w:space="0" w:color="auto"/>
              <w:left w:val="single" w:sz="4" w:space="0" w:color="auto"/>
              <w:bottom w:val="single" w:sz="4" w:space="0" w:color="auto"/>
              <w:right w:val="single" w:sz="4" w:space="0" w:color="auto"/>
            </w:tcBorders>
            <w:vAlign w:val="center"/>
            <w:hideMark/>
          </w:tcPr>
          <w:p w14:paraId="51DB4BD4" w14:textId="0CC0679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0.15</w:t>
            </w:r>
          </w:p>
        </w:tc>
      </w:tr>
      <w:tr w:rsidR="0093026F" w:rsidRPr="00B44D01" w14:paraId="1BFEA9A3" w14:textId="77777777" w:rsidTr="0093026F">
        <w:trPr>
          <w:trHeight w:val="290"/>
        </w:trPr>
        <w:tc>
          <w:tcPr>
            <w:tcW w:w="810" w:type="dxa"/>
            <w:hideMark/>
          </w:tcPr>
          <w:p w14:paraId="3AEB0627" w14:textId="77777777" w:rsidR="0093026F" w:rsidRPr="00B44D01" w:rsidRDefault="0093026F" w:rsidP="0093026F">
            <w:pPr>
              <w:spacing w:line="240" w:lineRule="auto"/>
              <w:jc w:val="right"/>
              <w:rPr>
                <w:rFonts w:ascii="Times New Roman" w:eastAsia="Times New Roman" w:hAnsi="Times New Roman" w:cs="Times New Roman"/>
                <w:color w:val="000000"/>
                <w:kern w:val="0"/>
                <w14:ligatures w14:val="none"/>
              </w:rPr>
            </w:pPr>
            <w:r w:rsidRPr="00B44D01">
              <w:rPr>
                <w:rFonts w:ascii="Times New Roman" w:eastAsia="Times New Roman" w:hAnsi="Times New Roman" w:cs="Times New Roman"/>
                <w:color w:val="000000"/>
                <w:kern w:val="0"/>
                <w14:ligatures w14:val="none"/>
              </w:rPr>
              <w:t>2030</w:t>
            </w:r>
          </w:p>
        </w:tc>
        <w:tc>
          <w:tcPr>
            <w:tcW w:w="1800" w:type="dxa"/>
            <w:tcBorders>
              <w:top w:val="single" w:sz="4" w:space="0" w:color="auto"/>
              <w:left w:val="nil"/>
              <w:bottom w:val="single" w:sz="4" w:space="0" w:color="auto"/>
              <w:right w:val="single" w:sz="4" w:space="0" w:color="auto"/>
            </w:tcBorders>
            <w:vAlign w:val="center"/>
            <w:hideMark/>
          </w:tcPr>
          <w:p w14:paraId="6557DDAF" w14:textId="359B9C05"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0.327</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6E06268" w14:textId="4E0CB366"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0.135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92C15D6" w14:textId="547C5FEB"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0.241</w:t>
            </w:r>
          </w:p>
        </w:tc>
        <w:tc>
          <w:tcPr>
            <w:tcW w:w="1975" w:type="dxa"/>
            <w:tcBorders>
              <w:top w:val="single" w:sz="4" w:space="0" w:color="auto"/>
              <w:left w:val="single" w:sz="4" w:space="0" w:color="auto"/>
              <w:bottom w:val="single" w:sz="4" w:space="0" w:color="auto"/>
              <w:right w:val="single" w:sz="4" w:space="0" w:color="auto"/>
            </w:tcBorders>
            <w:vAlign w:val="center"/>
            <w:hideMark/>
          </w:tcPr>
          <w:p w14:paraId="4B4E7581" w14:textId="26ACAF5C" w:rsidR="0093026F" w:rsidRPr="0093026F" w:rsidRDefault="0093026F" w:rsidP="0093026F">
            <w:pPr>
              <w:spacing w:line="240" w:lineRule="auto"/>
              <w:jc w:val="right"/>
              <w:rPr>
                <w:rFonts w:ascii="Times New Roman" w:eastAsia="Times New Roman" w:hAnsi="Times New Roman" w:cs="Times New Roman"/>
                <w:color w:val="000000"/>
                <w:kern w:val="0"/>
                <w14:ligatures w14:val="none"/>
              </w:rPr>
            </w:pPr>
            <w:r w:rsidRPr="0093026F">
              <w:rPr>
                <w:rFonts w:ascii="Times New Roman" w:hAnsi="Times New Roman" w:cs="Times New Roman"/>
                <w:color w:val="000000"/>
              </w:rPr>
              <w:t>0.19</w:t>
            </w:r>
          </w:p>
        </w:tc>
      </w:tr>
    </w:tbl>
    <w:p w14:paraId="024DE6C7" w14:textId="1C4075C5" w:rsidR="00C94105" w:rsidRDefault="00A611C6" w:rsidP="00AF54C0">
      <w:pPr>
        <w:spacing w:before="120" w:line="480" w:lineRule="auto"/>
        <w:ind w:firstLine="720"/>
        <w:rPr>
          <w:rFonts w:ascii="Times New Roman" w:hAnsi="Times New Roman" w:cs="Times New Roman"/>
        </w:rPr>
      </w:pPr>
      <w:r w:rsidRPr="00A611C6">
        <w:rPr>
          <w:rFonts w:ascii="Times New Roman" w:hAnsi="Times New Roman" w:cs="Times New Roman"/>
        </w:rPr>
        <w:t>Tables</w:t>
      </w:r>
      <w:r w:rsidR="003C010E">
        <w:rPr>
          <w:rFonts w:ascii="Times New Roman" w:hAnsi="Times New Roman" w:cs="Times New Roman"/>
        </w:rPr>
        <w:t xml:space="preserve"> </w:t>
      </w:r>
      <w:r w:rsidR="00AF54C0">
        <w:rPr>
          <w:rFonts w:ascii="Times New Roman" w:hAnsi="Times New Roman" w:cs="Times New Roman"/>
        </w:rPr>
        <w:t>S</w:t>
      </w:r>
      <w:r w:rsidR="005641BB">
        <w:rPr>
          <w:rFonts w:ascii="Times New Roman" w:hAnsi="Times New Roman" w:cs="Times New Roman"/>
        </w:rPr>
        <w:t>8</w:t>
      </w:r>
      <w:r w:rsidRPr="00A611C6">
        <w:rPr>
          <w:rFonts w:ascii="Times New Roman" w:hAnsi="Times New Roman" w:cs="Times New Roman"/>
        </w:rPr>
        <w:t>–</w:t>
      </w:r>
      <w:r w:rsidR="00AF54C0">
        <w:rPr>
          <w:rFonts w:ascii="Times New Roman" w:hAnsi="Times New Roman" w:cs="Times New Roman"/>
        </w:rPr>
        <w:t>S</w:t>
      </w:r>
      <w:r w:rsidR="005641BB">
        <w:rPr>
          <w:rFonts w:ascii="Times New Roman" w:hAnsi="Times New Roman" w:cs="Times New Roman"/>
        </w:rPr>
        <w:t>10</w:t>
      </w:r>
      <w:r w:rsidRPr="00A611C6">
        <w:rPr>
          <w:rFonts w:ascii="Times New Roman" w:hAnsi="Times New Roman" w:cs="Times New Roman"/>
        </w:rPr>
        <w:t xml:space="preserve"> report the country-specific market-effort variables used in the generalized Bass model for the United States, Canada, and Mexico, respectively. Two annual market-effort variables are defined for each country: affordability/accessibility (AF) and awareness (AW). AF captures the effective ease of obtaining GLP-1 weight-management treatment through price, insurance or reimbursement coverage, product availability, and prescribing access, while AW captures patient, provider, and public familiarity with GLP-1 medications for weight management. These variables are specified as normalized annual indices rather than observed adoption rates; in the model, they enter as relative changes from the initial year. The low, mid</w:t>
      </w:r>
      <w:r w:rsidR="008250EB">
        <w:rPr>
          <w:rFonts w:ascii="Times New Roman" w:hAnsi="Times New Roman" w:cs="Times New Roman"/>
        </w:rPr>
        <w:t>dle</w:t>
      </w:r>
      <w:r w:rsidRPr="00A611C6">
        <w:rPr>
          <w:rFonts w:ascii="Times New Roman" w:hAnsi="Times New Roman" w:cs="Times New Roman"/>
        </w:rPr>
        <w:t xml:space="preserve">, and high paths represent alternative assumptions about the speed of market-effort expansion. For the United States, the values are calibrated to reflect early but limited obesity-pharmacotherapy availability after </w:t>
      </w:r>
      <w:proofErr w:type="spellStart"/>
      <w:r w:rsidRPr="00A611C6">
        <w:rPr>
          <w:rFonts w:ascii="Times New Roman" w:hAnsi="Times New Roman" w:cs="Times New Roman"/>
        </w:rPr>
        <w:t>Saxenda’s</w:t>
      </w:r>
      <w:proofErr w:type="spellEnd"/>
      <w:r w:rsidRPr="00A611C6">
        <w:rPr>
          <w:rFonts w:ascii="Times New Roman" w:hAnsi="Times New Roman" w:cs="Times New Roman"/>
        </w:rPr>
        <w:t xml:space="preserve"> approval for chronic weight management, stronger clinical and market expansion after Wegovy’s FDA approval, and the rapid increase in public awareness of GLP-1 drugs reported in recent national surveys</w:t>
      </w:r>
      <w:r w:rsidR="00044E30">
        <w:rPr>
          <w:rFonts w:ascii="Times New Roman" w:hAnsi="Times New Roman" w:cs="Times New Roman"/>
        </w:rPr>
        <w:t xml:space="preserve"> </w:t>
      </w:r>
      <w:r w:rsidR="00044E3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{"citationID":"8XOu4hbY","properties":{"unsorted":false,"formattedCitation":"\\super 34\\uc0\\u8211{}36\\nosupersub{}","plainCitation":"34–36","noteIndex":0},"citationItems":[{"id":484,"uris":["http://zotero.org/users/12629452/items/N5UP59I8"],"itemData":{"id":484,"type":"post-weblog","abstract":"About one in eight adults (12%) say they have taken one of an increasingly popular class of prescription drugs known as GLP-1s that are used for weight loss and to treat diabetes and reduce the risk of heart disease and stroke, a new KFF Health Tracking Poll finds.","container-title":"KFF","language":"en-US","title":"Poll: 1 in 8 Adults Say They’ve Taken a GLP-1 Drug, Including 4 in 10 of Those with Diabetes and 1 in 4 of Those with Heart Disease","title-short":"Poll","URL":"https://www.kff.org/health-costs/poll-1-in-8-adults-say-theyve-taken-a-glp-1-drug-including-4-in-10-of-those-with-diabetes-and-1-in-4-of-those-with-heart-disease/","author":[{"family":"kfftiffanyf","given":""}],"accessed":{"date-parts":[["2026",6,16]]},"issued":{"date-parts":[["2024",5,10]]}}},{"id":480,"uris":["http://zotero.org/users/12629452/items/BK3ZRCKE"],"itemData":{"id":480,"type":"article-journal","abstract":"The U.S. Food and Drug Administration has approved Saxenda (liraglutide) for chronic weight management among patients aged 12 and older who are obese.","container-title":"FDA","language":"en","publisher":"FDA","source":"www.fda.gov","title":"FDA approves weight management drug for patients aged 12 and older","URL":"https://www.fda.gov/drugs/news-events-human-drugs/fda-approves-weight-management-drug-patients-aged-12-and-older","author":[{"family":"U.S. Food and Drug Administration","given":"U.S. Food and Drug Administration"}],"accessed":{"date-parts":[["2026",6,16]]},"issued":{"date-parts":[["2021",9,30]]}}},{"id":482,"uris":["http://zotero.org/users/12629452/items/JAQENHG7"],"itemData":{"id":482,"type":"webpage","container-title":"U.S. Food and Drug Administration","language":"en","title":"FDA Approves New Drug Treatment for Chronic Weight Management, First Since 2014","URL":"https://content.govdelivery.com/accounts/USFDA/bulletins/2e2adc7","author":[{"family":"U.S. Food and Drug Administration","given":"U.S. Food and Drug Administration"}],"accessed":{"date-parts":[["2026",6,16]]},"issued":{"date-parts":[["2021"]]}}}],"schema":"https://github.com/citation-style-language/schema/raw/master/csl-citation.json"} </w:instrText>
      </w:r>
      <w:r w:rsidR="00044E30">
        <w:rPr>
          <w:rFonts w:ascii="Times New Roman" w:hAnsi="Times New Roman" w:cs="Times New Roman"/>
        </w:rPr>
        <w:fldChar w:fldCharType="separate"/>
      </w:r>
      <w:r w:rsidR="005B14DE" w:rsidRPr="005B14DE">
        <w:rPr>
          <w:rFonts w:ascii="Times New Roman" w:hAnsi="Times New Roman" w:cs="Times New Roman"/>
          <w:kern w:val="0"/>
          <w:vertAlign w:val="superscript"/>
        </w:rPr>
        <w:t>34–36</w:t>
      </w:r>
      <w:r w:rsidR="00044E30">
        <w:rPr>
          <w:rFonts w:ascii="Times New Roman" w:hAnsi="Times New Roman" w:cs="Times New Roman"/>
        </w:rPr>
        <w:fldChar w:fldCharType="end"/>
      </w:r>
      <w:r w:rsidRPr="00A611C6">
        <w:rPr>
          <w:rFonts w:ascii="Times New Roman" w:hAnsi="Times New Roman" w:cs="Times New Roman"/>
        </w:rPr>
        <w:t>. For Canada, the values remain low before the mid-2020s because Wegovy was approved by Health Canada in 2021 but was not commercially available until 2024; the post-2025 divergence across low, mid</w:t>
      </w:r>
      <w:r w:rsidR="008250EB">
        <w:rPr>
          <w:rFonts w:ascii="Times New Roman" w:hAnsi="Times New Roman" w:cs="Times New Roman"/>
        </w:rPr>
        <w:t>dle</w:t>
      </w:r>
      <w:r w:rsidRPr="00A611C6">
        <w:rPr>
          <w:rFonts w:ascii="Times New Roman" w:hAnsi="Times New Roman" w:cs="Times New Roman"/>
        </w:rPr>
        <w:t>, and high scenarios reflects uncertainty over reimbursement expansion, as Canada’s Drug Agency recommended reimbursement only under clinical criteria and conditions</w:t>
      </w:r>
      <w:r w:rsidR="00044E30">
        <w:rPr>
          <w:rFonts w:ascii="Times New Roman" w:hAnsi="Times New Roman" w:cs="Times New Roman"/>
        </w:rPr>
        <w:t xml:space="preserve"> </w:t>
      </w:r>
      <w:r w:rsidR="00044E30">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{"citationID":"h4oreK3y","properties":{"unsorted":false,"formattedCitation":"\\super 27,28,37\\nosupersub{}","plainCitation":"27,28,37","noteIndex":0},"citationItems":[{"id":"jVo37HTg/es8xhAF9","uris":["http://zotero.org/users/12629452/items/NL4G8QLH"],"itemData":{"id":494,"type":"webpage","title":"semaglutide | CDA-AMC","URL":"https://www.cda-amc.ca/semaglutide-2?utm_source=chatgpt.com","author":[{"family":"CDA-AMC","given":"CDA-AMC"}],"accessed":{"date-parts":[["2026",6,16]]},"issued":{"date-parts":[["2024"]]}}},{"id":488,"uris":["http://zotero.org/users/12629452/items/L7BVD7CF"],"itemData":{"id":488,"type":"webpage","abstract":"Information on drug and health products authorized by Health Canada.","language":"eng","title":"Regulatory Decision Summary for Wegovy","URL":"https://dhpp.hpfb-dgpsa.ca/review-documents/resource/RDS00896","author":[{"family":"Health Canada","given":""}],"accessed":{"date-parts":[["2026",6,16]]},"issued":{"date-parts":[["2021"]]}}},{"id":493,"uris":["http://zotero.org/users/12629452/items/2BKQR8U9"],"itemData":{"id":493,"type":"webpage","container-title":"Novo Nordisk Canada","title":"Wegovy® (semaglutide injection) available in Canada","URL":"https://www.novonordisk.ca/content/dam/nncorp/ca/en/press-releases/2024/wegovy-commercial-availability-press-release-en-may-2-24.pdf","author":[{"family":"Novo Nordisk Canada","given":"Novo Nordisk Canada"}],"issued":{"date-parts":[["2024",5,2]]}}}],"schema":"https://github.com/citation-style-language/schema/raw/master/csl-citation.json"} </w:instrText>
      </w:r>
      <w:r w:rsidR="00044E30">
        <w:rPr>
          <w:rFonts w:ascii="Times New Roman" w:hAnsi="Times New Roman" w:cs="Times New Roman"/>
        </w:rPr>
        <w:fldChar w:fldCharType="separate"/>
      </w:r>
      <w:r w:rsidR="005B14DE" w:rsidRPr="005B14DE">
        <w:rPr>
          <w:rFonts w:ascii="Times New Roman" w:hAnsi="Times New Roman" w:cs="Times New Roman"/>
          <w:kern w:val="0"/>
          <w:vertAlign w:val="superscript"/>
        </w:rPr>
        <w:t>27,28,37</w:t>
      </w:r>
      <w:r w:rsidR="00044E30">
        <w:rPr>
          <w:rFonts w:ascii="Times New Roman" w:hAnsi="Times New Roman" w:cs="Times New Roman"/>
        </w:rPr>
        <w:fldChar w:fldCharType="end"/>
      </w:r>
      <w:r w:rsidR="0005106D">
        <w:rPr>
          <w:rFonts w:ascii="Times New Roman" w:hAnsi="Times New Roman" w:cs="Times New Roman"/>
        </w:rPr>
        <w:t>.</w:t>
      </w:r>
      <w:r w:rsidRPr="00A611C6">
        <w:rPr>
          <w:rFonts w:ascii="Times New Roman" w:hAnsi="Times New Roman" w:cs="Times New Roman"/>
        </w:rPr>
        <w:t xml:space="preserve"> For Mexico, the values start at lower levels than in the United States and Canada because the weight-management GLP-1 market is more constrained by affordability and more dependent on private access; the post-2025 increase reflects the announced availability of semaglutide 2.4 mg for weight management in Mexico beginning in April 2025, while the low path accounts for continuing cost barriers and regulatory concerns regarding unsupervised or inappropriate use of semaglutide and liraglutide for weight loss </w:t>
      </w:r>
      <w:r w:rsidR="0005106D">
        <w:rPr>
          <w:rFonts w:ascii="Times New Roman" w:hAnsi="Times New Roman" w:cs="Times New Roman"/>
        </w:rPr>
        <w:fldChar w:fldCharType="begin"/>
      </w:r>
      <w:r w:rsidR="005B14DE">
        <w:rPr>
          <w:rFonts w:ascii="Times New Roman" w:hAnsi="Times New Roman" w:cs="Times New Roman"/>
        </w:rPr>
        <w:instrText xml:space="preserve"> ADDIN ZOTERO_ITEM CSL_CITATION {"citationID":"8bCSuM36","properties":{"unsorted":false,"formattedCitation":"\\super 38,39\\nosupersub{}","plainCitation":"38,39","noteIndex":0},"citationItems":[{"id":498,"uris":["http://zotero.org/users/12629452/items/BARHTPZ9"],"itemData":{"id":498,"type":"webpage","abstract":"Comunicado 77/2024","container-title":"COFEPRIS","language":"es","title":"Cofepris advierte sobre riesgos de automedicación con fármacos para bajar de peso: se asocia con depresión e ideas suicidas","title-short":"Cofepris advierte sobre riesgos de automedicación con fármacos para bajar de peso","URL":"http://www.gob.mx/cofepris/articulos/cofepris-advierte-sobre-riesgos-de-automedicacion-con-farmacos-para-bajar-de-peso-se-asocia-con-depresion-e-ideas-suicidas?utm_source=chatgpt.com","author":[{"family":"COFEPRIS","given":"COFEPRIS"}],"accessed":{"date-parts":[["2026",6,16]]},"issued":{"date-parts":[["2024"]]}}},{"id":496,"uris":["http://zotero.org/users/12629452/items/S2RCTUNN"],"itemData":{"id":496,"type":"webpage","abstract":"Novo Nordisk to launch semaglutide 2.4mg in Mexico for weight management. The drug is designed to aid obesity and overweight treatment.","container-title":"Mexico Business","language":"en","note":"section: Health","title":"Novo Nordisk to Launch Semaglutide 2.4mg in Mexico","URL":"https://mexicobusiness.news/health/news/novo-nordisk-launch-semaglutide-24mg-mexico","author":[{"family":"Mexico Business News","given":"Mexico Business News"}],"accessed":{"date-parts":[["2026",6,16]]},"issued":{"date-parts":[["2025",2,28]]}}}],"schema":"https://github.com/citation-style-language/schema/raw/master/csl-citation.json"} </w:instrText>
      </w:r>
      <w:r w:rsidR="0005106D">
        <w:rPr>
          <w:rFonts w:ascii="Times New Roman" w:hAnsi="Times New Roman" w:cs="Times New Roman"/>
        </w:rPr>
        <w:fldChar w:fldCharType="separate"/>
      </w:r>
      <w:r w:rsidR="005B14DE" w:rsidRPr="005B14DE">
        <w:rPr>
          <w:rFonts w:ascii="Times New Roman" w:hAnsi="Times New Roman" w:cs="Times New Roman"/>
          <w:kern w:val="0"/>
          <w:vertAlign w:val="superscript"/>
        </w:rPr>
        <w:t>38,39</w:t>
      </w:r>
      <w:r w:rsidR="0005106D">
        <w:rPr>
          <w:rFonts w:ascii="Times New Roman" w:hAnsi="Times New Roman" w:cs="Times New Roman"/>
        </w:rPr>
        <w:fldChar w:fldCharType="end"/>
      </w:r>
      <w:r w:rsidR="00290A72">
        <w:rPr>
          <w:rFonts w:ascii="Times New Roman" w:hAnsi="Times New Roman" w:cs="Times New Roman"/>
        </w:rPr>
        <w:t>.</w:t>
      </w:r>
      <w:r w:rsidRPr="00A611C6">
        <w:rPr>
          <w:rFonts w:ascii="Times New Roman" w:hAnsi="Times New Roman" w:cs="Times New Roman"/>
        </w:rPr>
        <w:t xml:space="preserve"> Therefore, Tables 2–4 should be interpreted as scenario-based market-environment assumptions that translate regulatory approval, commercial availability, reimbursement conditions, and public/provider awareness into adoption-enabling indices for the diffusion model.</w:t>
      </w:r>
    </w:p>
    <w:tbl>
      <w:tblPr>
        <w:tblStyle w:val="TableGrid"/>
        <w:tblW w:w="0" w:type="auto"/>
        <w:tblInd w:w="0" w:type="dxa"/>
        <w:tblLayout w:type="fixed"/>
        <w:tblLook w:val="04A0" w:firstRow="1" w:lastRow="0" w:firstColumn="1" w:lastColumn="0" w:noHBand="0" w:noVBand="1"/>
      </w:tblPr>
      <w:tblGrid>
        <w:gridCol w:w="715"/>
        <w:gridCol w:w="1080"/>
        <w:gridCol w:w="1170"/>
        <w:gridCol w:w="1080"/>
        <w:gridCol w:w="1080"/>
        <w:gridCol w:w="1080"/>
        <w:gridCol w:w="1170"/>
        <w:gridCol w:w="1975"/>
      </w:tblGrid>
      <w:tr w:rsidR="00C721D1" w:rsidRPr="004E3599" w14:paraId="2637A174" w14:textId="77777777" w:rsidTr="00770B48">
        <w:tc>
          <w:tcPr>
            <w:tcW w:w="9350" w:type="dxa"/>
            <w:gridSpan w:val="8"/>
          </w:tcPr>
          <w:p w14:paraId="7F060D42" w14:textId="480CB9CD" w:rsidR="00C721D1" w:rsidRPr="0062738A" w:rsidRDefault="00C721D1" w:rsidP="00A75A10">
            <w:pPr>
              <w:spacing w:before="120" w:line="480" w:lineRule="auto"/>
              <w:rPr>
                <w:rFonts w:ascii="Times New Roman" w:hAnsi="Times New Roman" w:cs="Times New Roman"/>
                <w:b/>
                <w:bCs/>
              </w:rPr>
            </w:pPr>
            <w:r w:rsidRPr="0062738A">
              <w:rPr>
                <w:rFonts w:ascii="Times New Roman" w:hAnsi="Times New Roman" w:cs="Times New Roman"/>
                <w:b/>
                <w:bCs/>
              </w:rPr>
              <w:t>Table</w:t>
            </w:r>
            <w:r w:rsidR="00AF54C0">
              <w:rPr>
                <w:rFonts w:ascii="Times New Roman" w:hAnsi="Times New Roman" w:cs="Times New Roman"/>
                <w:b/>
                <w:bCs/>
              </w:rPr>
              <w:t>S</w:t>
            </w:r>
            <w:r w:rsidR="00AB192C">
              <w:rPr>
                <w:rFonts w:ascii="Times New Roman" w:hAnsi="Times New Roman" w:cs="Times New Roman"/>
                <w:b/>
                <w:bCs/>
              </w:rPr>
              <w:t>8</w:t>
            </w:r>
            <w:r w:rsidRPr="0062738A">
              <w:rPr>
                <w:rFonts w:ascii="Times New Roman" w:hAnsi="Times New Roman" w:cs="Times New Roman"/>
                <w:b/>
                <w:bCs/>
              </w:rPr>
              <w:t>. Market Effort Variables Design for Unites States</w:t>
            </w:r>
          </w:p>
        </w:tc>
      </w:tr>
      <w:tr w:rsidR="004E3599" w:rsidRPr="004E3599" w14:paraId="558E5312" w14:textId="77777777" w:rsidTr="004E3599">
        <w:trPr>
          <w:trHeight w:val="341"/>
        </w:trPr>
        <w:tc>
          <w:tcPr>
            <w:tcW w:w="715" w:type="dxa"/>
            <w:hideMark/>
          </w:tcPr>
          <w:p w14:paraId="791663BE"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Year</w:t>
            </w:r>
          </w:p>
        </w:tc>
        <w:tc>
          <w:tcPr>
            <w:tcW w:w="1080" w:type="dxa"/>
            <w:hideMark/>
          </w:tcPr>
          <w:p w14:paraId="6AFD7133" w14:textId="44614AE1"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 xml:space="preserve">Low </w:t>
            </w:r>
            <w:r>
              <w:rPr>
                <w:rFonts w:ascii="Times New Roman" w:eastAsia="Times New Roman" w:hAnsi="Times New Roman" w:cs="Times New Roman"/>
                <w:color w:val="000000"/>
                <w:kern w:val="0"/>
                <w14:ligatures w14:val="none"/>
              </w:rPr>
              <w:t>AF</w:t>
            </w:r>
          </w:p>
        </w:tc>
        <w:tc>
          <w:tcPr>
            <w:tcW w:w="1170" w:type="dxa"/>
            <w:hideMark/>
          </w:tcPr>
          <w:p w14:paraId="17EC9110" w14:textId="1218492E"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 xml:space="preserve">Low </w:t>
            </w:r>
            <w:r>
              <w:rPr>
                <w:rFonts w:ascii="Times New Roman" w:eastAsia="Times New Roman" w:hAnsi="Times New Roman" w:cs="Times New Roman"/>
                <w:color w:val="000000"/>
                <w:kern w:val="0"/>
                <w14:ligatures w14:val="none"/>
              </w:rPr>
              <w:t>AW</w:t>
            </w:r>
          </w:p>
        </w:tc>
        <w:tc>
          <w:tcPr>
            <w:tcW w:w="1080" w:type="dxa"/>
            <w:hideMark/>
          </w:tcPr>
          <w:p w14:paraId="6985DD10" w14:textId="0DD94DD8"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 xml:space="preserve">Mid </w:t>
            </w:r>
            <w:r>
              <w:rPr>
                <w:rFonts w:ascii="Times New Roman" w:eastAsia="Times New Roman" w:hAnsi="Times New Roman" w:cs="Times New Roman"/>
                <w:color w:val="000000"/>
                <w:kern w:val="0"/>
                <w14:ligatures w14:val="none"/>
              </w:rPr>
              <w:t>AF</w:t>
            </w:r>
          </w:p>
        </w:tc>
        <w:tc>
          <w:tcPr>
            <w:tcW w:w="1080" w:type="dxa"/>
            <w:hideMark/>
          </w:tcPr>
          <w:p w14:paraId="4F7EAF3D" w14:textId="30701B7D"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 xml:space="preserve">Mid </w:t>
            </w:r>
            <w:r>
              <w:rPr>
                <w:rFonts w:ascii="Times New Roman" w:eastAsia="Times New Roman" w:hAnsi="Times New Roman" w:cs="Times New Roman"/>
                <w:color w:val="000000"/>
                <w:kern w:val="0"/>
                <w14:ligatures w14:val="none"/>
              </w:rPr>
              <w:t>AW</w:t>
            </w:r>
          </w:p>
        </w:tc>
        <w:tc>
          <w:tcPr>
            <w:tcW w:w="1080" w:type="dxa"/>
            <w:hideMark/>
          </w:tcPr>
          <w:p w14:paraId="4A159DBD" w14:textId="4FACDD15"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 xml:space="preserve">High </w:t>
            </w:r>
            <w:r>
              <w:rPr>
                <w:rFonts w:ascii="Times New Roman" w:eastAsia="Times New Roman" w:hAnsi="Times New Roman" w:cs="Times New Roman"/>
                <w:color w:val="000000"/>
                <w:kern w:val="0"/>
                <w14:ligatures w14:val="none"/>
              </w:rPr>
              <w:t>AF</w:t>
            </w:r>
          </w:p>
        </w:tc>
        <w:tc>
          <w:tcPr>
            <w:tcW w:w="1170" w:type="dxa"/>
            <w:hideMark/>
          </w:tcPr>
          <w:p w14:paraId="3A5128B0" w14:textId="784A898E"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 xml:space="preserve">High </w:t>
            </w:r>
            <w:r>
              <w:rPr>
                <w:rFonts w:ascii="Times New Roman" w:eastAsia="Times New Roman" w:hAnsi="Times New Roman" w:cs="Times New Roman"/>
                <w:color w:val="000000"/>
                <w:kern w:val="0"/>
                <w14:ligatures w14:val="none"/>
              </w:rPr>
              <w:t>AW</w:t>
            </w:r>
          </w:p>
        </w:tc>
        <w:tc>
          <w:tcPr>
            <w:tcW w:w="1975" w:type="dxa"/>
            <w:hideMark/>
          </w:tcPr>
          <w:p w14:paraId="5692B749" w14:textId="77777777" w:rsidR="004E3599" w:rsidRPr="004E3599" w:rsidRDefault="004E3599" w:rsidP="004E3599">
            <w:pPr>
              <w:spacing w:line="240" w:lineRule="auto"/>
              <w:jc w:val="center"/>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Interpretation</w:t>
            </w:r>
          </w:p>
        </w:tc>
      </w:tr>
      <w:tr w:rsidR="004E3599" w:rsidRPr="004E3599" w14:paraId="5E2B6813" w14:textId="77777777" w:rsidTr="004E3599">
        <w:trPr>
          <w:trHeight w:val="1700"/>
        </w:trPr>
        <w:tc>
          <w:tcPr>
            <w:tcW w:w="715" w:type="dxa"/>
            <w:hideMark/>
          </w:tcPr>
          <w:p w14:paraId="5015B46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2014</w:t>
            </w:r>
          </w:p>
        </w:tc>
        <w:tc>
          <w:tcPr>
            <w:tcW w:w="1080" w:type="dxa"/>
            <w:hideMark/>
          </w:tcPr>
          <w:p w14:paraId="6BB7A01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0.03126</w:t>
            </w:r>
          </w:p>
        </w:tc>
        <w:tc>
          <w:tcPr>
            <w:tcW w:w="1170" w:type="dxa"/>
            <w:hideMark/>
          </w:tcPr>
          <w:p w14:paraId="7E85CB8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0.01</w:t>
            </w:r>
          </w:p>
        </w:tc>
        <w:tc>
          <w:tcPr>
            <w:tcW w:w="1080" w:type="dxa"/>
            <w:hideMark/>
          </w:tcPr>
          <w:p w14:paraId="6DDCE76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0.03126</w:t>
            </w:r>
          </w:p>
        </w:tc>
        <w:tc>
          <w:tcPr>
            <w:tcW w:w="1080" w:type="dxa"/>
            <w:hideMark/>
          </w:tcPr>
          <w:p w14:paraId="4EA66F0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0.01</w:t>
            </w:r>
          </w:p>
        </w:tc>
        <w:tc>
          <w:tcPr>
            <w:tcW w:w="1080" w:type="dxa"/>
            <w:hideMark/>
          </w:tcPr>
          <w:p w14:paraId="61FD345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0.03126</w:t>
            </w:r>
          </w:p>
        </w:tc>
        <w:tc>
          <w:tcPr>
            <w:tcW w:w="1170" w:type="dxa"/>
            <w:hideMark/>
          </w:tcPr>
          <w:p w14:paraId="49CD78D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0.01</w:t>
            </w:r>
          </w:p>
        </w:tc>
        <w:tc>
          <w:tcPr>
            <w:tcW w:w="1975" w:type="dxa"/>
            <w:hideMark/>
          </w:tcPr>
          <w:p w14:paraId="6AA1D9BF"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proofErr w:type="spellStart"/>
            <w:r w:rsidRPr="004E3599">
              <w:rPr>
                <w:rFonts w:ascii="Times New Roman" w:eastAsia="Times New Roman" w:hAnsi="Times New Roman" w:cs="Times New Roman"/>
                <w:color w:val="000000"/>
                <w:kern w:val="0"/>
                <w14:ligatures w14:val="none"/>
              </w:rPr>
              <w:t>Saxenda</w:t>
            </w:r>
            <w:proofErr w:type="spellEnd"/>
            <w:r w:rsidRPr="004E3599">
              <w:rPr>
                <w:rFonts w:ascii="Times New Roman" w:eastAsia="Times New Roman" w:hAnsi="Times New Roman" w:cs="Times New Roman"/>
                <w:color w:val="000000"/>
                <w:kern w:val="0"/>
                <w14:ligatures w14:val="none"/>
              </w:rPr>
              <w:t xml:space="preserve"> approval, but GLP-1 weight-management use remains very niche</w:t>
            </w:r>
          </w:p>
        </w:tc>
      </w:tr>
      <w:tr w:rsidR="004E3599" w:rsidRPr="004E3599" w14:paraId="24EA8704" w14:textId="77777777" w:rsidTr="004E3599">
        <w:trPr>
          <w:trHeight w:val="1430"/>
        </w:trPr>
        <w:tc>
          <w:tcPr>
            <w:tcW w:w="715" w:type="dxa"/>
            <w:hideMark/>
          </w:tcPr>
          <w:p w14:paraId="42448C2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2015</w:t>
            </w:r>
          </w:p>
        </w:tc>
        <w:tc>
          <w:tcPr>
            <w:tcW w:w="1080" w:type="dxa"/>
            <w:hideMark/>
          </w:tcPr>
          <w:p w14:paraId="5AC07EB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0.03792</w:t>
            </w:r>
          </w:p>
        </w:tc>
        <w:tc>
          <w:tcPr>
            <w:tcW w:w="1170" w:type="dxa"/>
            <w:hideMark/>
          </w:tcPr>
          <w:p w14:paraId="25C928B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0.01</w:t>
            </w:r>
          </w:p>
        </w:tc>
        <w:tc>
          <w:tcPr>
            <w:tcW w:w="1080" w:type="dxa"/>
            <w:hideMark/>
          </w:tcPr>
          <w:p w14:paraId="312AC05B"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0.03792</w:t>
            </w:r>
          </w:p>
        </w:tc>
        <w:tc>
          <w:tcPr>
            <w:tcW w:w="1080" w:type="dxa"/>
            <w:hideMark/>
          </w:tcPr>
          <w:p w14:paraId="5022236C"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0.01</w:t>
            </w:r>
          </w:p>
        </w:tc>
        <w:tc>
          <w:tcPr>
            <w:tcW w:w="1080" w:type="dxa"/>
            <w:hideMark/>
          </w:tcPr>
          <w:p w14:paraId="48B5C13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0.03792</w:t>
            </w:r>
          </w:p>
        </w:tc>
        <w:tc>
          <w:tcPr>
            <w:tcW w:w="1170" w:type="dxa"/>
            <w:hideMark/>
          </w:tcPr>
          <w:p w14:paraId="7FC188A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0.01</w:t>
            </w:r>
          </w:p>
        </w:tc>
        <w:tc>
          <w:tcPr>
            <w:tcW w:w="1975" w:type="dxa"/>
            <w:hideMark/>
          </w:tcPr>
          <w:p w14:paraId="3EA39727"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Early post-approval prescribing; high cost and weak coverage</w:t>
            </w:r>
          </w:p>
        </w:tc>
      </w:tr>
      <w:tr w:rsidR="004E3599" w:rsidRPr="004E3599" w14:paraId="064478A0" w14:textId="77777777" w:rsidTr="004E3599">
        <w:trPr>
          <w:trHeight w:val="890"/>
        </w:trPr>
        <w:tc>
          <w:tcPr>
            <w:tcW w:w="715" w:type="dxa"/>
            <w:hideMark/>
          </w:tcPr>
          <w:p w14:paraId="544A61BE"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2016</w:t>
            </w:r>
          </w:p>
        </w:tc>
        <w:tc>
          <w:tcPr>
            <w:tcW w:w="1080" w:type="dxa"/>
            <w:hideMark/>
          </w:tcPr>
          <w:p w14:paraId="4494A63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0.04539</w:t>
            </w:r>
          </w:p>
        </w:tc>
        <w:tc>
          <w:tcPr>
            <w:tcW w:w="1170" w:type="dxa"/>
            <w:hideMark/>
          </w:tcPr>
          <w:p w14:paraId="15B87C6C"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0.02</w:t>
            </w:r>
          </w:p>
        </w:tc>
        <w:tc>
          <w:tcPr>
            <w:tcW w:w="1080" w:type="dxa"/>
            <w:hideMark/>
          </w:tcPr>
          <w:p w14:paraId="6189EDCF"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0.04539</w:t>
            </w:r>
          </w:p>
        </w:tc>
        <w:tc>
          <w:tcPr>
            <w:tcW w:w="1080" w:type="dxa"/>
            <w:hideMark/>
          </w:tcPr>
          <w:p w14:paraId="03750F5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0.02</w:t>
            </w:r>
          </w:p>
        </w:tc>
        <w:tc>
          <w:tcPr>
            <w:tcW w:w="1080" w:type="dxa"/>
            <w:hideMark/>
          </w:tcPr>
          <w:p w14:paraId="3CDA6116"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0.04539</w:t>
            </w:r>
          </w:p>
        </w:tc>
        <w:tc>
          <w:tcPr>
            <w:tcW w:w="1170" w:type="dxa"/>
            <w:hideMark/>
          </w:tcPr>
          <w:p w14:paraId="20CB52B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0.02</w:t>
            </w:r>
          </w:p>
        </w:tc>
        <w:tc>
          <w:tcPr>
            <w:tcW w:w="1975" w:type="dxa"/>
            <w:hideMark/>
          </w:tcPr>
          <w:p w14:paraId="333152DB"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Slow clinical learning; limited public attention</w:t>
            </w:r>
          </w:p>
        </w:tc>
      </w:tr>
      <w:tr w:rsidR="004E3599" w:rsidRPr="004E3599" w14:paraId="370D8FED" w14:textId="77777777" w:rsidTr="00C721D1">
        <w:trPr>
          <w:trHeight w:val="1160"/>
        </w:trPr>
        <w:tc>
          <w:tcPr>
            <w:tcW w:w="715" w:type="dxa"/>
            <w:hideMark/>
          </w:tcPr>
          <w:p w14:paraId="0BD4362B"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2017</w:t>
            </w:r>
          </w:p>
        </w:tc>
        <w:tc>
          <w:tcPr>
            <w:tcW w:w="1080" w:type="dxa"/>
            <w:hideMark/>
          </w:tcPr>
          <w:p w14:paraId="672ED14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0.05205</w:t>
            </w:r>
          </w:p>
        </w:tc>
        <w:tc>
          <w:tcPr>
            <w:tcW w:w="1170" w:type="dxa"/>
            <w:hideMark/>
          </w:tcPr>
          <w:p w14:paraId="0A1EAF5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w:t>
            </w:r>
          </w:p>
        </w:tc>
        <w:tc>
          <w:tcPr>
            <w:tcW w:w="1080" w:type="dxa"/>
            <w:hideMark/>
          </w:tcPr>
          <w:p w14:paraId="56385DD6"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0.05205</w:t>
            </w:r>
          </w:p>
        </w:tc>
        <w:tc>
          <w:tcPr>
            <w:tcW w:w="1080" w:type="dxa"/>
            <w:hideMark/>
          </w:tcPr>
          <w:p w14:paraId="4B74C96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w:t>
            </w:r>
          </w:p>
        </w:tc>
        <w:tc>
          <w:tcPr>
            <w:tcW w:w="1080" w:type="dxa"/>
            <w:hideMark/>
          </w:tcPr>
          <w:p w14:paraId="5A5FA5D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0.05205</w:t>
            </w:r>
          </w:p>
        </w:tc>
        <w:tc>
          <w:tcPr>
            <w:tcW w:w="1170" w:type="dxa"/>
            <w:hideMark/>
          </w:tcPr>
          <w:p w14:paraId="226A547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0.03</w:t>
            </w:r>
          </w:p>
        </w:tc>
        <w:tc>
          <w:tcPr>
            <w:tcW w:w="1975" w:type="dxa"/>
            <w:hideMark/>
          </w:tcPr>
          <w:p w14:paraId="643742E1"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Gradual provider familiarity; affordability still restrictive</w:t>
            </w:r>
          </w:p>
        </w:tc>
      </w:tr>
      <w:tr w:rsidR="004E3599" w:rsidRPr="004E3599" w14:paraId="5CC3AF84" w14:textId="77777777" w:rsidTr="004E3599">
        <w:trPr>
          <w:trHeight w:val="2030"/>
        </w:trPr>
        <w:tc>
          <w:tcPr>
            <w:tcW w:w="715" w:type="dxa"/>
            <w:hideMark/>
          </w:tcPr>
          <w:p w14:paraId="1E5736F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2018</w:t>
            </w:r>
          </w:p>
        </w:tc>
        <w:tc>
          <w:tcPr>
            <w:tcW w:w="1080" w:type="dxa"/>
            <w:hideMark/>
          </w:tcPr>
          <w:p w14:paraId="12E365B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0.06442</w:t>
            </w:r>
          </w:p>
        </w:tc>
        <w:tc>
          <w:tcPr>
            <w:tcW w:w="1170" w:type="dxa"/>
            <w:hideMark/>
          </w:tcPr>
          <w:p w14:paraId="38C2C14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0.04</w:t>
            </w:r>
          </w:p>
        </w:tc>
        <w:tc>
          <w:tcPr>
            <w:tcW w:w="1080" w:type="dxa"/>
            <w:hideMark/>
          </w:tcPr>
          <w:p w14:paraId="227C99EE"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0.06442</w:t>
            </w:r>
          </w:p>
        </w:tc>
        <w:tc>
          <w:tcPr>
            <w:tcW w:w="1080" w:type="dxa"/>
            <w:hideMark/>
          </w:tcPr>
          <w:p w14:paraId="212A059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0.04</w:t>
            </w:r>
          </w:p>
        </w:tc>
        <w:tc>
          <w:tcPr>
            <w:tcW w:w="1080" w:type="dxa"/>
            <w:hideMark/>
          </w:tcPr>
          <w:p w14:paraId="642572A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0.06442</w:t>
            </w:r>
          </w:p>
        </w:tc>
        <w:tc>
          <w:tcPr>
            <w:tcW w:w="1170" w:type="dxa"/>
            <w:hideMark/>
          </w:tcPr>
          <w:p w14:paraId="0BAC7A17"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0.04</w:t>
            </w:r>
          </w:p>
        </w:tc>
        <w:tc>
          <w:tcPr>
            <w:tcW w:w="1975" w:type="dxa"/>
            <w:hideMark/>
          </w:tcPr>
          <w:p w14:paraId="72D47CC6"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Modest expansion; obesity pharmacotherapy still limited</w:t>
            </w:r>
          </w:p>
        </w:tc>
      </w:tr>
      <w:tr w:rsidR="004E3599" w:rsidRPr="004E3599" w14:paraId="283C929B" w14:textId="77777777" w:rsidTr="00C721D1">
        <w:trPr>
          <w:trHeight w:val="1250"/>
        </w:trPr>
        <w:tc>
          <w:tcPr>
            <w:tcW w:w="715" w:type="dxa"/>
            <w:hideMark/>
          </w:tcPr>
          <w:p w14:paraId="5A3130E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2019</w:t>
            </w:r>
          </w:p>
        </w:tc>
        <w:tc>
          <w:tcPr>
            <w:tcW w:w="1080" w:type="dxa"/>
            <w:hideMark/>
          </w:tcPr>
          <w:p w14:paraId="2C2DA82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0.07598</w:t>
            </w:r>
          </w:p>
        </w:tc>
        <w:tc>
          <w:tcPr>
            <w:tcW w:w="1170" w:type="dxa"/>
            <w:hideMark/>
          </w:tcPr>
          <w:p w14:paraId="6E985CF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0.05</w:t>
            </w:r>
          </w:p>
        </w:tc>
        <w:tc>
          <w:tcPr>
            <w:tcW w:w="1080" w:type="dxa"/>
            <w:hideMark/>
          </w:tcPr>
          <w:p w14:paraId="6632910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0.07598</w:t>
            </w:r>
          </w:p>
        </w:tc>
        <w:tc>
          <w:tcPr>
            <w:tcW w:w="1080" w:type="dxa"/>
            <w:hideMark/>
          </w:tcPr>
          <w:p w14:paraId="3CF2563E"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0.05</w:t>
            </w:r>
          </w:p>
        </w:tc>
        <w:tc>
          <w:tcPr>
            <w:tcW w:w="1080" w:type="dxa"/>
            <w:hideMark/>
          </w:tcPr>
          <w:p w14:paraId="37E351CE"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0.07598</w:t>
            </w:r>
          </w:p>
        </w:tc>
        <w:tc>
          <w:tcPr>
            <w:tcW w:w="1170" w:type="dxa"/>
            <w:hideMark/>
          </w:tcPr>
          <w:p w14:paraId="26C6180A"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0.05</w:t>
            </w:r>
          </w:p>
        </w:tc>
        <w:tc>
          <w:tcPr>
            <w:tcW w:w="1975" w:type="dxa"/>
            <w:hideMark/>
          </w:tcPr>
          <w:p w14:paraId="1895070F"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Growing clinical experience, but weak demand-side awareness</w:t>
            </w:r>
          </w:p>
        </w:tc>
      </w:tr>
      <w:tr w:rsidR="004E3599" w:rsidRPr="004E3599" w14:paraId="0753FC9E" w14:textId="77777777" w:rsidTr="00C721D1">
        <w:trPr>
          <w:trHeight w:val="1070"/>
        </w:trPr>
        <w:tc>
          <w:tcPr>
            <w:tcW w:w="715" w:type="dxa"/>
            <w:hideMark/>
          </w:tcPr>
          <w:p w14:paraId="36D11B14"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2020</w:t>
            </w:r>
          </w:p>
        </w:tc>
        <w:tc>
          <w:tcPr>
            <w:tcW w:w="1080" w:type="dxa"/>
            <w:hideMark/>
          </w:tcPr>
          <w:p w14:paraId="0F088EC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0.09244</w:t>
            </w:r>
          </w:p>
        </w:tc>
        <w:tc>
          <w:tcPr>
            <w:tcW w:w="1170" w:type="dxa"/>
            <w:hideMark/>
          </w:tcPr>
          <w:p w14:paraId="565A513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0.06</w:t>
            </w:r>
          </w:p>
        </w:tc>
        <w:tc>
          <w:tcPr>
            <w:tcW w:w="1080" w:type="dxa"/>
            <w:hideMark/>
          </w:tcPr>
          <w:p w14:paraId="61E9AA07"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0.09244</w:t>
            </w:r>
          </w:p>
        </w:tc>
        <w:tc>
          <w:tcPr>
            <w:tcW w:w="1080" w:type="dxa"/>
            <w:hideMark/>
          </w:tcPr>
          <w:p w14:paraId="5C2CB797"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0.06</w:t>
            </w:r>
          </w:p>
        </w:tc>
        <w:tc>
          <w:tcPr>
            <w:tcW w:w="1080" w:type="dxa"/>
            <w:hideMark/>
          </w:tcPr>
          <w:p w14:paraId="3A8C0F0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0.09244</w:t>
            </w:r>
          </w:p>
        </w:tc>
        <w:tc>
          <w:tcPr>
            <w:tcW w:w="1170" w:type="dxa"/>
            <w:hideMark/>
          </w:tcPr>
          <w:p w14:paraId="2A2913A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0.06</w:t>
            </w:r>
          </w:p>
        </w:tc>
        <w:tc>
          <w:tcPr>
            <w:tcW w:w="1975" w:type="dxa"/>
            <w:hideMark/>
          </w:tcPr>
          <w:p w14:paraId="04E2AEAE"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Pre-Wegovy market; GLP-1s mainly diabetes-oriented</w:t>
            </w:r>
          </w:p>
        </w:tc>
      </w:tr>
      <w:tr w:rsidR="004E3599" w:rsidRPr="004E3599" w14:paraId="0BDD6A24" w14:textId="77777777" w:rsidTr="00C721D1">
        <w:trPr>
          <w:trHeight w:val="1484"/>
        </w:trPr>
        <w:tc>
          <w:tcPr>
            <w:tcW w:w="715" w:type="dxa"/>
            <w:hideMark/>
          </w:tcPr>
          <w:p w14:paraId="3C0EDDB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2021</w:t>
            </w:r>
          </w:p>
        </w:tc>
        <w:tc>
          <w:tcPr>
            <w:tcW w:w="1080" w:type="dxa"/>
            <w:hideMark/>
          </w:tcPr>
          <w:p w14:paraId="215D792C"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0.12046</w:t>
            </w:r>
          </w:p>
        </w:tc>
        <w:tc>
          <w:tcPr>
            <w:tcW w:w="1170" w:type="dxa"/>
            <w:hideMark/>
          </w:tcPr>
          <w:p w14:paraId="19FE5AD6"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0.09</w:t>
            </w:r>
          </w:p>
        </w:tc>
        <w:tc>
          <w:tcPr>
            <w:tcW w:w="1080" w:type="dxa"/>
            <w:hideMark/>
          </w:tcPr>
          <w:p w14:paraId="4DEF9304"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0.12046</w:t>
            </w:r>
          </w:p>
        </w:tc>
        <w:tc>
          <w:tcPr>
            <w:tcW w:w="1080" w:type="dxa"/>
            <w:hideMark/>
          </w:tcPr>
          <w:p w14:paraId="7AE7E10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0.09</w:t>
            </w:r>
          </w:p>
        </w:tc>
        <w:tc>
          <w:tcPr>
            <w:tcW w:w="1080" w:type="dxa"/>
            <w:hideMark/>
          </w:tcPr>
          <w:p w14:paraId="2CB0F54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0.12046</w:t>
            </w:r>
          </w:p>
        </w:tc>
        <w:tc>
          <w:tcPr>
            <w:tcW w:w="1170" w:type="dxa"/>
            <w:hideMark/>
          </w:tcPr>
          <w:p w14:paraId="1BBE8AEC"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0.09</w:t>
            </w:r>
          </w:p>
        </w:tc>
        <w:tc>
          <w:tcPr>
            <w:tcW w:w="1975" w:type="dxa"/>
            <w:hideMark/>
          </w:tcPr>
          <w:p w14:paraId="77E44950"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Wegovy approval begins stronger weight-management diffusion</w:t>
            </w:r>
          </w:p>
        </w:tc>
      </w:tr>
      <w:tr w:rsidR="004E3599" w:rsidRPr="004E3599" w14:paraId="300BD07E" w14:textId="77777777" w:rsidTr="00C721D1">
        <w:trPr>
          <w:trHeight w:val="1430"/>
        </w:trPr>
        <w:tc>
          <w:tcPr>
            <w:tcW w:w="715" w:type="dxa"/>
            <w:hideMark/>
          </w:tcPr>
          <w:p w14:paraId="483DA61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2022</w:t>
            </w:r>
          </w:p>
        </w:tc>
        <w:tc>
          <w:tcPr>
            <w:tcW w:w="1080" w:type="dxa"/>
            <w:hideMark/>
          </w:tcPr>
          <w:p w14:paraId="0019B75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0.1746</w:t>
            </w:r>
          </w:p>
        </w:tc>
        <w:tc>
          <w:tcPr>
            <w:tcW w:w="1170" w:type="dxa"/>
            <w:hideMark/>
          </w:tcPr>
          <w:p w14:paraId="759B6F86"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0.13</w:t>
            </w:r>
          </w:p>
        </w:tc>
        <w:tc>
          <w:tcPr>
            <w:tcW w:w="1080" w:type="dxa"/>
            <w:hideMark/>
          </w:tcPr>
          <w:p w14:paraId="67126F9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0.1746</w:t>
            </w:r>
          </w:p>
        </w:tc>
        <w:tc>
          <w:tcPr>
            <w:tcW w:w="1080" w:type="dxa"/>
            <w:hideMark/>
          </w:tcPr>
          <w:p w14:paraId="49503B3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0.13</w:t>
            </w:r>
          </w:p>
        </w:tc>
        <w:tc>
          <w:tcPr>
            <w:tcW w:w="1080" w:type="dxa"/>
            <w:hideMark/>
          </w:tcPr>
          <w:p w14:paraId="25FD7A43"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0.1746</w:t>
            </w:r>
          </w:p>
        </w:tc>
        <w:tc>
          <w:tcPr>
            <w:tcW w:w="1170" w:type="dxa"/>
            <w:hideMark/>
          </w:tcPr>
          <w:p w14:paraId="084833C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0.13</w:t>
            </w:r>
          </w:p>
        </w:tc>
        <w:tc>
          <w:tcPr>
            <w:tcW w:w="1975" w:type="dxa"/>
            <w:hideMark/>
          </w:tcPr>
          <w:p w14:paraId="54F75885"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Demand begins rising, but access remains price- and coverage-constrained</w:t>
            </w:r>
          </w:p>
        </w:tc>
      </w:tr>
      <w:tr w:rsidR="004E3599" w:rsidRPr="004E3599" w14:paraId="6EDCC796" w14:textId="77777777" w:rsidTr="00C721D1">
        <w:trPr>
          <w:trHeight w:val="1430"/>
        </w:trPr>
        <w:tc>
          <w:tcPr>
            <w:tcW w:w="715" w:type="dxa"/>
            <w:hideMark/>
          </w:tcPr>
          <w:p w14:paraId="504A340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2023</w:t>
            </w:r>
          </w:p>
        </w:tc>
        <w:tc>
          <w:tcPr>
            <w:tcW w:w="1080" w:type="dxa"/>
            <w:hideMark/>
          </w:tcPr>
          <w:p w14:paraId="49BA207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0.2354</w:t>
            </w:r>
          </w:p>
        </w:tc>
        <w:tc>
          <w:tcPr>
            <w:tcW w:w="1170" w:type="dxa"/>
            <w:hideMark/>
          </w:tcPr>
          <w:p w14:paraId="047B8897"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0.19</w:t>
            </w:r>
          </w:p>
        </w:tc>
        <w:tc>
          <w:tcPr>
            <w:tcW w:w="1080" w:type="dxa"/>
            <w:hideMark/>
          </w:tcPr>
          <w:p w14:paraId="1233ADCC"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0.2354</w:t>
            </w:r>
          </w:p>
        </w:tc>
        <w:tc>
          <w:tcPr>
            <w:tcW w:w="1080" w:type="dxa"/>
            <w:hideMark/>
          </w:tcPr>
          <w:p w14:paraId="639F33A3"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0.19</w:t>
            </w:r>
          </w:p>
        </w:tc>
        <w:tc>
          <w:tcPr>
            <w:tcW w:w="1080" w:type="dxa"/>
            <w:hideMark/>
          </w:tcPr>
          <w:p w14:paraId="6D8CEDD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0.2354</w:t>
            </w:r>
          </w:p>
        </w:tc>
        <w:tc>
          <w:tcPr>
            <w:tcW w:w="1170" w:type="dxa"/>
            <w:hideMark/>
          </w:tcPr>
          <w:p w14:paraId="528C89EC"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0.19</w:t>
            </w:r>
          </w:p>
        </w:tc>
        <w:tc>
          <w:tcPr>
            <w:tcW w:w="1975" w:type="dxa"/>
            <w:hideMark/>
          </w:tcPr>
          <w:p w14:paraId="74940DA7"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Zepbound approval and rising media/public attention</w:t>
            </w:r>
          </w:p>
        </w:tc>
      </w:tr>
      <w:tr w:rsidR="004E3599" w:rsidRPr="004E3599" w14:paraId="17E22A0D" w14:textId="77777777" w:rsidTr="00C721D1">
        <w:trPr>
          <w:trHeight w:val="1520"/>
        </w:trPr>
        <w:tc>
          <w:tcPr>
            <w:tcW w:w="715" w:type="dxa"/>
            <w:hideMark/>
          </w:tcPr>
          <w:p w14:paraId="26E1B284"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2024</w:t>
            </w:r>
          </w:p>
        </w:tc>
        <w:tc>
          <w:tcPr>
            <w:tcW w:w="1080" w:type="dxa"/>
            <w:hideMark/>
          </w:tcPr>
          <w:p w14:paraId="3B8A308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0.2656</w:t>
            </w:r>
          </w:p>
        </w:tc>
        <w:tc>
          <w:tcPr>
            <w:tcW w:w="1170" w:type="dxa"/>
            <w:hideMark/>
          </w:tcPr>
          <w:p w14:paraId="3F742B7E"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0.32</w:t>
            </w:r>
          </w:p>
        </w:tc>
        <w:tc>
          <w:tcPr>
            <w:tcW w:w="1080" w:type="dxa"/>
            <w:hideMark/>
          </w:tcPr>
          <w:p w14:paraId="66B55E0F"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0.2656</w:t>
            </w:r>
          </w:p>
        </w:tc>
        <w:tc>
          <w:tcPr>
            <w:tcW w:w="1080" w:type="dxa"/>
            <w:hideMark/>
          </w:tcPr>
          <w:p w14:paraId="56E644C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0.32</w:t>
            </w:r>
          </w:p>
        </w:tc>
        <w:tc>
          <w:tcPr>
            <w:tcW w:w="1080" w:type="dxa"/>
            <w:hideMark/>
          </w:tcPr>
          <w:p w14:paraId="5AE8A21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0.2656</w:t>
            </w:r>
          </w:p>
        </w:tc>
        <w:tc>
          <w:tcPr>
            <w:tcW w:w="1170" w:type="dxa"/>
            <w:hideMark/>
          </w:tcPr>
          <w:p w14:paraId="29A011FF"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0.32</w:t>
            </w:r>
          </w:p>
        </w:tc>
        <w:tc>
          <w:tcPr>
            <w:tcW w:w="1975" w:type="dxa"/>
            <w:hideMark/>
          </w:tcPr>
          <w:p w14:paraId="7CDF26D8"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Broader legitimacy after cardiovascular indication; KFF awareness anchor</w:t>
            </w:r>
          </w:p>
        </w:tc>
      </w:tr>
      <w:tr w:rsidR="004E3599" w:rsidRPr="004E3599" w14:paraId="736B5005" w14:textId="77777777" w:rsidTr="00C721D1">
        <w:trPr>
          <w:trHeight w:val="1520"/>
        </w:trPr>
        <w:tc>
          <w:tcPr>
            <w:tcW w:w="715" w:type="dxa"/>
            <w:hideMark/>
          </w:tcPr>
          <w:p w14:paraId="5A73F8AE"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2025</w:t>
            </w:r>
          </w:p>
        </w:tc>
        <w:tc>
          <w:tcPr>
            <w:tcW w:w="1080" w:type="dxa"/>
            <w:hideMark/>
          </w:tcPr>
          <w:p w14:paraId="2E1821C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0.30014</w:t>
            </w:r>
          </w:p>
        </w:tc>
        <w:tc>
          <w:tcPr>
            <w:tcW w:w="1170" w:type="dxa"/>
            <w:hideMark/>
          </w:tcPr>
          <w:p w14:paraId="6ED383DC"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0.46</w:t>
            </w:r>
          </w:p>
        </w:tc>
        <w:tc>
          <w:tcPr>
            <w:tcW w:w="1080" w:type="dxa"/>
            <w:hideMark/>
          </w:tcPr>
          <w:p w14:paraId="43768934"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0.30014</w:t>
            </w:r>
          </w:p>
        </w:tc>
        <w:tc>
          <w:tcPr>
            <w:tcW w:w="1080" w:type="dxa"/>
            <w:hideMark/>
          </w:tcPr>
          <w:p w14:paraId="357A7A84"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0.46</w:t>
            </w:r>
          </w:p>
        </w:tc>
        <w:tc>
          <w:tcPr>
            <w:tcW w:w="1080" w:type="dxa"/>
            <w:hideMark/>
          </w:tcPr>
          <w:p w14:paraId="36BADFA3"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0.30014</w:t>
            </w:r>
          </w:p>
        </w:tc>
        <w:tc>
          <w:tcPr>
            <w:tcW w:w="1170" w:type="dxa"/>
            <w:hideMark/>
          </w:tcPr>
          <w:p w14:paraId="3A22473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0.46</w:t>
            </w:r>
          </w:p>
        </w:tc>
        <w:tc>
          <w:tcPr>
            <w:tcW w:w="1975" w:type="dxa"/>
            <w:hideMark/>
          </w:tcPr>
          <w:p w14:paraId="501291AC"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More provider familiarity, rising use, but affordability remains binding</w:t>
            </w:r>
          </w:p>
        </w:tc>
      </w:tr>
      <w:tr w:rsidR="004E3599" w:rsidRPr="004E3599" w14:paraId="6790FAAD" w14:textId="77777777" w:rsidTr="002F087C">
        <w:trPr>
          <w:trHeight w:val="2240"/>
        </w:trPr>
        <w:tc>
          <w:tcPr>
            <w:tcW w:w="715" w:type="dxa"/>
            <w:hideMark/>
          </w:tcPr>
          <w:p w14:paraId="76E9B62A"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2026</w:t>
            </w:r>
          </w:p>
        </w:tc>
        <w:tc>
          <w:tcPr>
            <w:tcW w:w="1080" w:type="dxa"/>
            <w:hideMark/>
          </w:tcPr>
          <w:p w14:paraId="7EFE6E4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0.32</w:t>
            </w:r>
          </w:p>
        </w:tc>
        <w:tc>
          <w:tcPr>
            <w:tcW w:w="1170" w:type="dxa"/>
            <w:hideMark/>
          </w:tcPr>
          <w:p w14:paraId="01D89D57"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0.56</w:t>
            </w:r>
          </w:p>
        </w:tc>
        <w:tc>
          <w:tcPr>
            <w:tcW w:w="1080" w:type="dxa"/>
            <w:hideMark/>
          </w:tcPr>
          <w:p w14:paraId="6E18D17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0.35</w:t>
            </w:r>
          </w:p>
        </w:tc>
        <w:tc>
          <w:tcPr>
            <w:tcW w:w="1080" w:type="dxa"/>
            <w:hideMark/>
          </w:tcPr>
          <w:p w14:paraId="4928D1A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0.59</w:t>
            </w:r>
          </w:p>
        </w:tc>
        <w:tc>
          <w:tcPr>
            <w:tcW w:w="1080" w:type="dxa"/>
            <w:hideMark/>
          </w:tcPr>
          <w:p w14:paraId="3DFF8AD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0.38</w:t>
            </w:r>
          </w:p>
        </w:tc>
        <w:tc>
          <w:tcPr>
            <w:tcW w:w="1170" w:type="dxa"/>
            <w:hideMark/>
          </w:tcPr>
          <w:p w14:paraId="0F7D790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0.62</w:t>
            </w:r>
          </w:p>
        </w:tc>
        <w:tc>
          <w:tcPr>
            <w:tcW w:w="1975" w:type="dxa"/>
            <w:hideMark/>
          </w:tcPr>
          <w:p w14:paraId="5B97BF41" w14:textId="4E2FADD9" w:rsidR="00C721D1" w:rsidRPr="00C721D1" w:rsidRDefault="004E3599" w:rsidP="00C721D1">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Scenario split begins; low assumes slower coverage, high assumes faster access</w:t>
            </w:r>
          </w:p>
        </w:tc>
      </w:tr>
      <w:tr w:rsidR="004E3599" w:rsidRPr="004E3599" w14:paraId="317934F2" w14:textId="77777777" w:rsidTr="00C721D1">
        <w:trPr>
          <w:trHeight w:val="1430"/>
        </w:trPr>
        <w:tc>
          <w:tcPr>
            <w:tcW w:w="715" w:type="dxa"/>
            <w:hideMark/>
          </w:tcPr>
          <w:p w14:paraId="3FEDA56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2027</w:t>
            </w:r>
          </w:p>
        </w:tc>
        <w:tc>
          <w:tcPr>
            <w:tcW w:w="1080" w:type="dxa"/>
            <w:hideMark/>
          </w:tcPr>
          <w:p w14:paraId="1AF013A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0.36</w:t>
            </w:r>
          </w:p>
        </w:tc>
        <w:tc>
          <w:tcPr>
            <w:tcW w:w="1170" w:type="dxa"/>
            <w:hideMark/>
          </w:tcPr>
          <w:p w14:paraId="072DB07A"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0.64</w:t>
            </w:r>
          </w:p>
        </w:tc>
        <w:tc>
          <w:tcPr>
            <w:tcW w:w="1080" w:type="dxa"/>
            <w:hideMark/>
          </w:tcPr>
          <w:p w14:paraId="7ED7F98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w:t>
            </w:r>
          </w:p>
        </w:tc>
        <w:tc>
          <w:tcPr>
            <w:tcW w:w="1080" w:type="dxa"/>
            <w:hideMark/>
          </w:tcPr>
          <w:p w14:paraId="3E8BCB1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0.77</w:t>
            </w:r>
          </w:p>
        </w:tc>
        <w:tc>
          <w:tcPr>
            <w:tcW w:w="1080" w:type="dxa"/>
            <w:hideMark/>
          </w:tcPr>
          <w:p w14:paraId="13FBFE1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0.46</w:t>
            </w:r>
          </w:p>
        </w:tc>
        <w:tc>
          <w:tcPr>
            <w:tcW w:w="1170" w:type="dxa"/>
            <w:hideMark/>
          </w:tcPr>
          <w:p w14:paraId="45506B9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0.79</w:t>
            </w:r>
          </w:p>
        </w:tc>
        <w:tc>
          <w:tcPr>
            <w:tcW w:w="1975" w:type="dxa"/>
            <w:hideMark/>
          </w:tcPr>
          <w:p w14:paraId="393B42AA"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Public coverage and employer-plan decisions increasingly affect speed</w:t>
            </w:r>
          </w:p>
        </w:tc>
      </w:tr>
      <w:tr w:rsidR="004E3599" w:rsidRPr="004E3599" w14:paraId="6D86F6B5" w14:textId="77777777" w:rsidTr="00C721D1">
        <w:trPr>
          <w:trHeight w:val="1430"/>
        </w:trPr>
        <w:tc>
          <w:tcPr>
            <w:tcW w:w="715" w:type="dxa"/>
            <w:hideMark/>
          </w:tcPr>
          <w:p w14:paraId="11F102CE"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2028</w:t>
            </w:r>
          </w:p>
        </w:tc>
        <w:tc>
          <w:tcPr>
            <w:tcW w:w="1080" w:type="dxa"/>
            <w:hideMark/>
          </w:tcPr>
          <w:p w14:paraId="660558F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w:t>
            </w:r>
          </w:p>
        </w:tc>
        <w:tc>
          <w:tcPr>
            <w:tcW w:w="1170" w:type="dxa"/>
            <w:hideMark/>
          </w:tcPr>
          <w:p w14:paraId="763334E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0.71</w:t>
            </w:r>
          </w:p>
        </w:tc>
        <w:tc>
          <w:tcPr>
            <w:tcW w:w="1080" w:type="dxa"/>
            <w:hideMark/>
          </w:tcPr>
          <w:p w14:paraId="25806F36"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0.45</w:t>
            </w:r>
          </w:p>
        </w:tc>
        <w:tc>
          <w:tcPr>
            <w:tcW w:w="1080" w:type="dxa"/>
            <w:hideMark/>
          </w:tcPr>
          <w:p w14:paraId="4B372B94"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0.8</w:t>
            </w:r>
          </w:p>
        </w:tc>
        <w:tc>
          <w:tcPr>
            <w:tcW w:w="1080" w:type="dxa"/>
            <w:hideMark/>
          </w:tcPr>
          <w:p w14:paraId="1E8FB91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0.54</w:t>
            </w:r>
          </w:p>
        </w:tc>
        <w:tc>
          <w:tcPr>
            <w:tcW w:w="1170" w:type="dxa"/>
            <w:hideMark/>
          </w:tcPr>
          <w:p w14:paraId="0ABD5A0A"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0.82</w:t>
            </w:r>
          </w:p>
        </w:tc>
        <w:tc>
          <w:tcPr>
            <w:tcW w:w="1975" w:type="dxa"/>
            <w:hideMark/>
          </w:tcPr>
          <w:p w14:paraId="1D33F692"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Market normalization; broader prescribing environment</w:t>
            </w:r>
          </w:p>
        </w:tc>
      </w:tr>
      <w:tr w:rsidR="004E3599" w:rsidRPr="004E3599" w14:paraId="68686C0C" w14:textId="77777777" w:rsidTr="00C721D1">
        <w:trPr>
          <w:trHeight w:val="1790"/>
        </w:trPr>
        <w:tc>
          <w:tcPr>
            <w:tcW w:w="715" w:type="dxa"/>
            <w:hideMark/>
          </w:tcPr>
          <w:p w14:paraId="6DB37C61"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2029</w:t>
            </w:r>
          </w:p>
        </w:tc>
        <w:tc>
          <w:tcPr>
            <w:tcW w:w="1080" w:type="dxa"/>
            <w:hideMark/>
          </w:tcPr>
          <w:p w14:paraId="19B7948B"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0.43</w:t>
            </w:r>
          </w:p>
        </w:tc>
        <w:tc>
          <w:tcPr>
            <w:tcW w:w="1170" w:type="dxa"/>
            <w:hideMark/>
          </w:tcPr>
          <w:p w14:paraId="32CA635A"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0.77</w:t>
            </w:r>
          </w:p>
        </w:tc>
        <w:tc>
          <w:tcPr>
            <w:tcW w:w="1080" w:type="dxa"/>
            <w:hideMark/>
          </w:tcPr>
          <w:p w14:paraId="195238C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0.5</w:t>
            </w:r>
          </w:p>
        </w:tc>
        <w:tc>
          <w:tcPr>
            <w:tcW w:w="1080" w:type="dxa"/>
            <w:hideMark/>
          </w:tcPr>
          <w:p w14:paraId="02591645"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0.85</w:t>
            </w:r>
          </w:p>
        </w:tc>
        <w:tc>
          <w:tcPr>
            <w:tcW w:w="1080" w:type="dxa"/>
            <w:hideMark/>
          </w:tcPr>
          <w:p w14:paraId="2EB7FEBA"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0.62</w:t>
            </w:r>
          </w:p>
        </w:tc>
        <w:tc>
          <w:tcPr>
            <w:tcW w:w="1170" w:type="dxa"/>
            <w:hideMark/>
          </w:tcPr>
          <w:p w14:paraId="63B3FF1C"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0.86</w:t>
            </w:r>
          </w:p>
        </w:tc>
        <w:tc>
          <w:tcPr>
            <w:tcW w:w="1975" w:type="dxa"/>
            <w:hideMark/>
          </w:tcPr>
          <w:p w14:paraId="0B4EC857"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Mature but still constrained market; affordability improves under high scenario</w:t>
            </w:r>
          </w:p>
        </w:tc>
      </w:tr>
      <w:tr w:rsidR="004E3599" w:rsidRPr="004E3599" w14:paraId="03E8C05A" w14:textId="77777777" w:rsidTr="00C721D1">
        <w:trPr>
          <w:trHeight w:val="1430"/>
        </w:trPr>
        <w:tc>
          <w:tcPr>
            <w:tcW w:w="715" w:type="dxa"/>
            <w:hideMark/>
          </w:tcPr>
          <w:p w14:paraId="0905FC47"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2030</w:t>
            </w:r>
          </w:p>
        </w:tc>
        <w:tc>
          <w:tcPr>
            <w:tcW w:w="1080" w:type="dxa"/>
            <w:hideMark/>
          </w:tcPr>
          <w:p w14:paraId="45ABE332"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0.45</w:t>
            </w:r>
          </w:p>
        </w:tc>
        <w:tc>
          <w:tcPr>
            <w:tcW w:w="1170" w:type="dxa"/>
            <w:hideMark/>
          </w:tcPr>
          <w:p w14:paraId="6E37BFD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0.82</w:t>
            </w:r>
          </w:p>
        </w:tc>
        <w:tc>
          <w:tcPr>
            <w:tcW w:w="1080" w:type="dxa"/>
            <w:hideMark/>
          </w:tcPr>
          <w:p w14:paraId="6BC88528"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0.55</w:t>
            </w:r>
          </w:p>
        </w:tc>
        <w:tc>
          <w:tcPr>
            <w:tcW w:w="1080" w:type="dxa"/>
            <w:hideMark/>
          </w:tcPr>
          <w:p w14:paraId="06A943C0"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0.87</w:t>
            </w:r>
          </w:p>
        </w:tc>
        <w:tc>
          <w:tcPr>
            <w:tcW w:w="1080" w:type="dxa"/>
            <w:hideMark/>
          </w:tcPr>
          <w:p w14:paraId="2698C5BD"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0.7</w:t>
            </w:r>
          </w:p>
        </w:tc>
        <w:tc>
          <w:tcPr>
            <w:tcW w:w="1170" w:type="dxa"/>
            <w:hideMark/>
          </w:tcPr>
          <w:p w14:paraId="4DE6A4D9" w14:textId="77777777" w:rsidR="004E3599" w:rsidRPr="004E3599" w:rsidRDefault="004E3599" w:rsidP="004E3599">
            <w:pPr>
              <w:spacing w:line="240" w:lineRule="auto"/>
              <w:jc w:val="right"/>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0.92</w:t>
            </w:r>
          </w:p>
        </w:tc>
        <w:tc>
          <w:tcPr>
            <w:tcW w:w="1975" w:type="dxa"/>
            <w:hideMark/>
          </w:tcPr>
          <w:p w14:paraId="244EF3B9" w14:textId="77777777" w:rsidR="004E3599" w:rsidRPr="004E3599" w:rsidRDefault="004E3599" w:rsidP="004E3599">
            <w:pPr>
              <w:spacing w:line="240" w:lineRule="auto"/>
              <w:rPr>
                <w:rFonts w:ascii="Times New Roman" w:eastAsia="Times New Roman" w:hAnsi="Times New Roman" w:cs="Times New Roman"/>
                <w:color w:val="000000"/>
                <w:kern w:val="0"/>
                <w14:ligatures w14:val="none"/>
              </w:rPr>
            </w:pPr>
            <w:r w:rsidRPr="004E3599">
              <w:rPr>
                <w:rFonts w:ascii="Times New Roman" w:eastAsia="Times New Roman" w:hAnsi="Times New Roman" w:cs="Times New Roman"/>
                <w:color w:val="000000"/>
                <w:kern w:val="0"/>
                <w14:ligatures w14:val="none"/>
              </w:rPr>
              <w:t>High-awareness market with remaining price and coverage differences</w:t>
            </w:r>
          </w:p>
        </w:tc>
      </w:tr>
      <w:tr w:rsidR="00C721D1" w:rsidRPr="004E3599" w14:paraId="129F478E" w14:textId="77777777" w:rsidTr="003F596F">
        <w:trPr>
          <w:trHeight w:val="1430"/>
        </w:trPr>
        <w:tc>
          <w:tcPr>
            <w:tcW w:w="9350" w:type="dxa"/>
            <w:gridSpan w:val="8"/>
          </w:tcPr>
          <w:p w14:paraId="0F92ED1E" w14:textId="10595ADA" w:rsidR="00C721D1" w:rsidRPr="004E3599" w:rsidRDefault="00C721D1" w:rsidP="004E3599">
            <w:pPr>
              <w:spacing w:line="240" w:lineRule="auto"/>
              <w:rPr>
                <w:rFonts w:ascii="Times New Roman" w:eastAsia="Times New Roman" w:hAnsi="Times New Roman" w:cs="Times New Roman"/>
                <w:color w:val="000000"/>
                <w:kern w:val="0"/>
                <w14:ligatures w14:val="none"/>
              </w:rPr>
            </w:pPr>
            <w:r w:rsidRPr="00C721D1">
              <w:rPr>
                <w:rFonts w:ascii="Times New Roman" w:eastAsia="Times New Roman" w:hAnsi="Times New Roman" w:cs="Times New Roman"/>
                <w:b/>
                <w:bCs/>
                <w:color w:val="000000"/>
                <w:kern w:val="0"/>
                <w14:ligatures w14:val="none"/>
              </w:rPr>
              <w:t>Note:</w:t>
            </w:r>
            <w:r w:rsidRPr="00C721D1">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AF is </w:t>
            </w:r>
            <w:r w:rsidRPr="00C721D1">
              <w:rPr>
                <w:rFonts w:ascii="Times New Roman" w:eastAsia="Times New Roman" w:hAnsi="Times New Roman" w:cs="Times New Roman"/>
                <w:color w:val="000000"/>
                <w:kern w:val="0"/>
                <w14:ligatures w14:val="none"/>
              </w:rPr>
              <w:t xml:space="preserve">Affordability and </w:t>
            </w:r>
            <w:r>
              <w:rPr>
                <w:rFonts w:ascii="Times New Roman" w:eastAsia="Times New Roman" w:hAnsi="Times New Roman" w:cs="Times New Roman"/>
                <w:color w:val="000000"/>
                <w:kern w:val="0"/>
                <w14:ligatures w14:val="none"/>
              </w:rPr>
              <w:t xml:space="preserve">AW is </w:t>
            </w:r>
            <w:r w:rsidRPr="00C721D1">
              <w:rPr>
                <w:rFonts w:ascii="Times New Roman" w:eastAsia="Times New Roman" w:hAnsi="Times New Roman" w:cs="Times New Roman"/>
                <w:color w:val="000000"/>
                <w:kern w:val="0"/>
                <w14:ligatures w14:val="none"/>
              </w:rPr>
              <w:t>awareness</w:t>
            </w:r>
            <w:r>
              <w:rPr>
                <w:rFonts w:ascii="Times New Roman" w:eastAsia="Times New Roman" w:hAnsi="Times New Roman" w:cs="Times New Roman"/>
                <w:color w:val="000000"/>
                <w:kern w:val="0"/>
                <w14:ligatures w14:val="none"/>
              </w:rPr>
              <w:t xml:space="preserve"> in this table. They</w:t>
            </w:r>
            <w:r w:rsidRPr="00C721D1">
              <w:rPr>
                <w:rFonts w:ascii="Times New Roman" w:eastAsia="Times New Roman" w:hAnsi="Times New Roman" w:cs="Times New Roman"/>
                <w:color w:val="000000"/>
                <w:kern w:val="0"/>
                <w14:ligatures w14:val="none"/>
              </w:rPr>
              <w:t xml:space="preserve"> are normalized indices used to shift the speed of diffusion, not observed coverage rates or adoption shares. Values from 2014–2025 represent the historical market environment and are therefore identical across low, mid</w:t>
            </w:r>
            <w:r w:rsidR="008250EB">
              <w:rPr>
                <w:rFonts w:ascii="Times New Roman" w:eastAsia="Times New Roman" w:hAnsi="Times New Roman" w:cs="Times New Roman"/>
                <w:color w:val="000000"/>
                <w:kern w:val="0"/>
                <w14:ligatures w14:val="none"/>
              </w:rPr>
              <w:t>dle</w:t>
            </w:r>
            <w:r w:rsidRPr="00C721D1">
              <w:rPr>
                <w:rFonts w:ascii="Times New Roman" w:eastAsia="Times New Roman" w:hAnsi="Times New Roman" w:cs="Times New Roman"/>
                <w:color w:val="000000"/>
                <w:kern w:val="0"/>
                <w14:ligatures w14:val="none"/>
              </w:rPr>
              <w:t>, and high adoption scenarios. Scenario divergence begins in 2026, with the low scenario assuming persistent price and coverage barriers, the mid</w:t>
            </w:r>
            <w:r w:rsidR="008250EB">
              <w:rPr>
                <w:rFonts w:ascii="Times New Roman" w:eastAsia="Times New Roman" w:hAnsi="Times New Roman" w:cs="Times New Roman"/>
                <w:color w:val="000000"/>
                <w:kern w:val="0"/>
                <w14:ligatures w14:val="none"/>
              </w:rPr>
              <w:t>dle</w:t>
            </w:r>
            <w:r w:rsidRPr="00C721D1">
              <w:rPr>
                <w:rFonts w:ascii="Times New Roman" w:eastAsia="Times New Roman" w:hAnsi="Times New Roman" w:cs="Times New Roman"/>
                <w:color w:val="000000"/>
                <w:kern w:val="0"/>
                <w14:ligatures w14:val="none"/>
              </w:rPr>
              <w:t xml:space="preserve"> scenario assuming gradual coverage and prescribing normalization, and the high scenario assuming faster price relief, broader employer and public coverage, and sustained public awareness.</w:t>
            </w:r>
          </w:p>
        </w:tc>
      </w:tr>
    </w:tbl>
    <w:p w14:paraId="2067D9F4" w14:textId="77777777" w:rsidR="004E3599" w:rsidRDefault="004E3599" w:rsidP="00A75A10">
      <w:pPr>
        <w:spacing w:before="120" w:line="480" w:lineRule="auto"/>
        <w:rPr>
          <w:rFonts w:ascii="Times New Roman" w:hAnsi="Times New Roman" w:cs="Times New Roman"/>
        </w:rPr>
      </w:pPr>
    </w:p>
    <w:tbl>
      <w:tblPr>
        <w:tblStyle w:val="TableGrid"/>
        <w:tblW w:w="0" w:type="auto"/>
        <w:tblInd w:w="0" w:type="dxa"/>
        <w:tblLayout w:type="fixed"/>
        <w:tblLook w:val="04A0" w:firstRow="1" w:lastRow="0" w:firstColumn="1" w:lastColumn="0" w:noHBand="0" w:noVBand="1"/>
      </w:tblPr>
      <w:tblGrid>
        <w:gridCol w:w="715"/>
        <w:gridCol w:w="1080"/>
        <w:gridCol w:w="1170"/>
        <w:gridCol w:w="1080"/>
        <w:gridCol w:w="1080"/>
        <w:gridCol w:w="1080"/>
        <w:gridCol w:w="1170"/>
        <w:gridCol w:w="1975"/>
      </w:tblGrid>
      <w:tr w:rsidR="00A05B06" w:rsidRPr="004E3599" w14:paraId="55EC0222" w14:textId="77777777" w:rsidTr="00783644">
        <w:tc>
          <w:tcPr>
            <w:tcW w:w="9350" w:type="dxa"/>
            <w:gridSpan w:val="8"/>
          </w:tcPr>
          <w:p w14:paraId="63A8986A" w14:textId="04691816" w:rsidR="00A05B06" w:rsidRPr="0062738A" w:rsidRDefault="00A05B06" w:rsidP="00783644">
            <w:pPr>
              <w:spacing w:before="120" w:line="480" w:lineRule="auto"/>
              <w:rPr>
                <w:rFonts w:ascii="Times New Roman" w:hAnsi="Times New Roman" w:cs="Times New Roman"/>
                <w:b/>
                <w:bCs/>
              </w:rPr>
            </w:pPr>
            <w:r w:rsidRPr="0062738A">
              <w:rPr>
                <w:rFonts w:ascii="Times New Roman" w:hAnsi="Times New Roman" w:cs="Times New Roman"/>
                <w:b/>
                <w:bCs/>
              </w:rPr>
              <w:t xml:space="preserve">Table </w:t>
            </w:r>
            <w:r w:rsidR="00AF54C0">
              <w:rPr>
                <w:rFonts w:ascii="Times New Roman" w:hAnsi="Times New Roman" w:cs="Times New Roman"/>
                <w:b/>
                <w:bCs/>
              </w:rPr>
              <w:t>S</w:t>
            </w:r>
            <w:r w:rsidR="00AB192C">
              <w:rPr>
                <w:rFonts w:ascii="Times New Roman" w:hAnsi="Times New Roman" w:cs="Times New Roman"/>
                <w:b/>
                <w:bCs/>
              </w:rPr>
              <w:t>9</w:t>
            </w:r>
            <w:r w:rsidRPr="0062738A">
              <w:rPr>
                <w:rFonts w:ascii="Times New Roman" w:hAnsi="Times New Roman" w:cs="Times New Roman"/>
                <w:b/>
                <w:bCs/>
              </w:rPr>
              <w:t>. Market Effort Variables Design for Canada</w:t>
            </w:r>
          </w:p>
        </w:tc>
      </w:tr>
      <w:tr w:rsidR="00A05B06" w:rsidRPr="004E3599" w14:paraId="14F7739C" w14:textId="77777777" w:rsidTr="00A05B06">
        <w:trPr>
          <w:trHeight w:val="341"/>
        </w:trPr>
        <w:tc>
          <w:tcPr>
            <w:tcW w:w="715" w:type="dxa"/>
            <w:hideMark/>
          </w:tcPr>
          <w:p w14:paraId="5A1AB435"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Year</w:t>
            </w:r>
          </w:p>
        </w:tc>
        <w:tc>
          <w:tcPr>
            <w:tcW w:w="1080" w:type="dxa"/>
            <w:tcBorders>
              <w:bottom w:val="single" w:sz="4" w:space="0" w:color="auto"/>
            </w:tcBorders>
            <w:hideMark/>
          </w:tcPr>
          <w:p w14:paraId="4D8037A2"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Low AF</w:t>
            </w:r>
          </w:p>
        </w:tc>
        <w:tc>
          <w:tcPr>
            <w:tcW w:w="1170" w:type="dxa"/>
            <w:tcBorders>
              <w:bottom w:val="single" w:sz="4" w:space="0" w:color="auto"/>
            </w:tcBorders>
            <w:hideMark/>
          </w:tcPr>
          <w:p w14:paraId="4AE32EA6"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Low AW</w:t>
            </w:r>
          </w:p>
        </w:tc>
        <w:tc>
          <w:tcPr>
            <w:tcW w:w="1080" w:type="dxa"/>
            <w:tcBorders>
              <w:bottom w:val="single" w:sz="4" w:space="0" w:color="auto"/>
            </w:tcBorders>
            <w:hideMark/>
          </w:tcPr>
          <w:p w14:paraId="08816642"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Mid AF</w:t>
            </w:r>
          </w:p>
        </w:tc>
        <w:tc>
          <w:tcPr>
            <w:tcW w:w="1080" w:type="dxa"/>
            <w:tcBorders>
              <w:bottom w:val="single" w:sz="4" w:space="0" w:color="auto"/>
            </w:tcBorders>
            <w:hideMark/>
          </w:tcPr>
          <w:p w14:paraId="673C9E2F"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Mid AW</w:t>
            </w:r>
          </w:p>
        </w:tc>
        <w:tc>
          <w:tcPr>
            <w:tcW w:w="1080" w:type="dxa"/>
            <w:tcBorders>
              <w:bottom w:val="single" w:sz="4" w:space="0" w:color="auto"/>
            </w:tcBorders>
            <w:hideMark/>
          </w:tcPr>
          <w:p w14:paraId="1B8D515C"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High AF</w:t>
            </w:r>
          </w:p>
        </w:tc>
        <w:tc>
          <w:tcPr>
            <w:tcW w:w="1170" w:type="dxa"/>
            <w:tcBorders>
              <w:bottom w:val="single" w:sz="4" w:space="0" w:color="auto"/>
            </w:tcBorders>
            <w:hideMark/>
          </w:tcPr>
          <w:p w14:paraId="1776F98F"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High AW</w:t>
            </w:r>
          </w:p>
        </w:tc>
        <w:tc>
          <w:tcPr>
            <w:tcW w:w="1975" w:type="dxa"/>
            <w:tcBorders>
              <w:bottom w:val="single" w:sz="4" w:space="0" w:color="auto"/>
            </w:tcBorders>
            <w:hideMark/>
          </w:tcPr>
          <w:p w14:paraId="4A50B332"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Interpretation</w:t>
            </w:r>
          </w:p>
        </w:tc>
      </w:tr>
      <w:tr w:rsidR="00A05B06" w:rsidRPr="004E3599" w14:paraId="10E5A592" w14:textId="77777777" w:rsidTr="00A05B06">
        <w:trPr>
          <w:trHeight w:val="1430"/>
        </w:trPr>
        <w:tc>
          <w:tcPr>
            <w:tcW w:w="715" w:type="dxa"/>
            <w:hideMark/>
          </w:tcPr>
          <w:p w14:paraId="0107D1F1"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2015</w:t>
            </w:r>
          </w:p>
        </w:tc>
        <w:tc>
          <w:tcPr>
            <w:tcW w:w="1080" w:type="dxa"/>
            <w:tcBorders>
              <w:top w:val="single" w:sz="4" w:space="0" w:color="auto"/>
              <w:left w:val="nil"/>
              <w:bottom w:val="single" w:sz="4" w:space="0" w:color="auto"/>
              <w:right w:val="single" w:sz="4" w:space="0" w:color="auto"/>
            </w:tcBorders>
            <w:hideMark/>
          </w:tcPr>
          <w:p w14:paraId="240DABBF" w14:textId="3DA686DC"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w:t>
            </w:r>
          </w:p>
        </w:tc>
        <w:tc>
          <w:tcPr>
            <w:tcW w:w="1170" w:type="dxa"/>
            <w:tcBorders>
              <w:top w:val="single" w:sz="4" w:space="0" w:color="auto"/>
              <w:left w:val="single" w:sz="4" w:space="0" w:color="auto"/>
              <w:bottom w:val="single" w:sz="4" w:space="0" w:color="auto"/>
              <w:right w:val="single" w:sz="4" w:space="0" w:color="auto"/>
            </w:tcBorders>
            <w:hideMark/>
          </w:tcPr>
          <w:p w14:paraId="3B8283C6" w14:textId="1899838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w:t>
            </w:r>
          </w:p>
        </w:tc>
        <w:tc>
          <w:tcPr>
            <w:tcW w:w="1080" w:type="dxa"/>
            <w:tcBorders>
              <w:top w:val="single" w:sz="4" w:space="0" w:color="auto"/>
              <w:left w:val="single" w:sz="4" w:space="0" w:color="auto"/>
              <w:bottom w:val="single" w:sz="4" w:space="0" w:color="auto"/>
              <w:right w:val="single" w:sz="4" w:space="0" w:color="auto"/>
            </w:tcBorders>
            <w:hideMark/>
          </w:tcPr>
          <w:p w14:paraId="1906098D" w14:textId="15DBCFF1"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w:t>
            </w:r>
          </w:p>
        </w:tc>
        <w:tc>
          <w:tcPr>
            <w:tcW w:w="1080" w:type="dxa"/>
            <w:tcBorders>
              <w:top w:val="single" w:sz="4" w:space="0" w:color="auto"/>
              <w:left w:val="single" w:sz="4" w:space="0" w:color="auto"/>
              <w:bottom w:val="single" w:sz="4" w:space="0" w:color="auto"/>
              <w:right w:val="single" w:sz="4" w:space="0" w:color="auto"/>
            </w:tcBorders>
            <w:hideMark/>
          </w:tcPr>
          <w:p w14:paraId="17A93473" w14:textId="1E97027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w:t>
            </w:r>
          </w:p>
        </w:tc>
        <w:tc>
          <w:tcPr>
            <w:tcW w:w="1080" w:type="dxa"/>
            <w:tcBorders>
              <w:top w:val="single" w:sz="4" w:space="0" w:color="auto"/>
              <w:left w:val="single" w:sz="4" w:space="0" w:color="auto"/>
              <w:bottom w:val="single" w:sz="4" w:space="0" w:color="auto"/>
              <w:right w:val="single" w:sz="4" w:space="0" w:color="auto"/>
            </w:tcBorders>
            <w:hideMark/>
          </w:tcPr>
          <w:p w14:paraId="514DEB87" w14:textId="594F007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w:t>
            </w:r>
          </w:p>
        </w:tc>
        <w:tc>
          <w:tcPr>
            <w:tcW w:w="1170" w:type="dxa"/>
            <w:tcBorders>
              <w:top w:val="single" w:sz="4" w:space="0" w:color="auto"/>
              <w:left w:val="single" w:sz="4" w:space="0" w:color="auto"/>
              <w:bottom w:val="single" w:sz="4" w:space="0" w:color="auto"/>
              <w:right w:val="single" w:sz="4" w:space="0" w:color="auto"/>
            </w:tcBorders>
            <w:hideMark/>
          </w:tcPr>
          <w:p w14:paraId="35518C62" w14:textId="0333B613"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w:t>
            </w:r>
          </w:p>
        </w:tc>
        <w:tc>
          <w:tcPr>
            <w:tcW w:w="1975" w:type="dxa"/>
            <w:tcBorders>
              <w:top w:val="single" w:sz="4" w:space="0" w:color="auto"/>
              <w:left w:val="single" w:sz="4" w:space="0" w:color="auto"/>
              <w:bottom w:val="single" w:sz="4" w:space="0" w:color="auto"/>
              <w:right w:val="single" w:sz="4" w:space="0" w:color="auto"/>
            </w:tcBorders>
            <w:vAlign w:val="center"/>
            <w:hideMark/>
          </w:tcPr>
          <w:p w14:paraId="14836C7D" w14:textId="3A50139A"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Pre-obesity GLP-1 expansion; market mainly diabetes-centered and awareness very limited.</w:t>
            </w:r>
          </w:p>
        </w:tc>
      </w:tr>
      <w:tr w:rsidR="00A05B06" w:rsidRPr="004E3599" w14:paraId="59A71E0B" w14:textId="77777777" w:rsidTr="00A05B06">
        <w:trPr>
          <w:trHeight w:val="890"/>
        </w:trPr>
        <w:tc>
          <w:tcPr>
            <w:tcW w:w="715" w:type="dxa"/>
            <w:hideMark/>
          </w:tcPr>
          <w:p w14:paraId="550D8151"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2016</w:t>
            </w:r>
          </w:p>
        </w:tc>
        <w:tc>
          <w:tcPr>
            <w:tcW w:w="1080" w:type="dxa"/>
            <w:tcBorders>
              <w:top w:val="single" w:sz="4" w:space="0" w:color="auto"/>
              <w:left w:val="nil"/>
              <w:bottom w:val="single" w:sz="4" w:space="0" w:color="auto"/>
              <w:right w:val="single" w:sz="4" w:space="0" w:color="auto"/>
            </w:tcBorders>
            <w:hideMark/>
          </w:tcPr>
          <w:p w14:paraId="0226F1DF" w14:textId="5F773E43"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0.021</w:t>
            </w:r>
          </w:p>
        </w:tc>
        <w:tc>
          <w:tcPr>
            <w:tcW w:w="1170" w:type="dxa"/>
            <w:tcBorders>
              <w:top w:val="single" w:sz="4" w:space="0" w:color="auto"/>
              <w:left w:val="single" w:sz="4" w:space="0" w:color="auto"/>
              <w:bottom w:val="single" w:sz="4" w:space="0" w:color="auto"/>
              <w:right w:val="single" w:sz="4" w:space="0" w:color="auto"/>
            </w:tcBorders>
            <w:hideMark/>
          </w:tcPr>
          <w:p w14:paraId="2B19ABA4" w14:textId="17463C8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0.011</w:t>
            </w:r>
          </w:p>
        </w:tc>
        <w:tc>
          <w:tcPr>
            <w:tcW w:w="1080" w:type="dxa"/>
            <w:tcBorders>
              <w:top w:val="single" w:sz="4" w:space="0" w:color="auto"/>
              <w:left w:val="single" w:sz="4" w:space="0" w:color="auto"/>
              <w:bottom w:val="single" w:sz="4" w:space="0" w:color="auto"/>
              <w:right w:val="single" w:sz="4" w:space="0" w:color="auto"/>
            </w:tcBorders>
            <w:hideMark/>
          </w:tcPr>
          <w:p w14:paraId="12DA6BD4" w14:textId="3A94F7C1"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0.021</w:t>
            </w:r>
          </w:p>
        </w:tc>
        <w:tc>
          <w:tcPr>
            <w:tcW w:w="1080" w:type="dxa"/>
            <w:tcBorders>
              <w:top w:val="single" w:sz="4" w:space="0" w:color="auto"/>
              <w:left w:val="single" w:sz="4" w:space="0" w:color="auto"/>
              <w:bottom w:val="single" w:sz="4" w:space="0" w:color="auto"/>
              <w:right w:val="single" w:sz="4" w:space="0" w:color="auto"/>
            </w:tcBorders>
            <w:hideMark/>
          </w:tcPr>
          <w:p w14:paraId="606765CD" w14:textId="6B3E0CBB"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0.011</w:t>
            </w:r>
          </w:p>
        </w:tc>
        <w:tc>
          <w:tcPr>
            <w:tcW w:w="1080" w:type="dxa"/>
            <w:tcBorders>
              <w:top w:val="single" w:sz="4" w:space="0" w:color="auto"/>
              <w:left w:val="single" w:sz="4" w:space="0" w:color="auto"/>
              <w:bottom w:val="single" w:sz="4" w:space="0" w:color="auto"/>
              <w:right w:val="single" w:sz="4" w:space="0" w:color="auto"/>
            </w:tcBorders>
            <w:hideMark/>
          </w:tcPr>
          <w:p w14:paraId="79B955BE" w14:textId="01FE5DAE"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0.021</w:t>
            </w:r>
          </w:p>
        </w:tc>
        <w:tc>
          <w:tcPr>
            <w:tcW w:w="1170" w:type="dxa"/>
            <w:tcBorders>
              <w:top w:val="single" w:sz="4" w:space="0" w:color="auto"/>
              <w:left w:val="single" w:sz="4" w:space="0" w:color="auto"/>
              <w:bottom w:val="single" w:sz="4" w:space="0" w:color="auto"/>
              <w:right w:val="single" w:sz="4" w:space="0" w:color="auto"/>
            </w:tcBorders>
            <w:hideMark/>
          </w:tcPr>
          <w:p w14:paraId="561B45EB" w14:textId="7654D7E1"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0.011</w:t>
            </w:r>
          </w:p>
        </w:tc>
        <w:tc>
          <w:tcPr>
            <w:tcW w:w="1975" w:type="dxa"/>
            <w:tcBorders>
              <w:top w:val="single" w:sz="4" w:space="0" w:color="auto"/>
              <w:left w:val="single" w:sz="4" w:space="0" w:color="auto"/>
              <w:bottom w:val="single" w:sz="4" w:space="0" w:color="auto"/>
              <w:right w:val="single" w:sz="4" w:space="0" w:color="auto"/>
            </w:tcBorders>
            <w:vAlign w:val="center"/>
            <w:hideMark/>
          </w:tcPr>
          <w:p w14:paraId="6F5637C9" w14:textId="5C55543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Very slow diffusion; affordability and provider familiarity remain low.</w:t>
            </w:r>
          </w:p>
        </w:tc>
      </w:tr>
      <w:tr w:rsidR="00A05B06" w:rsidRPr="004E3599" w14:paraId="0169B167" w14:textId="77777777" w:rsidTr="00A05B06">
        <w:trPr>
          <w:trHeight w:val="1160"/>
        </w:trPr>
        <w:tc>
          <w:tcPr>
            <w:tcW w:w="715" w:type="dxa"/>
            <w:hideMark/>
          </w:tcPr>
          <w:p w14:paraId="7B3867EE"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2017</w:t>
            </w:r>
          </w:p>
        </w:tc>
        <w:tc>
          <w:tcPr>
            <w:tcW w:w="1080" w:type="dxa"/>
            <w:tcBorders>
              <w:top w:val="single" w:sz="4" w:space="0" w:color="auto"/>
              <w:left w:val="nil"/>
              <w:bottom w:val="single" w:sz="4" w:space="0" w:color="auto"/>
              <w:right w:val="single" w:sz="4" w:space="0" w:color="auto"/>
            </w:tcBorders>
            <w:hideMark/>
          </w:tcPr>
          <w:p w14:paraId="3DF810CB" w14:textId="2377E20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0.022</w:t>
            </w:r>
          </w:p>
        </w:tc>
        <w:tc>
          <w:tcPr>
            <w:tcW w:w="1170" w:type="dxa"/>
            <w:tcBorders>
              <w:top w:val="single" w:sz="4" w:space="0" w:color="auto"/>
              <w:left w:val="single" w:sz="4" w:space="0" w:color="auto"/>
              <w:bottom w:val="single" w:sz="4" w:space="0" w:color="auto"/>
              <w:right w:val="single" w:sz="4" w:space="0" w:color="auto"/>
            </w:tcBorders>
            <w:hideMark/>
          </w:tcPr>
          <w:p w14:paraId="70A914FC" w14:textId="7102B4F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0.012</w:t>
            </w:r>
          </w:p>
        </w:tc>
        <w:tc>
          <w:tcPr>
            <w:tcW w:w="1080" w:type="dxa"/>
            <w:tcBorders>
              <w:top w:val="single" w:sz="4" w:space="0" w:color="auto"/>
              <w:left w:val="single" w:sz="4" w:space="0" w:color="auto"/>
              <w:bottom w:val="single" w:sz="4" w:space="0" w:color="auto"/>
              <w:right w:val="single" w:sz="4" w:space="0" w:color="auto"/>
            </w:tcBorders>
            <w:hideMark/>
          </w:tcPr>
          <w:p w14:paraId="2196EE33" w14:textId="4F241A7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0.022</w:t>
            </w:r>
          </w:p>
        </w:tc>
        <w:tc>
          <w:tcPr>
            <w:tcW w:w="1080" w:type="dxa"/>
            <w:tcBorders>
              <w:top w:val="single" w:sz="4" w:space="0" w:color="auto"/>
              <w:left w:val="single" w:sz="4" w:space="0" w:color="auto"/>
              <w:bottom w:val="single" w:sz="4" w:space="0" w:color="auto"/>
              <w:right w:val="single" w:sz="4" w:space="0" w:color="auto"/>
            </w:tcBorders>
            <w:hideMark/>
          </w:tcPr>
          <w:p w14:paraId="363CEEAC" w14:textId="4175030C"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0.012</w:t>
            </w:r>
          </w:p>
        </w:tc>
        <w:tc>
          <w:tcPr>
            <w:tcW w:w="1080" w:type="dxa"/>
            <w:tcBorders>
              <w:top w:val="single" w:sz="4" w:space="0" w:color="auto"/>
              <w:left w:val="single" w:sz="4" w:space="0" w:color="auto"/>
              <w:bottom w:val="single" w:sz="4" w:space="0" w:color="auto"/>
              <w:right w:val="single" w:sz="4" w:space="0" w:color="auto"/>
            </w:tcBorders>
            <w:hideMark/>
          </w:tcPr>
          <w:p w14:paraId="5A9D15A6" w14:textId="1EE518F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0.022</w:t>
            </w:r>
          </w:p>
        </w:tc>
        <w:tc>
          <w:tcPr>
            <w:tcW w:w="1170" w:type="dxa"/>
            <w:tcBorders>
              <w:top w:val="single" w:sz="4" w:space="0" w:color="auto"/>
              <w:left w:val="single" w:sz="4" w:space="0" w:color="auto"/>
              <w:bottom w:val="single" w:sz="4" w:space="0" w:color="auto"/>
              <w:right w:val="single" w:sz="4" w:space="0" w:color="auto"/>
            </w:tcBorders>
            <w:hideMark/>
          </w:tcPr>
          <w:p w14:paraId="575460FD" w14:textId="03C16D4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0.012</w:t>
            </w:r>
          </w:p>
        </w:tc>
        <w:tc>
          <w:tcPr>
            <w:tcW w:w="1975" w:type="dxa"/>
            <w:tcBorders>
              <w:top w:val="single" w:sz="4" w:space="0" w:color="auto"/>
              <w:left w:val="single" w:sz="4" w:space="0" w:color="auto"/>
              <w:bottom w:val="single" w:sz="4" w:space="0" w:color="auto"/>
              <w:right w:val="single" w:sz="4" w:space="0" w:color="auto"/>
            </w:tcBorders>
            <w:vAlign w:val="center"/>
            <w:hideMark/>
          </w:tcPr>
          <w:p w14:paraId="5B19A206" w14:textId="54028ED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Early clinical learning; obesity pharmacotherapy remains niche.</w:t>
            </w:r>
          </w:p>
        </w:tc>
      </w:tr>
      <w:tr w:rsidR="00A05B06" w:rsidRPr="004E3599" w14:paraId="14608D15" w14:textId="77777777" w:rsidTr="002F087C">
        <w:trPr>
          <w:trHeight w:val="1529"/>
        </w:trPr>
        <w:tc>
          <w:tcPr>
            <w:tcW w:w="715" w:type="dxa"/>
            <w:hideMark/>
          </w:tcPr>
          <w:p w14:paraId="4EC75B23"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2018</w:t>
            </w:r>
          </w:p>
        </w:tc>
        <w:tc>
          <w:tcPr>
            <w:tcW w:w="1080" w:type="dxa"/>
            <w:tcBorders>
              <w:top w:val="single" w:sz="4" w:space="0" w:color="auto"/>
              <w:left w:val="nil"/>
              <w:bottom w:val="single" w:sz="4" w:space="0" w:color="auto"/>
              <w:right w:val="single" w:sz="4" w:space="0" w:color="auto"/>
            </w:tcBorders>
            <w:hideMark/>
          </w:tcPr>
          <w:p w14:paraId="510039B0" w14:textId="72DD03E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0.023</w:t>
            </w:r>
          </w:p>
        </w:tc>
        <w:tc>
          <w:tcPr>
            <w:tcW w:w="1170" w:type="dxa"/>
            <w:tcBorders>
              <w:top w:val="single" w:sz="4" w:space="0" w:color="auto"/>
              <w:left w:val="single" w:sz="4" w:space="0" w:color="auto"/>
              <w:bottom w:val="single" w:sz="4" w:space="0" w:color="auto"/>
              <w:right w:val="single" w:sz="4" w:space="0" w:color="auto"/>
            </w:tcBorders>
            <w:hideMark/>
          </w:tcPr>
          <w:p w14:paraId="10B1F06E" w14:textId="0F60178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0.013</w:t>
            </w:r>
          </w:p>
        </w:tc>
        <w:tc>
          <w:tcPr>
            <w:tcW w:w="1080" w:type="dxa"/>
            <w:tcBorders>
              <w:top w:val="single" w:sz="4" w:space="0" w:color="auto"/>
              <w:left w:val="single" w:sz="4" w:space="0" w:color="auto"/>
              <w:bottom w:val="single" w:sz="4" w:space="0" w:color="auto"/>
              <w:right w:val="single" w:sz="4" w:space="0" w:color="auto"/>
            </w:tcBorders>
            <w:hideMark/>
          </w:tcPr>
          <w:p w14:paraId="1561571F" w14:textId="72AD81BF"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0.023</w:t>
            </w:r>
          </w:p>
        </w:tc>
        <w:tc>
          <w:tcPr>
            <w:tcW w:w="1080" w:type="dxa"/>
            <w:tcBorders>
              <w:top w:val="single" w:sz="4" w:space="0" w:color="auto"/>
              <w:left w:val="single" w:sz="4" w:space="0" w:color="auto"/>
              <w:bottom w:val="single" w:sz="4" w:space="0" w:color="auto"/>
              <w:right w:val="single" w:sz="4" w:space="0" w:color="auto"/>
            </w:tcBorders>
            <w:hideMark/>
          </w:tcPr>
          <w:p w14:paraId="52580BB7" w14:textId="04A4A90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0.013</w:t>
            </w:r>
          </w:p>
        </w:tc>
        <w:tc>
          <w:tcPr>
            <w:tcW w:w="1080" w:type="dxa"/>
            <w:tcBorders>
              <w:top w:val="single" w:sz="4" w:space="0" w:color="auto"/>
              <w:left w:val="single" w:sz="4" w:space="0" w:color="auto"/>
              <w:bottom w:val="single" w:sz="4" w:space="0" w:color="auto"/>
              <w:right w:val="single" w:sz="4" w:space="0" w:color="auto"/>
            </w:tcBorders>
            <w:hideMark/>
          </w:tcPr>
          <w:p w14:paraId="16C641F3" w14:textId="432D49EF"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0.023</w:t>
            </w:r>
          </w:p>
        </w:tc>
        <w:tc>
          <w:tcPr>
            <w:tcW w:w="1170" w:type="dxa"/>
            <w:tcBorders>
              <w:top w:val="single" w:sz="4" w:space="0" w:color="auto"/>
              <w:left w:val="single" w:sz="4" w:space="0" w:color="auto"/>
              <w:bottom w:val="single" w:sz="4" w:space="0" w:color="auto"/>
              <w:right w:val="single" w:sz="4" w:space="0" w:color="auto"/>
            </w:tcBorders>
            <w:hideMark/>
          </w:tcPr>
          <w:p w14:paraId="4EDCD248" w14:textId="58164EDA"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0.013</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87BE72E" w14:textId="130F302C"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Modest increase in awareness, but weight-management use remains limited.</w:t>
            </w:r>
          </w:p>
        </w:tc>
      </w:tr>
      <w:tr w:rsidR="00A05B06" w:rsidRPr="004E3599" w14:paraId="0BA07B03" w14:textId="77777777" w:rsidTr="00A05B06">
        <w:trPr>
          <w:trHeight w:val="1250"/>
        </w:trPr>
        <w:tc>
          <w:tcPr>
            <w:tcW w:w="715" w:type="dxa"/>
            <w:hideMark/>
          </w:tcPr>
          <w:p w14:paraId="5711090A"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2019</w:t>
            </w:r>
          </w:p>
        </w:tc>
        <w:tc>
          <w:tcPr>
            <w:tcW w:w="1080" w:type="dxa"/>
            <w:tcBorders>
              <w:top w:val="single" w:sz="4" w:space="0" w:color="auto"/>
              <w:left w:val="nil"/>
              <w:bottom w:val="single" w:sz="4" w:space="0" w:color="auto"/>
              <w:right w:val="single" w:sz="4" w:space="0" w:color="auto"/>
            </w:tcBorders>
            <w:hideMark/>
          </w:tcPr>
          <w:p w14:paraId="43949721" w14:textId="4D4E9C2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0.024</w:t>
            </w:r>
          </w:p>
        </w:tc>
        <w:tc>
          <w:tcPr>
            <w:tcW w:w="1170" w:type="dxa"/>
            <w:tcBorders>
              <w:top w:val="single" w:sz="4" w:space="0" w:color="auto"/>
              <w:left w:val="single" w:sz="4" w:space="0" w:color="auto"/>
              <w:bottom w:val="single" w:sz="4" w:space="0" w:color="auto"/>
              <w:right w:val="single" w:sz="4" w:space="0" w:color="auto"/>
            </w:tcBorders>
            <w:hideMark/>
          </w:tcPr>
          <w:p w14:paraId="3676A64E" w14:textId="4531135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0.014</w:t>
            </w:r>
          </w:p>
        </w:tc>
        <w:tc>
          <w:tcPr>
            <w:tcW w:w="1080" w:type="dxa"/>
            <w:tcBorders>
              <w:top w:val="single" w:sz="4" w:space="0" w:color="auto"/>
              <w:left w:val="single" w:sz="4" w:space="0" w:color="auto"/>
              <w:bottom w:val="single" w:sz="4" w:space="0" w:color="auto"/>
              <w:right w:val="single" w:sz="4" w:space="0" w:color="auto"/>
            </w:tcBorders>
            <w:hideMark/>
          </w:tcPr>
          <w:p w14:paraId="00D6C599" w14:textId="693E5D3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0.024</w:t>
            </w:r>
          </w:p>
        </w:tc>
        <w:tc>
          <w:tcPr>
            <w:tcW w:w="1080" w:type="dxa"/>
            <w:tcBorders>
              <w:top w:val="single" w:sz="4" w:space="0" w:color="auto"/>
              <w:left w:val="single" w:sz="4" w:space="0" w:color="auto"/>
              <w:bottom w:val="single" w:sz="4" w:space="0" w:color="auto"/>
              <w:right w:val="single" w:sz="4" w:space="0" w:color="auto"/>
            </w:tcBorders>
            <w:hideMark/>
          </w:tcPr>
          <w:p w14:paraId="4A672818" w14:textId="200B4A8E"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0.014</w:t>
            </w:r>
          </w:p>
        </w:tc>
        <w:tc>
          <w:tcPr>
            <w:tcW w:w="1080" w:type="dxa"/>
            <w:tcBorders>
              <w:top w:val="single" w:sz="4" w:space="0" w:color="auto"/>
              <w:left w:val="single" w:sz="4" w:space="0" w:color="auto"/>
              <w:bottom w:val="single" w:sz="4" w:space="0" w:color="auto"/>
              <w:right w:val="single" w:sz="4" w:space="0" w:color="auto"/>
            </w:tcBorders>
            <w:hideMark/>
          </w:tcPr>
          <w:p w14:paraId="7279EC52" w14:textId="367EBC9B"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0.024</w:t>
            </w:r>
          </w:p>
        </w:tc>
        <w:tc>
          <w:tcPr>
            <w:tcW w:w="1170" w:type="dxa"/>
            <w:tcBorders>
              <w:top w:val="single" w:sz="4" w:space="0" w:color="auto"/>
              <w:left w:val="single" w:sz="4" w:space="0" w:color="auto"/>
              <w:bottom w:val="single" w:sz="4" w:space="0" w:color="auto"/>
              <w:right w:val="single" w:sz="4" w:space="0" w:color="auto"/>
            </w:tcBorders>
            <w:hideMark/>
          </w:tcPr>
          <w:p w14:paraId="4A6BF5A8" w14:textId="6F1A72FE"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0.014</w:t>
            </w:r>
          </w:p>
        </w:tc>
        <w:tc>
          <w:tcPr>
            <w:tcW w:w="1975" w:type="dxa"/>
            <w:tcBorders>
              <w:top w:val="single" w:sz="4" w:space="0" w:color="auto"/>
              <w:left w:val="single" w:sz="4" w:space="0" w:color="auto"/>
              <w:bottom w:val="single" w:sz="4" w:space="0" w:color="auto"/>
              <w:right w:val="single" w:sz="4" w:space="0" w:color="auto"/>
            </w:tcBorders>
            <w:vAlign w:val="center"/>
            <w:hideMark/>
          </w:tcPr>
          <w:p w14:paraId="2ABC0F37" w14:textId="60473415"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Pre-Wegovy obesity indication; private-pay interest still weak.</w:t>
            </w:r>
          </w:p>
        </w:tc>
      </w:tr>
      <w:tr w:rsidR="00A05B06" w:rsidRPr="004E3599" w14:paraId="764B44E6" w14:textId="77777777" w:rsidTr="00A05B06">
        <w:trPr>
          <w:trHeight w:val="1070"/>
        </w:trPr>
        <w:tc>
          <w:tcPr>
            <w:tcW w:w="715" w:type="dxa"/>
            <w:hideMark/>
          </w:tcPr>
          <w:p w14:paraId="269BE740"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2020</w:t>
            </w:r>
          </w:p>
        </w:tc>
        <w:tc>
          <w:tcPr>
            <w:tcW w:w="1080" w:type="dxa"/>
            <w:tcBorders>
              <w:top w:val="single" w:sz="4" w:space="0" w:color="auto"/>
              <w:left w:val="nil"/>
              <w:bottom w:val="single" w:sz="4" w:space="0" w:color="auto"/>
              <w:right w:val="single" w:sz="4" w:space="0" w:color="auto"/>
            </w:tcBorders>
            <w:hideMark/>
          </w:tcPr>
          <w:p w14:paraId="46034ED4" w14:textId="49D9ED4D"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0.025</w:t>
            </w:r>
          </w:p>
        </w:tc>
        <w:tc>
          <w:tcPr>
            <w:tcW w:w="1170" w:type="dxa"/>
            <w:tcBorders>
              <w:top w:val="single" w:sz="4" w:space="0" w:color="auto"/>
              <w:left w:val="single" w:sz="4" w:space="0" w:color="auto"/>
              <w:bottom w:val="single" w:sz="4" w:space="0" w:color="auto"/>
              <w:right w:val="single" w:sz="4" w:space="0" w:color="auto"/>
            </w:tcBorders>
            <w:hideMark/>
          </w:tcPr>
          <w:p w14:paraId="07F3E6EC" w14:textId="46B9931F"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0.015</w:t>
            </w:r>
          </w:p>
        </w:tc>
        <w:tc>
          <w:tcPr>
            <w:tcW w:w="1080" w:type="dxa"/>
            <w:tcBorders>
              <w:top w:val="single" w:sz="4" w:space="0" w:color="auto"/>
              <w:left w:val="single" w:sz="4" w:space="0" w:color="auto"/>
              <w:bottom w:val="single" w:sz="4" w:space="0" w:color="auto"/>
              <w:right w:val="single" w:sz="4" w:space="0" w:color="auto"/>
            </w:tcBorders>
            <w:hideMark/>
          </w:tcPr>
          <w:p w14:paraId="32EE9F49" w14:textId="3D50BE5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0.025</w:t>
            </w:r>
          </w:p>
        </w:tc>
        <w:tc>
          <w:tcPr>
            <w:tcW w:w="1080" w:type="dxa"/>
            <w:tcBorders>
              <w:top w:val="single" w:sz="4" w:space="0" w:color="auto"/>
              <w:left w:val="single" w:sz="4" w:space="0" w:color="auto"/>
              <w:bottom w:val="single" w:sz="4" w:space="0" w:color="auto"/>
              <w:right w:val="single" w:sz="4" w:space="0" w:color="auto"/>
            </w:tcBorders>
            <w:hideMark/>
          </w:tcPr>
          <w:p w14:paraId="07618C2A" w14:textId="47C3F291"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0.015</w:t>
            </w:r>
          </w:p>
        </w:tc>
        <w:tc>
          <w:tcPr>
            <w:tcW w:w="1080" w:type="dxa"/>
            <w:tcBorders>
              <w:top w:val="single" w:sz="4" w:space="0" w:color="auto"/>
              <w:left w:val="single" w:sz="4" w:space="0" w:color="auto"/>
              <w:bottom w:val="single" w:sz="4" w:space="0" w:color="auto"/>
              <w:right w:val="single" w:sz="4" w:space="0" w:color="auto"/>
            </w:tcBorders>
            <w:hideMark/>
          </w:tcPr>
          <w:p w14:paraId="444AD62A" w14:textId="2C3C1C5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0.025</w:t>
            </w:r>
          </w:p>
        </w:tc>
        <w:tc>
          <w:tcPr>
            <w:tcW w:w="1170" w:type="dxa"/>
            <w:tcBorders>
              <w:top w:val="single" w:sz="4" w:space="0" w:color="auto"/>
              <w:left w:val="single" w:sz="4" w:space="0" w:color="auto"/>
              <w:bottom w:val="single" w:sz="4" w:space="0" w:color="auto"/>
              <w:right w:val="single" w:sz="4" w:space="0" w:color="auto"/>
            </w:tcBorders>
            <w:hideMark/>
          </w:tcPr>
          <w:p w14:paraId="0606D7DD" w14:textId="2C655B8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0.015</w:t>
            </w:r>
          </w:p>
        </w:tc>
        <w:tc>
          <w:tcPr>
            <w:tcW w:w="1975" w:type="dxa"/>
            <w:tcBorders>
              <w:top w:val="single" w:sz="4" w:space="0" w:color="auto"/>
              <w:left w:val="single" w:sz="4" w:space="0" w:color="auto"/>
              <w:bottom w:val="single" w:sz="4" w:space="0" w:color="auto"/>
              <w:right w:val="single" w:sz="4" w:space="0" w:color="auto"/>
            </w:tcBorders>
            <w:vAlign w:val="center"/>
            <w:hideMark/>
          </w:tcPr>
          <w:p w14:paraId="4F93DB27" w14:textId="7CF85EAA"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Pandemic-period healthcare disruption; access and awareness grow only slightly.</w:t>
            </w:r>
          </w:p>
        </w:tc>
      </w:tr>
      <w:tr w:rsidR="00A05B06" w:rsidRPr="004E3599" w14:paraId="1C083381" w14:textId="77777777" w:rsidTr="00A05B06">
        <w:trPr>
          <w:trHeight w:val="1484"/>
        </w:trPr>
        <w:tc>
          <w:tcPr>
            <w:tcW w:w="715" w:type="dxa"/>
            <w:hideMark/>
          </w:tcPr>
          <w:p w14:paraId="409F34AC"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2021</w:t>
            </w:r>
          </w:p>
        </w:tc>
        <w:tc>
          <w:tcPr>
            <w:tcW w:w="1080" w:type="dxa"/>
            <w:tcBorders>
              <w:top w:val="single" w:sz="4" w:space="0" w:color="auto"/>
              <w:left w:val="nil"/>
              <w:bottom w:val="single" w:sz="4" w:space="0" w:color="auto"/>
              <w:right w:val="single" w:sz="4" w:space="0" w:color="auto"/>
            </w:tcBorders>
            <w:hideMark/>
          </w:tcPr>
          <w:p w14:paraId="36B493E9" w14:textId="49BDB26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0.026</w:t>
            </w:r>
          </w:p>
        </w:tc>
        <w:tc>
          <w:tcPr>
            <w:tcW w:w="1170" w:type="dxa"/>
            <w:tcBorders>
              <w:top w:val="single" w:sz="4" w:space="0" w:color="auto"/>
              <w:left w:val="single" w:sz="4" w:space="0" w:color="auto"/>
              <w:bottom w:val="single" w:sz="4" w:space="0" w:color="auto"/>
              <w:right w:val="single" w:sz="4" w:space="0" w:color="auto"/>
            </w:tcBorders>
            <w:hideMark/>
          </w:tcPr>
          <w:p w14:paraId="489B1AED" w14:textId="56E15CB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0.016</w:t>
            </w:r>
          </w:p>
        </w:tc>
        <w:tc>
          <w:tcPr>
            <w:tcW w:w="1080" w:type="dxa"/>
            <w:tcBorders>
              <w:top w:val="single" w:sz="4" w:space="0" w:color="auto"/>
              <w:left w:val="single" w:sz="4" w:space="0" w:color="auto"/>
              <w:bottom w:val="single" w:sz="4" w:space="0" w:color="auto"/>
              <w:right w:val="single" w:sz="4" w:space="0" w:color="auto"/>
            </w:tcBorders>
            <w:hideMark/>
          </w:tcPr>
          <w:p w14:paraId="0164C24E" w14:textId="152B4EC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0.026</w:t>
            </w:r>
          </w:p>
        </w:tc>
        <w:tc>
          <w:tcPr>
            <w:tcW w:w="1080" w:type="dxa"/>
            <w:tcBorders>
              <w:top w:val="single" w:sz="4" w:space="0" w:color="auto"/>
              <w:left w:val="single" w:sz="4" w:space="0" w:color="auto"/>
              <w:bottom w:val="single" w:sz="4" w:space="0" w:color="auto"/>
              <w:right w:val="single" w:sz="4" w:space="0" w:color="auto"/>
            </w:tcBorders>
            <w:hideMark/>
          </w:tcPr>
          <w:p w14:paraId="117ED366" w14:textId="1E28850B"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0.016</w:t>
            </w:r>
          </w:p>
        </w:tc>
        <w:tc>
          <w:tcPr>
            <w:tcW w:w="1080" w:type="dxa"/>
            <w:tcBorders>
              <w:top w:val="single" w:sz="4" w:space="0" w:color="auto"/>
              <w:left w:val="single" w:sz="4" w:space="0" w:color="auto"/>
              <w:bottom w:val="single" w:sz="4" w:space="0" w:color="auto"/>
              <w:right w:val="single" w:sz="4" w:space="0" w:color="auto"/>
            </w:tcBorders>
            <w:hideMark/>
          </w:tcPr>
          <w:p w14:paraId="4980B836" w14:textId="676C690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0.026</w:t>
            </w:r>
          </w:p>
        </w:tc>
        <w:tc>
          <w:tcPr>
            <w:tcW w:w="1170" w:type="dxa"/>
            <w:tcBorders>
              <w:top w:val="single" w:sz="4" w:space="0" w:color="auto"/>
              <w:left w:val="single" w:sz="4" w:space="0" w:color="auto"/>
              <w:bottom w:val="single" w:sz="4" w:space="0" w:color="auto"/>
              <w:right w:val="single" w:sz="4" w:space="0" w:color="auto"/>
            </w:tcBorders>
            <w:hideMark/>
          </w:tcPr>
          <w:p w14:paraId="6A27D1E2" w14:textId="7C862DEA"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0.016</w:t>
            </w:r>
          </w:p>
        </w:tc>
        <w:tc>
          <w:tcPr>
            <w:tcW w:w="1975" w:type="dxa"/>
            <w:tcBorders>
              <w:top w:val="single" w:sz="4" w:space="0" w:color="auto"/>
              <w:left w:val="single" w:sz="4" w:space="0" w:color="auto"/>
              <w:bottom w:val="single" w:sz="4" w:space="0" w:color="auto"/>
              <w:right w:val="single" w:sz="4" w:space="0" w:color="auto"/>
            </w:tcBorders>
            <w:vAlign w:val="center"/>
            <w:hideMark/>
          </w:tcPr>
          <w:p w14:paraId="14ABC098" w14:textId="056CCDC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Regulatory approval begins to support future adoption, but effective access remains narrow.</w:t>
            </w:r>
          </w:p>
        </w:tc>
      </w:tr>
      <w:tr w:rsidR="00A05B06" w:rsidRPr="004E3599" w14:paraId="4E583C3A" w14:textId="77777777" w:rsidTr="00A05B06">
        <w:trPr>
          <w:trHeight w:val="1430"/>
        </w:trPr>
        <w:tc>
          <w:tcPr>
            <w:tcW w:w="715" w:type="dxa"/>
            <w:hideMark/>
          </w:tcPr>
          <w:p w14:paraId="01AC9CC1"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2022</w:t>
            </w:r>
          </w:p>
        </w:tc>
        <w:tc>
          <w:tcPr>
            <w:tcW w:w="1080" w:type="dxa"/>
            <w:tcBorders>
              <w:top w:val="single" w:sz="4" w:space="0" w:color="auto"/>
              <w:left w:val="nil"/>
              <w:bottom w:val="single" w:sz="4" w:space="0" w:color="auto"/>
              <w:right w:val="single" w:sz="4" w:space="0" w:color="auto"/>
            </w:tcBorders>
            <w:hideMark/>
          </w:tcPr>
          <w:p w14:paraId="56065721" w14:textId="2A0D8ACE"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0.027</w:t>
            </w:r>
          </w:p>
        </w:tc>
        <w:tc>
          <w:tcPr>
            <w:tcW w:w="1170" w:type="dxa"/>
            <w:tcBorders>
              <w:top w:val="single" w:sz="4" w:space="0" w:color="auto"/>
              <w:left w:val="single" w:sz="4" w:space="0" w:color="auto"/>
              <w:bottom w:val="single" w:sz="4" w:space="0" w:color="auto"/>
              <w:right w:val="single" w:sz="4" w:space="0" w:color="auto"/>
            </w:tcBorders>
            <w:hideMark/>
          </w:tcPr>
          <w:p w14:paraId="4C495D9D" w14:textId="6D46F9C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0.017</w:t>
            </w:r>
          </w:p>
        </w:tc>
        <w:tc>
          <w:tcPr>
            <w:tcW w:w="1080" w:type="dxa"/>
            <w:tcBorders>
              <w:top w:val="single" w:sz="4" w:space="0" w:color="auto"/>
              <w:left w:val="single" w:sz="4" w:space="0" w:color="auto"/>
              <w:bottom w:val="single" w:sz="4" w:space="0" w:color="auto"/>
              <w:right w:val="single" w:sz="4" w:space="0" w:color="auto"/>
            </w:tcBorders>
            <w:hideMark/>
          </w:tcPr>
          <w:p w14:paraId="35992B99" w14:textId="4461B87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0.027</w:t>
            </w:r>
          </w:p>
        </w:tc>
        <w:tc>
          <w:tcPr>
            <w:tcW w:w="1080" w:type="dxa"/>
            <w:tcBorders>
              <w:top w:val="single" w:sz="4" w:space="0" w:color="auto"/>
              <w:left w:val="single" w:sz="4" w:space="0" w:color="auto"/>
              <w:bottom w:val="single" w:sz="4" w:space="0" w:color="auto"/>
              <w:right w:val="single" w:sz="4" w:space="0" w:color="auto"/>
            </w:tcBorders>
            <w:hideMark/>
          </w:tcPr>
          <w:p w14:paraId="502A6512" w14:textId="059CE7CC"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0.017</w:t>
            </w:r>
          </w:p>
        </w:tc>
        <w:tc>
          <w:tcPr>
            <w:tcW w:w="1080" w:type="dxa"/>
            <w:tcBorders>
              <w:top w:val="single" w:sz="4" w:space="0" w:color="auto"/>
              <w:left w:val="single" w:sz="4" w:space="0" w:color="auto"/>
              <w:bottom w:val="single" w:sz="4" w:space="0" w:color="auto"/>
              <w:right w:val="single" w:sz="4" w:space="0" w:color="auto"/>
            </w:tcBorders>
            <w:hideMark/>
          </w:tcPr>
          <w:p w14:paraId="0574513D" w14:textId="7BB394BC"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0.027</w:t>
            </w:r>
          </w:p>
        </w:tc>
        <w:tc>
          <w:tcPr>
            <w:tcW w:w="1170" w:type="dxa"/>
            <w:tcBorders>
              <w:top w:val="single" w:sz="4" w:space="0" w:color="auto"/>
              <w:left w:val="single" w:sz="4" w:space="0" w:color="auto"/>
              <w:bottom w:val="single" w:sz="4" w:space="0" w:color="auto"/>
              <w:right w:val="single" w:sz="4" w:space="0" w:color="auto"/>
            </w:tcBorders>
            <w:hideMark/>
          </w:tcPr>
          <w:p w14:paraId="5A5D41A3" w14:textId="326AD815"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0.017</w:t>
            </w:r>
          </w:p>
        </w:tc>
        <w:tc>
          <w:tcPr>
            <w:tcW w:w="1975" w:type="dxa"/>
            <w:tcBorders>
              <w:top w:val="single" w:sz="4" w:space="0" w:color="auto"/>
              <w:left w:val="single" w:sz="4" w:space="0" w:color="auto"/>
              <w:bottom w:val="single" w:sz="4" w:space="0" w:color="auto"/>
              <w:right w:val="single" w:sz="4" w:space="0" w:color="auto"/>
            </w:tcBorders>
            <w:vAlign w:val="center"/>
            <w:hideMark/>
          </w:tcPr>
          <w:p w14:paraId="46ABF80F" w14:textId="6ADCD98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 xml:space="preserve">Post-approval market </w:t>
            </w:r>
            <w:proofErr w:type="gramStart"/>
            <w:r w:rsidRPr="00A05B06">
              <w:rPr>
                <w:rFonts w:ascii="Times New Roman" w:hAnsi="Times New Roman" w:cs="Times New Roman"/>
                <w:color w:val="000000"/>
              </w:rPr>
              <w:t>still</w:t>
            </w:r>
            <w:proofErr w:type="gramEnd"/>
            <w:r w:rsidRPr="00A05B06">
              <w:rPr>
                <w:rFonts w:ascii="Times New Roman" w:hAnsi="Times New Roman" w:cs="Times New Roman"/>
                <w:color w:val="000000"/>
              </w:rPr>
              <w:t xml:space="preserve"> slow because reimbursement and supply channels remain limited.</w:t>
            </w:r>
          </w:p>
        </w:tc>
      </w:tr>
      <w:tr w:rsidR="00A05B06" w:rsidRPr="004E3599" w14:paraId="4F7AF338" w14:textId="77777777" w:rsidTr="00A05B06">
        <w:trPr>
          <w:trHeight w:val="1430"/>
        </w:trPr>
        <w:tc>
          <w:tcPr>
            <w:tcW w:w="715" w:type="dxa"/>
            <w:hideMark/>
          </w:tcPr>
          <w:p w14:paraId="2A0B62AD"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2023</w:t>
            </w:r>
          </w:p>
        </w:tc>
        <w:tc>
          <w:tcPr>
            <w:tcW w:w="1080" w:type="dxa"/>
            <w:tcBorders>
              <w:top w:val="single" w:sz="4" w:space="0" w:color="auto"/>
              <w:left w:val="nil"/>
              <w:bottom w:val="single" w:sz="4" w:space="0" w:color="auto"/>
              <w:right w:val="single" w:sz="4" w:space="0" w:color="auto"/>
            </w:tcBorders>
            <w:hideMark/>
          </w:tcPr>
          <w:p w14:paraId="11D54604" w14:textId="4A89F3B1"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0.029</w:t>
            </w:r>
          </w:p>
        </w:tc>
        <w:tc>
          <w:tcPr>
            <w:tcW w:w="1170" w:type="dxa"/>
            <w:tcBorders>
              <w:top w:val="single" w:sz="4" w:space="0" w:color="auto"/>
              <w:left w:val="single" w:sz="4" w:space="0" w:color="auto"/>
              <w:bottom w:val="single" w:sz="4" w:space="0" w:color="auto"/>
              <w:right w:val="single" w:sz="4" w:space="0" w:color="auto"/>
            </w:tcBorders>
            <w:hideMark/>
          </w:tcPr>
          <w:p w14:paraId="3DEBBFA6" w14:textId="7A151BBE"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w:t>
            </w:r>
          </w:p>
        </w:tc>
        <w:tc>
          <w:tcPr>
            <w:tcW w:w="1080" w:type="dxa"/>
            <w:tcBorders>
              <w:top w:val="single" w:sz="4" w:space="0" w:color="auto"/>
              <w:left w:val="single" w:sz="4" w:space="0" w:color="auto"/>
              <w:bottom w:val="single" w:sz="4" w:space="0" w:color="auto"/>
              <w:right w:val="single" w:sz="4" w:space="0" w:color="auto"/>
            </w:tcBorders>
            <w:hideMark/>
          </w:tcPr>
          <w:p w14:paraId="182425FD" w14:textId="3333A68C"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0.029</w:t>
            </w:r>
          </w:p>
        </w:tc>
        <w:tc>
          <w:tcPr>
            <w:tcW w:w="1080" w:type="dxa"/>
            <w:tcBorders>
              <w:top w:val="single" w:sz="4" w:space="0" w:color="auto"/>
              <w:left w:val="single" w:sz="4" w:space="0" w:color="auto"/>
              <w:bottom w:val="single" w:sz="4" w:space="0" w:color="auto"/>
              <w:right w:val="single" w:sz="4" w:space="0" w:color="auto"/>
            </w:tcBorders>
            <w:hideMark/>
          </w:tcPr>
          <w:p w14:paraId="3DD216DA" w14:textId="2B80992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w:t>
            </w:r>
          </w:p>
        </w:tc>
        <w:tc>
          <w:tcPr>
            <w:tcW w:w="1080" w:type="dxa"/>
            <w:tcBorders>
              <w:top w:val="single" w:sz="4" w:space="0" w:color="auto"/>
              <w:left w:val="single" w:sz="4" w:space="0" w:color="auto"/>
              <w:bottom w:val="single" w:sz="4" w:space="0" w:color="auto"/>
              <w:right w:val="single" w:sz="4" w:space="0" w:color="auto"/>
            </w:tcBorders>
            <w:hideMark/>
          </w:tcPr>
          <w:p w14:paraId="3FC38F06" w14:textId="625139D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0.029</w:t>
            </w:r>
          </w:p>
        </w:tc>
        <w:tc>
          <w:tcPr>
            <w:tcW w:w="1170" w:type="dxa"/>
            <w:tcBorders>
              <w:top w:val="single" w:sz="4" w:space="0" w:color="auto"/>
              <w:left w:val="single" w:sz="4" w:space="0" w:color="auto"/>
              <w:bottom w:val="single" w:sz="4" w:space="0" w:color="auto"/>
              <w:right w:val="single" w:sz="4" w:space="0" w:color="auto"/>
            </w:tcBorders>
            <w:hideMark/>
          </w:tcPr>
          <w:p w14:paraId="4C52AD40" w14:textId="36A6A591"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0.02</w:t>
            </w:r>
          </w:p>
        </w:tc>
        <w:tc>
          <w:tcPr>
            <w:tcW w:w="1975" w:type="dxa"/>
            <w:tcBorders>
              <w:top w:val="single" w:sz="4" w:space="0" w:color="auto"/>
              <w:left w:val="single" w:sz="4" w:space="0" w:color="auto"/>
              <w:bottom w:val="single" w:sz="4" w:space="0" w:color="auto"/>
              <w:right w:val="single" w:sz="4" w:space="0" w:color="auto"/>
            </w:tcBorders>
            <w:vAlign w:val="center"/>
            <w:hideMark/>
          </w:tcPr>
          <w:p w14:paraId="1ACD4273" w14:textId="25539EFD"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Growing public attention from GLP-1 discussion, but affordability remains restrictive.</w:t>
            </w:r>
          </w:p>
        </w:tc>
      </w:tr>
      <w:tr w:rsidR="00A05B06" w:rsidRPr="004E3599" w14:paraId="085D0CA6" w14:textId="77777777" w:rsidTr="00A05B06">
        <w:trPr>
          <w:trHeight w:val="1520"/>
        </w:trPr>
        <w:tc>
          <w:tcPr>
            <w:tcW w:w="715" w:type="dxa"/>
            <w:hideMark/>
          </w:tcPr>
          <w:p w14:paraId="3AD18316"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2024</w:t>
            </w:r>
          </w:p>
        </w:tc>
        <w:tc>
          <w:tcPr>
            <w:tcW w:w="1080" w:type="dxa"/>
            <w:tcBorders>
              <w:top w:val="single" w:sz="4" w:space="0" w:color="auto"/>
              <w:left w:val="nil"/>
              <w:bottom w:val="single" w:sz="4" w:space="0" w:color="auto"/>
              <w:right w:val="single" w:sz="4" w:space="0" w:color="auto"/>
            </w:tcBorders>
            <w:hideMark/>
          </w:tcPr>
          <w:p w14:paraId="129EB15F" w14:textId="6DF1296D"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0.031</w:t>
            </w:r>
          </w:p>
        </w:tc>
        <w:tc>
          <w:tcPr>
            <w:tcW w:w="1170" w:type="dxa"/>
            <w:tcBorders>
              <w:top w:val="single" w:sz="4" w:space="0" w:color="auto"/>
              <w:left w:val="single" w:sz="4" w:space="0" w:color="auto"/>
              <w:bottom w:val="single" w:sz="4" w:space="0" w:color="auto"/>
              <w:right w:val="single" w:sz="4" w:space="0" w:color="auto"/>
            </w:tcBorders>
            <w:hideMark/>
          </w:tcPr>
          <w:p w14:paraId="6D073CD6" w14:textId="407205DD"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0.05</w:t>
            </w:r>
          </w:p>
        </w:tc>
        <w:tc>
          <w:tcPr>
            <w:tcW w:w="1080" w:type="dxa"/>
            <w:tcBorders>
              <w:top w:val="single" w:sz="4" w:space="0" w:color="auto"/>
              <w:left w:val="single" w:sz="4" w:space="0" w:color="auto"/>
              <w:bottom w:val="single" w:sz="4" w:space="0" w:color="auto"/>
              <w:right w:val="single" w:sz="4" w:space="0" w:color="auto"/>
            </w:tcBorders>
            <w:hideMark/>
          </w:tcPr>
          <w:p w14:paraId="49B5C7D7" w14:textId="4E6A123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0.031</w:t>
            </w:r>
          </w:p>
        </w:tc>
        <w:tc>
          <w:tcPr>
            <w:tcW w:w="1080" w:type="dxa"/>
            <w:tcBorders>
              <w:top w:val="single" w:sz="4" w:space="0" w:color="auto"/>
              <w:left w:val="single" w:sz="4" w:space="0" w:color="auto"/>
              <w:bottom w:val="single" w:sz="4" w:space="0" w:color="auto"/>
              <w:right w:val="single" w:sz="4" w:space="0" w:color="auto"/>
            </w:tcBorders>
            <w:hideMark/>
          </w:tcPr>
          <w:p w14:paraId="5DC064BC" w14:textId="51BD8028"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0.05</w:t>
            </w:r>
          </w:p>
        </w:tc>
        <w:tc>
          <w:tcPr>
            <w:tcW w:w="1080" w:type="dxa"/>
            <w:tcBorders>
              <w:top w:val="single" w:sz="4" w:space="0" w:color="auto"/>
              <w:left w:val="single" w:sz="4" w:space="0" w:color="auto"/>
              <w:bottom w:val="single" w:sz="4" w:space="0" w:color="auto"/>
              <w:right w:val="single" w:sz="4" w:space="0" w:color="auto"/>
            </w:tcBorders>
            <w:hideMark/>
          </w:tcPr>
          <w:p w14:paraId="38E57423" w14:textId="513ED25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0.031</w:t>
            </w:r>
          </w:p>
        </w:tc>
        <w:tc>
          <w:tcPr>
            <w:tcW w:w="1170" w:type="dxa"/>
            <w:tcBorders>
              <w:top w:val="single" w:sz="4" w:space="0" w:color="auto"/>
              <w:left w:val="single" w:sz="4" w:space="0" w:color="auto"/>
              <w:bottom w:val="single" w:sz="4" w:space="0" w:color="auto"/>
              <w:right w:val="single" w:sz="4" w:space="0" w:color="auto"/>
            </w:tcBorders>
            <w:hideMark/>
          </w:tcPr>
          <w:p w14:paraId="55A53582" w14:textId="2512BA6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0.05</w:t>
            </w:r>
          </w:p>
        </w:tc>
        <w:tc>
          <w:tcPr>
            <w:tcW w:w="1975" w:type="dxa"/>
            <w:tcBorders>
              <w:top w:val="single" w:sz="4" w:space="0" w:color="auto"/>
              <w:left w:val="single" w:sz="4" w:space="0" w:color="auto"/>
              <w:bottom w:val="single" w:sz="4" w:space="0" w:color="auto"/>
              <w:right w:val="single" w:sz="4" w:space="0" w:color="auto"/>
            </w:tcBorders>
            <w:vAlign w:val="center"/>
            <w:hideMark/>
          </w:tcPr>
          <w:p w14:paraId="3E02B16A" w14:textId="5240B77D"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Awareness rises faster through media and U.S. spillover, while coverage remains uneven.</w:t>
            </w:r>
          </w:p>
        </w:tc>
      </w:tr>
      <w:tr w:rsidR="00A05B06" w:rsidRPr="004E3599" w14:paraId="6087A234" w14:textId="77777777" w:rsidTr="00A05B06">
        <w:trPr>
          <w:trHeight w:val="1520"/>
        </w:trPr>
        <w:tc>
          <w:tcPr>
            <w:tcW w:w="715" w:type="dxa"/>
            <w:hideMark/>
          </w:tcPr>
          <w:p w14:paraId="74BAE750"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2025</w:t>
            </w:r>
          </w:p>
        </w:tc>
        <w:tc>
          <w:tcPr>
            <w:tcW w:w="1080" w:type="dxa"/>
            <w:tcBorders>
              <w:top w:val="single" w:sz="4" w:space="0" w:color="auto"/>
              <w:left w:val="nil"/>
              <w:bottom w:val="single" w:sz="4" w:space="0" w:color="auto"/>
              <w:right w:val="single" w:sz="4" w:space="0" w:color="auto"/>
            </w:tcBorders>
            <w:hideMark/>
          </w:tcPr>
          <w:p w14:paraId="4148CBF1" w14:textId="0CC5DFD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0.033</w:t>
            </w:r>
          </w:p>
        </w:tc>
        <w:tc>
          <w:tcPr>
            <w:tcW w:w="1170" w:type="dxa"/>
            <w:tcBorders>
              <w:top w:val="single" w:sz="4" w:space="0" w:color="auto"/>
              <w:left w:val="single" w:sz="4" w:space="0" w:color="auto"/>
              <w:bottom w:val="single" w:sz="4" w:space="0" w:color="auto"/>
              <w:right w:val="single" w:sz="4" w:space="0" w:color="auto"/>
            </w:tcBorders>
            <w:hideMark/>
          </w:tcPr>
          <w:p w14:paraId="20C4BB56" w14:textId="1E70543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w:t>
            </w:r>
          </w:p>
        </w:tc>
        <w:tc>
          <w:tcPr>
            <w:tcW w:w="1080" w:type="dxa"/>
            <w:tcBorders>
              <w:top w:val="single" w:sz="4" w:space="0" w:color="auto"/>
              <w:left w:val="single" w:sz="4" w:space="0" w:color="auto"/>
              <w:bottom w:val="single" w:sz="4" w:space="0" w:color="auto"/>
              <w:right w:val="single" w:sz="4" w:space="0" w:color="auto"/>
            </w:tcBorders>
            <w:hideMark/>
          </w:tcPr>
          <w:p w14:paraId="3653A377" w14:textId="6A34B41A"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0.033</w:t>
            </w:r>
          </w:p>
        </w:tc>
        <w:tc>
          <w:tcPr>
            <w:tcW w:w="1080" w:type="dxa"/>
            <w:tcBorders>
              <w:top w:val="single" w:sz="4" w:space="0" w:color="auto"/>
              <w:left w:val="single" w:sz="4" w:space="0" w:color="auto"/>
              <w:bottom w:val="single" w:sz="4" w:space="0" w:color="auto"/>
              <w:right w:val="single" w:sz="4" w:space="0" w:color="auto"/>
            </w:tcBorders>
            <w:hideMark/>
          </w:tcPr>
          <w:p w14:paraId="41B2E22C" w14:textId="08924DBE"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w:t>
            </w:r>
          </w:p>
        </w:tc>
        <w:tc>
          <w:tcPr>
            <w:tcW w:w="1080" w:type="dxa"/>
            <w:tcBorders>
              <w:top w:val="single" w:sz="4" w:space="0" w:color="auto"/>
              <w:left w:val="single" w:sz="4" w:space="0" w:color="auto"/>
              <w:bottom w:val="single" w:sz="4" w:space="0" w:color="auto"/>
              <w:right w:val="single" w:sz="4" w:space="0" w:color="auto"/>
            </w:tcBorders>
            <w:hideMark/>
          </w:tcPr>
          <w:p w14:paraId="069B98F1" w14:textId="45B94F2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0.033</w:t>
            </w:r>
          </w:p>
        </w:tc>
        <w:tc>
          <w:tcPr>
            <w:tcW w:w="1170" w:type="dxa"/>
            <w:tcBorders>
              <w:top w:val="single" w:sz="4" w:space="0" w:color="auto"/>
              <w:left w:val="single" w:sz="4" w:space="0" w:color="auto"/>
              <w:bottom w:val="single" w:sz="4" w:space="0" w:color="auto"/>
              <w:right w:val="single" w:sz="4" w:space="0" w:color="auto"/>
            </w:tcBorders>
            <w:hideMark/>
          </w:tcPr>
          <w:p w14:paraId="1A46F8B2" w14:textId="313C0745"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w:t>
            </w:r>
          </w:p>
        </w:tc>
        <w:tc>
          <w:tcPr>
            <w:tcW w:w="1975" w:type="dxa"/>
            <w:tcBorders>
              <w:top w:val="single" w:sz="4" w:space="0" w:color="auto"/>
              <w:left w:val="single" w:sz="4" w:space="0" w:color="auto"/>
              <w:bottom w:val="single" w:sz="4" w:space="0" w:color="auto"/>
              <w:right w:val="single" w:sz="4" w:space="0" w:color="auto"/>
            </w:tcBorders>
            <w:vAlign w:val="center"/>
            <w:hideMark/>
          </w:tcPr>
          <w:p w14:paraId="2FBF7F69" w14:textId="12932CCA"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Conditional reimbursement discussion increases policy visibility; broad access remains limited.</w:t>
            </w:r>
          </w:p>
        </w:tc>
      </w:tr>
      <w:tr w:rsidR="00A05B06" w:rsidRPr="004E3599" w14:paraId="1D0A7733" w14:textId="77777777" w:rsidTr="002F087C">
        <w:trPr>
          <w:trHeight w:val="2393"/>
        </w:trPr>
        <w:tc>
          <w:tcPr>
            <w:tcW w:w="715" w:type="dxa"/>
            <w:hideMark/>
          </w:tcPr>
          <w:p w14:paraId="4E669489"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2026</w:t>
            </w:r>
          </w:p>
        </w:tc>
        <w:tc>
          <w:tcPr>
            <w:tcW w:w="1080" w:type="dxa"/>
            <w:tcBorders>
              <w:top w:val="single" w:sz="4" w:space="0" w:color="auto"/>
              <w:left w:val="nil"/>
              <w:bottom w:val="single" w:sz="4" w:space="0" w:color="auto"/>
              <w:right w:val="single" w:sz="4" w:space="0" w:color="auto"/>
            </w:tcBorders>
            <w:hideMark/>
          </w:tcPr>
          <w:p w14:paraId="505D17F9" w14:textId="6C10A8AD"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0.04</w:t>
            </w:r>
          </w:p>
        </w:tc>
        <w:tc>
          <w:tcPr>
            <w:tcW w:w="1170" w:type="dxa"/>
            <w:tcBorders>
              <w:top w:val="single" w:sz="4" w:space="0" w:color="auto"/>
              <w:left w:val="single" w:sz="4" w:space="0" w:color="auto"/>
              <w:bottom w:val="single" w:sz="4" w:space="0" w:color="auto"/>
              <w:right w:val="single" w:sz="4" w:space="0" w:color="auto"/>
            </w:tcBorders>
            <w:hideMark/>
          </w:tcPr>
          <w:p w14:paraId="1E6D7AE2" w14:textId="3BF2CBAD"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0.15</w:t>
            </w:r>
          </w:p>
        </w:tc>
        <w:tc>
          <w:tcPr>
            <w:tcW w:w="1080" w:type="dxa"/>
            <w:tcBorders>
              <w:top w:val="single" w:sz="4" w:space="0" w:color="auto"/>
              <w:left w:val="single" w:sz="4" w:space="0" w:color="auto"/>
              <w:bottom w:val="single" w:sz="4" w:space="0" w:color="auto"/>
              <w:right w:val="single" w:sz="4" w:space="0" w:color="auto"/>
            </w:tcBorders>
            <w:hideMark/>
          </w:tcPr>
          <w:p w14:paraId="690FF841" w14:textId="02018D0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0.05</w:t>
            </w:r>
          </w:p>
        </w:tc>
        <w:tc>
          <w:tcPr>
            <w:tcW w:w="1080" w:type="dxa"/>
            <w:tcBorders>
              <w:top w:val="single" w:sz="4" w:space="0" w:color="auto"/>
              <w:left w:val="single" w:sz="4" w:space="0" w:color="auto"/>
              <w:bottom w:val="single" w:sz="4" w:space="0" w:color="auto"/>
              <w:right w:val="single" w:sz="4" w:space="0" w:color="auto"/>
            </w:tcBorders>
            <w:hideMark/>
          </w:tcPr>
          <w:p w14:paraId="24B3D2BF" w14:textId="53E889C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0.2</w:t>
            </w:r>
          </w:p>
        </w:tc>
        <w:tc>
          <w:tcPr>
            <w:tcW w:w="1080" w:type="dxa"/>
            <w:tcBorders>
              <w:top w:val="single" w:sz="4" w:space="0" w:color="auto"/>
              <w:left w:val="single" w:sz="4" w:space="0" w:color="auto"/>
              <w:bottom w:val="single" w:sz="4" w:space="0" w:color="auto"/>
              <w:right w:val="single" w:sz="4" w:space="0" w:color="auto"/>
            </w:tcBorders>
            <w:hideMark/>
          </w:tcPr>
          <w:p w14:paraId="21A8A9E7" w14:textId="0DE566D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0.08</w:t>
            </w:r>
          </w:p>
        </w:tc>
        <w:tc>
          <w:tcPr>
            <w:tcW w:w="1170" w:type="dxa"/>
            <w:tcBorders>
              <w:top w:val="single" w:sz="4" w:space="0" w:color="auto"/>
              <w:left w:val="single" w:sz="4" w:space="0" w:color="auto"/>
              <w:bottom w:val="single" w:sz="4" w:space="0" w:color="auto"/>
              <w:right w:val="single" w:sz="4" w:space="0" w:color="auto"/>
            </w:tcBorders>
            <w:hideMark/>
          </w:tcPr>
          <w:p w14:paraId="5E8AC574" w14:textId="698CB428"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0.25</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CC5D85F" w14:textId="4AF06835"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 xml:space="preserve">Scenario divergence begins; low path assumes cautious </w:t>
            </w:r>
            <w:proofErr w:type="gramStart"/>
            <w:r w:rsidRPr="00A05B06">
              <w:rPr>
                <w:rFonts w:ascii="Times New Roman" w:hAnsi="Times New Roman" w:cs="Times New Roman"/>
                <w:color w:val="000000"/>
              </w:rPr>
              <w:t>coverage,</w:t>
            </w:r>
            <w:proofErr w:type="gramEnd"/>
            <w:r w:rsidRPr="00A05B06">
              <w:rPr>
                <w:rFonts w:ascii="Times New Roman" w:hAnsi="Times New Roman" w:cs="Times New Roman"/>
                <w:color w:val="000000"/>
              </w:rPr>
              <w:t xml:space="preserve"> high path assumes faster private and payer response.</w:t>
            </w:r>
          </w:p>
        </w:tc>
      </w:tr>
      <w:tr w:rsidR="00A05B06" w:rsidRPr="004E3599" w14:paraId="4727C7FF" w14:textId="77777777" w:rsidTr="00A05B06">
        <w:trPr>
          <w:trHeight w:val="1430"/>
        </w:trPr>
        <w:tc>
          <w:tcPr>
            <w:tcW w:w="715" w:type="dxa"/>
            <w:hideMark/>
          </w:tcPr>
          <w:p w14:paraId="358BAC54"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2027</w:t>
            </w:r>
          </w:p>
        </w:tc>
        <w:tc>
          <w:tcPr>
            <w:tcW w:w="1080" w:type="dxa"/>
            <w:tcBorders>
              <w:top w:val="single" w:sz="4" w:space="0" w:color="auto"/>
              <w:left w:val="nil"/>
              <w:bottom w:val="single" w:sz="4" w:space="0" w:color="auto"/>
              <w:right w:val="single" w:sz="4" w:space="0" w:color="auto"/>
            </w:tcBorders>
            <w:hideMark/>
          </w:tcPr>
          <w:p w14:paraId="4A5EF353" w14:textId="739D2DA3"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0.06</w:t>
            </w:r>
          </w:p>
        </w:tc>
        <w:tc>
          <w:tcPr>
            <w:tcW w:w="1170" w:type="dxa"/>
            <w:tcBorders>
              <w:top w:val="single" w:sz="4" w:space="0" w:color="auto"/>
              <w:left w:val="single" w:sz="4" w:space="0" w:color="auto"/>
              <w:bottom w:val="single" w:sz="4" w:space="0" w:color="auto"/>
              <w:right w:val="single" w:sz="4" w:space="0" w:color="auto"/>
            </w:tcBorders>
            <w:hideMark/>
          </w:tcPr>
          <w:p w14:paraId="37A984B4" w14:textId="68C9F11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0.2</w:t>
            </w:r>
          </w:p>
        </w:tc>
        <w:tc>
          <w:tcPr>
            <w:tcW w:w="1080" w:type="dxa"/>
            <w:tcBorders>
              <w:top w:val="single" w:sz="4" w:space="0" w:color="auto"/>
              <w:left w:val="single" w:sz="4" w:space="0" w:color="auto"/>
              <w:bottom w:val="single" w:sz="4" w:space="0" w:color="auto"/>
              <w:right w:val="single" w:sz="4" w:space="0" w:color="auto"/>
            </w:tcBorders>
            <w:hideMark/>
          </w:tcPr>
          <w:p w14:paraId="7D54C727" w14:textId="15310A2A"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w:t>
            </w:r>
          </w:p>
        </w:tc>
        <w:tc>
          <w:tcPr>
            <w:tcW w:w="1080" w:type="dxa"/>
            <w:tcBorders>
              <w:top w:val="single" w:sz="4" w:space="0" w:color="auto"/>
              <w:left w:val="single" w:sz="4" w:space="0" w:color="auto"/>
              <w:bottom w:val="single" w:sz="4" w:space="0" w:color="auto"/>
              <w:right w:val="single" w:sz="4" w:space="0" w:color="auto"/>
            </w:tcBorders>
            <w:hideMark/>
          </w:tcPr>
          <w:p w14:paraId="3869143C" w14:textId="13973C1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0.3</w:t>
            </w:r>
          </w:p>
        </w:tc>
        <w:tc>
          <w:tcPr>
            <w:tcW w:w="1080" w:type="dxa"/>
            <w:tcBorders>
              <w:top w:val="single" w:sz="4" w:space="0" w:color="auto"/>
              <w:left w:val="single" w:sz="4" w:space="0" w:color="auto"/>
              <w:bottom w:val="single" w:sz="4" w:space="0" w:color="auto"/>
              <w:right w:val="single" w:sz="4" w:space="0" w:color="auto"/>
            </w:tcBorders>
            <w:hideMark/>
          </w:tcPr>
          <w:p w14:paraId="323A1F62" w14:textId="21AC5466"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0.15</w:t>
            </w:r>
          </w:p>
        </w:tc>
        <w:tc>
          <w:tcPr>
            <w:tcW w:w="1170" w:type="dxa"/>
            <w:tcBorders>
              <w:top w:val="single" w:sz="4" w:space="0" w:color="auto"/>
              <w:left w:val="single" w:sz="4" w:space="0" w:color="auto"/>
              <w:bottom w:val="single" w:sz="4" w:space="0" w:color="auto"/>
              <w:right w:val="single" w:sz="4" w:space="0" w:color="auto"/>
            </w:tcBorders>
            <w:hideMark/>
          </w:tcPr>
          <w:p w14:paraId="7AD2C76B" w14:textId="755E4C8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0.4</w:t>
            </w:r>
          </w:p>
        </w:tc>
        <w:tc>
          <w:tcPr>
            <w:tcW w:w="1975" w:type="dxa"/>
            <w:tcBorders>
              <w:top w:val="single" w:sz="4" w:space="0" w:color="auto"/>
              <w:left w:val="single" w:sz="4" w:space="0" w:color="auto"/>
              <w:bottom w:val="single" w:sz="4" w:space="0" w:color="auto"/>
              <w:right w:val="single" w:sz="4" w:space="0" w:color="auto"/>
            </w:tcBorders>
            <w:vAlign w:val="center"/>
            <w:hideMark/>
          </w:tcPr>
          <w:p w14:paraId="03394564" w14:textId="5EE9FE0E"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Mid</w:t>
            </w:r>
            <w:r w:rsidR="008250EB">
              <w:rPr>
                <w:rFonts w:ascii="Times New Roman" w:hAnsi="Times New Roman" w:cs="Times New Roman"/>
                <w:color w:val="000000"/>
              </w:rPr>
              <w:t>dle</w:t>
            </w:r>
            <w:r w:rsidRPr="00A05B06">
              <w:rPr>
                <w:rFonts w:ascii="Times New Roman" w:hAnsi="Times New Roman" w:cs="Times New Roman"/>
                <w:color w:val="000000"/>
              </w:rPr>
              <w:t xml:space="preserve"> and high paths assume broader provider familiarity and improving affordability.</w:t>
            </w:r>
          </w:p>
        </w:tc>
      </w:tr>
      <w:tr w:rsidR="00A05B06" w:rsidRPr="004E3599" w14:paraId="3E94D64B" w14:textId="77777777" w:rsidTr="00A05B06">
        <w:trPr>
          <w:trHeight w:val="1430"/>
        </w:trPr>
        <w:tc>
          <w:tcPr>
            <w:tcW w:w="715" w:type="dxa"/>
            <w:hideMark/>
          </w:tcPr>
          <w:p w14:paraId="5C306418"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2028</w:t>
            </w:r>
          </w:p>
        </w:tc>
        <w:tc>
          <w:tcPr>
            <w:tcW w:w="1080" w:type="dxa"/>
            <w:tcBorders>
              <w:top w:val="single" w:sz="4" w:space="0" w:color="auto"/>
              <w:left w:val="nil"/>
              <w:bottom w:val="single" w:sz="4" w:space="0" w:color="auto"/>
              <w:right w:val="single" w:sz="4" w:space="0" w:color="auto"/>
            </w:tcBorders>
            <w:hideMark/>
          </w:tcPr>
          <w:p w14:paraId="477CD11F" w14:textId="578D1EEB"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0.085</w:t>
            </w:r>
          </w:p>
        </w:tc>
        <w:tc>
          <w:tcPr>
            <w:tcW w:w="1170" w:type="dxa"/>
            <w:tcBorders>
              <w:top w:val="single" w:sz="4" w:space="0" w:color="auto"/>
              <w:left w:val="single" w:sz="4" w:space="0" w:color="auto"/>
              <w:bottom w:val="single" w:sz="4" w:space="0" w:color="auto"/>
              <w:right w:val="single" w:sz="4" w:space="0" w:color="auto"/>
            </w:tcBorders>
            <w:hideMark/>
          </w:tcPr>
          <w:p w14:paraId="1A6F7B64" w14:textId="714AD303"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0.25</w:t>
            </w:r>
          </w:p>
        </w:tc>
        <w:tc>
          <w:tcPr>
            <w:tcW w:w="1080" w:type="dxa"/>
            <w:tcBorders>
              <w:top w:val="single" w:sz="4" w:space="0" w:color="auto"/>
              <w:left w:val="single" w:sz="4" w:space="0" w:color="auto"/>
              <w:bottom w:val="single" w:sz="4" w:space="0" w:color="auto"/>
              <w:right w:val="single" w:sz="4" w:space="0" w:color="auto"/>
            </w:tcBorders>
            <w:hideMark/>
          </w:tcPr>
          <w:p w14:paraId="41DD58BC" w14:textId="0CEC9D1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0.15</w:t>
            </w:r>
          </w:p>
        </w:tc>
        <w:tc>
          <w:tcPr>
            <w:tcW w:w="1080" w:type="dxa"/>
            <w:tcBorders>
              <w:top w:val="single" w:sz="4" w:space="0" w:color="auto"/>
              <w:left w:val="single" w:sz="4" w:space="0" w:color="auto"/>
              <w:bottom w:val="single" w:sz="4" w:space="0" w:color="auto"/>
              <w:right w:val="single" w:sz="4" w:space="0" w:color="auto"/>
            </w:tcBorders>
            <w:hideMark/>
          </w:tcPr>
          <w:p w14:paraId="63A200FB" w14:textId="2619E122"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0.4</w:t>
            </w:r>
          </w:p>
        </w:tc>
        <w:tc>
          <w:tcPr>
            <w:tcW w:w="1080" w:type="dxa"/>
            <w:tcBorders>
              <w:top w:val="single" w:sz="4" w:space="0" w:color="auto"/>
              <w:left w:val="single" w:sz="4" w:space="0" w:color="auto"/>
              <w:bottom w:val="single" w:sz="4" w:space="0" w:color="auto"/>
              <w:right w:val="single" w:sz="4" w:space="0" w:color="auto"/>
            </w:tcBorders>
            <w:hideMark/>
          </w:tcPr>
          <w:p w14:paraId="590C9179" w14:textId="7DDA0925"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0.22</w:t>
            </w:r>
          </w:p>
        </w:tc>
        <w:tc>
          <w:tcPr>
            <w:tcW w:w="1170" w:type="dxa"/>
            <w:tcBorders>
              <w:top w:val="single" w:sz="4" w:space="0" w:color="auto"/>
              <w:left w:val="single" w:sz="4" w:space="0" w:color="auto"/>
              <w:bottom w:val="single" w:sz="4" w:space="0" w:color="auto"/>
              <w:right w:val="single" w:sz="4" w:space="0" w:color="auto"/>
            </w:tcBorders>
            <w:hideMark/>
          </w:tcPr>
          <w:p w14:paraId="5235A533" w14:textId="2E913BC3"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0.55</w:t>
            </w:r>
          </w:p>
        </w:tc>
        <w:tc>
          <w:tcPr>
            <w:tcW w:w="1975" w:type="dxa"/>
            <w:tcBorders>
              <w:top w:val="single" w:sz="4" w:space="0" w:color="auto"/>
              <w:left w:val="single" w:sz="4" w:space="0" w:color="auto"/>
              <w:bottom w:val="single" w:sz="4" w:space="0" w:color="auto"/>
              <w:right w:val="single" w:sz="4" w:space="0" w:color="auto"/>
            </w:tcBorders>
            <w:vAlign w:val="center"/>
            <w:hideMark/>
          </w:tcPr>
          <w:p w14:paraId="6F0F71FC" w14:textId="18BBF8A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Expanded market access becomes more plausible under mid</w:t>
            </w:r>
            <w:r w:rsidR="008250EB">
              <w:rPr>
                <w:rFonts w:ascii="Times New Roman" w:hAnsi="Times New Roman" w:cs="Times New Roman"/>
                <w:color w:val="000000"/>
              </w:rPr>
              <w:t>dle</w:t>
            </w:r>
            <w:r w:rsidRPr="00A05B06">
              <w:rPr>
                <w:rFonts w:ascii="Times New Roman" w:hAnsi="Times New Roman" w:cs="Times New Roman"/>
                <w:color w:val="000000"/>
              </w:rPr>
              <w:t>/high adoption assumptions.</w:t>
            </w:r>
          </w:p>
        </w:tc>
      </w:tr>
      <w:tr w:rsidR="00A05B06" w:rsidRPr="004E3599" w14:paraId="5A2CAA9C" w14:textId="77777777" w:rsidTr="00A05B06">
        <w:trPr>
          <w:trHeight w:val="1790"/>
        </w:trPr>
        <w:tc>
          <w:tcPr>
            <w:tcW w:w="715" w:type="dxa"/>
            <w:hideMark/>
          </w:tcPr>
          <w:p w14:paraId="6EEDDDED"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2029</w:t>
            </w:r>
          </w:p>
        </w:tc>
        <w:tc>
          <w:tcPr>
            <w:tcW w:w="1080" w:type="dxa"/>
            <w:tcBorders>
              <w:top w:val="single" w:sz="4" w:space="0" w:color="auto"/>
              <w:left w:val="nil"/>
              <w:bottom w:val="single" w:sz="4" w:space="0" w:color="auto"/>
              <w:right w:val="single" w:sz="4" w:space="0" w:color="auto"/>
            </w:tcBorders>
            <w:hideMark/>
          </w:tcPr>
          <w:p w14:paraId="3667AF68" w14:textId="5D65505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0.12</w:t>
            </w:r>
          </w:p>
        </w:tc>
        <w:tc>
          <w:tcPr>
            <w:tcW w:w="1170" w:type="dxa"/>
            <w:tcBorders>
              <w:top w:val="single" w:sz="4" w:space="0" w:color="auto"/>
              <w:left w:val="single" w:sz="4" w:space="0" w:color="auto"/>
              <w:bottom w:val="single" w:sz="4" w:space="0" w:color="auto"/>
              <w:right w:val="single" w:sz="4" w:space="0" w:color="auto"/>
            </w:tcBorders>
            <w:hideMark/>
          </w:tcPr>
          <w:p w14:paraId="42C0E83F" w14:textId="0DAA712B"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0.3</w:t>
            </w:r>
          </w:p>
        </w:tc>
        <w:tc>
          <w:tcPr>
            <w:tcW w:w="1080" w:type="dxa"/>
            <w:tcBorders>
              <w:top w:val="single" w:sz="4" w:space="0" w:color="auto"/>
              <w:left w:val="single" w:sz="4" w:space="0" w:color="auto"/>
              <w:bottom w:val="single" w:sz="4" w:space="0" w:color="auto"/>
              <w:right w:val="single" w:sz="4" w:space="0" w:color="auto"/>
            </w:tcBorders>
            <w:hideMark/>
          </w:tcPr>
          <w:p w14:paraId="7D9A8CF4" w14:textId="2A54FD2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0.2</w:t>
            </w:r>
          </w:p>
        </w:tc>
        <w:tc>
          <w:tcPr>
            <w:tcW w:w="1080" w:type="dxa"/>
            <w:tcBorders>
              <w:top w:val="single" w:sz="4" w:space="0" w:color="auto"/>
              <w:left w:val="single" w:sz="4" w:space="0" w:color="auto"/>
              <w:bottom w:val="single" w:sz="4" w:space="0" w:color="auto"/>
              <w:right w:val="single" w:sz="4" w:space="0" w:color="auto"/>
            </w:tcBorders>
            <w:hideMark/>
          </w:tcPr>
          <w:p w14:paraId="2D1E6534" w14:textId="61047C85"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0.5</w:t>
            </w:r>
          </w:p>
        </w:tc>
        <w:tc>
          <w:tcPr>
            <w:tcW w:w="1080" w:type="dxa"/>
            <w:tcBorders>
              <w:top w:val="single" w:sz="4" w:space="0" w:color="auto"/>
              <w:left w:val="single" w:sz="4" w:space="0" w:color="auto"/>
              <w:bottom w:val="single" w:sz="4" w:space="0" w:color="auto"/>
              <w:right w:val="single" w:sz="4" w:space="0" w:color="auto"/>
            </w:tcBorders>
            <w:hideMark/>
          </w:tcPr>
          <w:p w14:paraId="021D3969" w14:textId="57408BB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0.29</w:t>
            </w:r>
          </w:p>
        </w:tc>
        <w:tc>
          <w:tcPr>
            <w:tcW w:w="1170" w:type="dxa"/>
            <w:tcBorders>
              <w:top w:val="single" w:sz="4" w:space="0" w:color="auto"/>
              <w:left w:val="single" w:sz="4" w:space="0" w:color="auto"/>
              <w:bottom w:val="single" w:sz="4" w:space="0" w:color="auto"/>
              <w:right w:val="single" w:sz="4" w:space="0" w:color="auto"/>
            </w:tcBorders>
            <w:hideMark/>
          </w:tcPr>
          <w:p w14:paraId="3630297E" w14:textId="5E03AFD9"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0.7</w:t>
            </w:r>
          </w:p>
        </w:tc>
        <w:tc>
          <w:tcPr>
            <w:tcW w:w="1975" w:type="dxa"/>
            <w:tcBorders>
              <w:top w:val="single" w:sz="4" w:space="0" w:color="auto"/>
              <w:left w:val="single" w:sz="4" w:space="0" w:color="auto"/>
              <w:bottom w:val="single" w:sz="4" w:space="0" w:color="auto"/>
              <w:right w:val="single" w:sz="4" w:space="0" w:color="auto"/>
            </w:tcBorders>
            <w:vAlign w:val="center"/>
            <w:hideMark/>
          </w:tcPr>
          <w:p w14:paraId="70B49107" w14:textId="501A8BC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High adoption reflects stronger commercial diffusion and payer uptake; low remains gradual.</w:t>
            </w:r>
          </w:p>
        </w:tc>
      </w:tr>
      <w:tr w:rsidR="00A05B06" w:rsidRPr="004E3599" w14:paraId="2B073F9C" w14:textId="77777777" w:rsidTr="00A05B06">
        <w:trPr>
          <w:trHeight w:val="1430"/>
        </w:trPr>
        <w:tc>
          <w:tcPr>
            <w:tcW w:w="715" w:type="dxa"/>
            <w:hideMark/>
          </w:tcPr>
          <w:p w14:paraId="7E9A0041" w14:textId="7777777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2030</w:t>
            </w:r>
          </w:p>
        </w:tc>
        <w:tc>
          <w:tcPr>
            <w:tcW w:w="1080" w:type="dxa"/>
            <w:tcBorders>
              <w:top w:val="single" w:sz="4" w:space="0" w:color="auto"/>
              <w:left w:val="nil"/>
              <w:bottom w:val="single" w:sz="4" w:space="0" w:color="auto"/>
              <w:right w:val="single" w:sz="4" w:space="0" w:color="auto"/>
            </w:tcBorders>
            <w:hideMark/>
          </w:tcPr>
          <w:p w14:paraId="7508B8CB" w14:textId="5C01599E"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0.15</w:t>
            </w:r>
          </w:p>
        </w:tc>
        <w:tc>
          <w:tcPr>
            <w:tcW w:w="1170" w:type="dxa"/>
            <w:tcBorders>
              <w:top w:val="single" w:sz="4" w:space="0" w:color="auto"/>
              <w:left w:val="single" w:sz="4" w:space="0" w:color="auto"/>
              <w:bottom w:val="single" w:sz="4" w:space="0" w:color="auto"/>
              <w:right w:val="single" w:sz="4" w:space="0" w:color="auto"/>
            </w:tcBorders>
            <w:hideMark/>
          </w:tcPr>
          <w:p w14:paraId="6AA63543" w14:textId="07F7AD04"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0.35</w:t>
            </w:r>
          </w:p>
        </w:tc>
        <w:tc>
          <w:tcPr>
            <w:tcW w:w="1080" w:type="dxa"/>
            <w:tcBorders>
              <w:top w:val="single" w:sz="4" w:space="0" w:color="auto"/>
              <w:left w:val="single" w:sz="4" w:space="0" w:color="auto"/>
              <w:bottom w:val="single" w:sz="4" w:space="0" w:color="auto"/>
              <w:right w:val="single" w:sz="4" w:space="0" w:color="auto"/>
            </w:tcBorders>
            <w:hideMark/>
          </w:tcPr>
          <w:p w14:paraId="05562C60" w14:textId="15B9A171"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0.25</w:t>
            </w:r>
          </w:p>
        </w:tc>
        <w:tc>
          <w:tcPr>
            <w:tcW w:w="1080" w:type="dxa"/>
            <w:tcBorders>
              <w:top w:val="single" w:sz="4" w:space="0" w:color="auto"/>
              <w:left w:val="single" w:sz="4" w:space="0" w:color="auto"/>
              <w:bottom w:val="single" w:sz="4" w:space="0" w:color="auto"/>
              <w:right w:val="single" w:sz="4" w:space="0" w:color="auto"/>
            </w:tcBorders>
            <w:hideMark/>
          </w:tcPr>
          <w:p w14:paraId="55F11AF7" w14:textId="13B5B96B"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0.6</w:t>
            </w:r>
          </w:p>
        </w:tc>
        <w:tc>
          <w:tcPr>
            <w:tcW w:w="1080" w:type="dxa"/>
            <w:tcBorders>
              <w:top w:val="single" w:sz="4" w:space="0" w:color="auto"/>
              <w:left w:val="single" w:sz="4" w:space="0" w:color="auto"/>
              <w:bottom w:val="single" w:sz="4" w:space="0" w:color="auto"/>
              <w:right w:val="single" w:sz="4" w:space="0" w:color="auto"/>
            </w:tcBorders>
            <w:hideMark/>
          </w:tcPr>
          <w:p w14:paraId="1DA4697F" w14:textId="62F7D207"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0.36</w:t>
            </w:r>
          </w:p>
        </w:tc>
        <w:tc>
          <w:tcPr>
            <w:tcW w:w="1170" w:type="dxa"/>
            <w:tcBorders>
              <w:top w:val="single" w:sz="4" w:space="0" w:color="auto"/>
              <w:left w:val="single" w:sz="4" w:space="0" w:color="auto"/>
              <w:bottom w:val="single" w:sz="4" w:space="0" w:color="auto"/>
              <w:right w:val="single" w:sz="4" w:space="0" w:color="auto"/>
            </w:tcBorders>
            <w:hideMark/>
          </w:tcPr>
          <w:p w14:paraId="476FF8F7" w14:textId="5AE3AF00"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0.85</w:t>
            </w:r>
          </w:p>
        </w:tc>
        <w:tc>
          <w:tcPr>
            <w:tcW w:w="1975" w:type="dxa"/>
            <w:tcBorders>
              <w:top w:val="single" w:sz="4" w:space="0" w:color="auto"/>
              <w:left w:val="single" w:sz="4" w:space="0" w:color="auto"/>
              <w:bottom w:val="single" w:sz="4" w:space="0" w:color="auto"/>
              <w:right w:val="single" w:sz="4" w:space="0" w:color="auto"/>
            </w:tcBorders>
            <w:vAlign w:val="center"/>
            <w:hideMark/>
          </w:tcPr>
          <w:p w14:paraId="2DAEEEAD" w14:textId="6004C33F" w:rsidR="00A05B06" w:rsidRPr="00A05B06" w:rsidRDefault="00A05B06" w:rsidP="00A05B06">
            <w:pPr>
              <w:spacing w:line="240" w:lineRule="auto"/>
              <w:rPr>
                <w:rFonts w:ascii="Times New Roman" w:eastAsia="Times New Roman" w:hAnsi="Times New Roman" w:cs="Times New Roman"/>
                <w:color w:val="000000"/>
                <w:kern w:val="0"/>
                <w14:ligatures w14:val="none"/>
              </w:rPr>
            </w:pPr>
            <w:r w:rsidRPr="00A05B06">
              <w:rPr>
                <w:rFonts w:ascii="Times New Roman" w:hAnsi="Times New Roman" w:cs="Times New Roman"/>
                <w:color w:val="000000"/>
              </w:rPr>
              <w:t>Mature but coverage-sensitive market; adoption depends heavily on affordability and reimbursement breadth.</w:t>
            </w:r>
          </w:p>
        </w:tc>
      </w:tr>
    </w:tbl>
    <w:p w14:paraId="591665D3" w14:textId="77777777" w:rsidR="00A05B06" w:rsidRDefault="00A05B06" w:rsidP="00A75A10">
      <w:pPr>
        <w:spacing w:before="120" w:line="480" w:lineRule="auto"/>
        <w:rPr>
          <w:rFonts w:ascii="Times New Roman" w:hAnsi="Times New Roman" w:cs="Times New Roman"/>
        </w:rPr>
      </w:pPr>
    </w:p>
    <w:tbl>
      <w:tblPr>
        <w:tblStyle w:val="TableGrid"/>
        <w:tblW w:w="0" w:type="auto"/>
        <w:tblInd w:w="0" w:type="dxa"/>
        <w:tblLayout w:type="fixed"/>
        <w:tblLook w:val="04A0" w:firstRow="1" w:lastRow="0" w:firstColumn="1" w:lastColumn="0" w:noHBand="0" w:noVBand="1"/>
      </w:tblPr>
      <w:tblGrid>
        <w:gridCol w:w="715"/>
        <w:gridCol w:w="1080"/>
        <w:gridCol w:w="1170"/>
        <w:gridCol w:w="1080"/>
        <w:gridCol w:w="1080"/>
        <w:gridCol w:w="1080"/>
        <w:gridCol w:w="1170"/>
        <w:gridCol w:w="1975"/>
      </w:tblGrid>
      <w:tr w:rsidR="00F5702A" w:rsidRPr="004E3599" w14:paraId="542EAE62" w14:textId="77777777" w:rsidTr="00783644">
        <w:tc>
          <w:tcPr>
            <w:tcW w:w="9350" w:type="dxa"/>
            <w:gridSpan w:val="8"/>
          </w:tcPr>
          <w:p w14:paraId="32D5EE96" w14:textId="39AD1127" w:rsidR="00F5702A" w:rsidRPr="0062738A" w:rsidRDefault="00F5702A" w:rsidP="00783644">
            <w:pPr>
              <w:spacing w:before="120" w:line="480" w:lineRule="auto"/>
              <w:rPr>
                <w:rFonts w:ascii="Times New Roman" w:hAnsi="Times New Roman" w:cs="Times New Roman"/>
                <w:b/>
                <w:bCs/>
              </w:rPr>
            </w:pPr>
            <w:r w:rsidRPr="0062738A">
              <w:rPr>
                <w:rFonts w:ascii="Times New Roman" w:hAnsi="Times New Roman" w:cs="Times New Roman"/>
                <w:b/>
                <w:bCs/>
              </w:rPr>
              <w:t xml:space="preserve">Table </w:t>
            </w:r>
            <w:r w:rsidR="00AF54C0">
              <w:rPr>
                <w:rFonts w:ascii="Times New Roman" w:hAnsi="Times New Roman" w:cs="Times New Roman"/>
                <w:b/>
                <w:bCs/>
              </w:rPr>
              <w:t>S</w:t>
            </w:r>
            <w:r w:rsidR="00AB192C">
              <w:rPr>
                <w:rFonts w:ascii="Times New Roman" w:hAnsi="Times New Roman" w:cs="Times New Roman"/>
                <w:b/>
                <w:bCs/>
              </w:rPr>
              <w:t>10</w:t>
            </w:r>
            <w:r w:rsidRPr="0062738A">
              <w:rPr>
                <w:rFonts w:ascii="Times New Roman" w:hAnsi="Times New Roman" w:cs="Times New Roman"/>
                <w:b/>
                <w:bCs/>
              </w:rPr>
              <w:t>. Market Effort Variables Design for Mexico</w:t>
            </w:r>
          </w:p>
        </w:tc>
      </w:tr>
      <w:tr w:rsidR="00F5702A" w:rsidRPr="004E3599" w14:paraId="02931555" w14:textId="77777777" w:rsidTr="00783644">
        <w:trPr>
          <w:trHeight w:val="341"/>
        </w:trPr>
        <w:tc>
          <w:tcPr>
            <w:tcW w:w="715" w:type="dxa"/>
            <w:hideMark/>
          </w:tcPr>
          <w:p w14:paraId="1DE4C0CB" w14:textId="77777777" w:rsidR="00F5702A" w:rsidRPr="00A05B06" w:rsidRDefault="00F5702A" w:rsidP="00783644">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Year</w:t>
            </w:r>
          </w:p>
        </w:tc>
        <w:tc>
          <w:tcPr>
            <w:tcW w:w="1080" w:type="dxa"/>
            <w:tcBorders>
              <w:bottom w:val="single" w:sz="4" w:space="0" w:color="auto"/>
            </w:tcBorders>
            <w:hideMark/>
          </w:tcPr>
          <w:p w14:paraId="6BC4E164" w14:textId="77777777" w:rsidR="00F5702A" w:rsidRPr="00A05B06" w:rsidRDefault="00F5702A" w:rsidP="00783644">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Low AF</w:t>
            </w:r>
          </w:p>
        </w:tc>
        <w:tc>
          <w:tcPr>
            <w:tcW w:w="1170" w:type="dxa"/>
            <w:tcBorders>
              <w:bottom w:val="single" w:sz="4" w:space="0" w:color="auto"/>
            </w:tcBorders>
            <w:hideMark/>
          </w:tcPr>
          <w:p w14:paraId="7B07BBA0" w14:textId="77777777" w:rsidR="00F5702A" w:rsidRPr="00A05B06" w:rsidRDefault="00F5702A" w:rsidP="00783644">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Low AW</w:t>
            </w:r>
          </w:p>
        </w:tc>
        <w:tc>
          <w:tcPr>
            <w:tcW w:w="1080" w:type="dxa"/>
            <w:tcBorders>
              <w:bottom w:val="single" w:sz="4" w:space="0" w:color="auto"/>
            </w:tcBorders>
            <w:hideMark/>
          </w:tcPr>
          <w:p w14:paraId="72B5E487" w14:textId="77777777" w:rsidR="00F5702A" w:rsidRPr="00A05B06" w:rsidRDefault="00F5702A" w:rsidP="00783644">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Mid AF</w:t>
            </w:r>
          </w:p>
        </w:tc>
        <w:tc>
          <w:tcPr>
            <w:tcW w:w="1080" w:type="dxa"/>
            <w:tcBorders>
              <w:bottom w:val="single" w:sz="4" w:space="0" w:color="auto"/>
            </w:tcBorders>
            <w:hideMark/>
          </w:tcPr>
          <w:p w14:paraId="470D158A" w14:textId="77777777" w:rsidR="00F5702A" w:rsidRPr="00A05B06" w:rsidRDefault="00F5702A" w:rsidP="00783644">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Mid AW</w:t>
            </w:r>
          </w:p>
        </w:tc>
        <w:tc>
          <w:tcPr>
            <w:tcW w:w="1080" w:type="dxa"/>
            <w:tcBorders>
              <w:bottom w:val="single" w:sz="4" w:space="0" w:color="auto"/>
            </w:tcBorders>
            <w:hideMark/>
          </w:tcPr>
          <w:p w14:paraId="5C002AC5" w14:textId="77777777" w:rsidR="00F5702A" w:rsidRPr="00A05B06" w:rsidRDefault="00F5702A" w:rsidP="00783644">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High AF</w:t>
            </w:r>
          </w:p>
        </w:tc>
        <w:tc>
          <w:tcPr>
            <w:tcW w:w="1170" w:type="dxa"/>
            <w:tcBorders>
              <w:bottom w:val="single" w:sz="4" w:space="0" w:color="auto"/>
            </w:tcBorders>
            <w:hideMark/>
          </w:tcPr>
          <w:p w14:paraId="0D75A707" w14:textId="77777777" w:rsidR="00F5702A" w:rsidRPr="00A05B06" w:rsidRDefault="00F5702A" w:rsidP="00783644">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High AW</w:t>
            </w:r>
          </w:p>
        </w:tc>
        <w:tc>
          <w:tcPr>
            <w:tcW w:w="1975" w:type="dxa"/>
            <w:tcBorders>
              <w:bottom w:val="single" w:sz="4" w:space="0" w:color="auto"/>
            </w:tcBorders>
            <w:hideMark/>
          </w:tcPr>
          <w:p w14:paraId="75957AC0" w14:textId="77777777" w:rsidR="00F5702A" w:rsidRPr="00A05B06" w:rsidRDefault="00F5702A" w:rsidP="00783644">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Interpretation</w:t>
            </w:r>
          </w:p>
        </w:tc>
      </w:tr>
      <w:tr w:rsidR="002F087C" w:rsidRPr="004E3599" w14:paraId="4B7B6198" w14:textId="77777777" w:rsidTr="002F087C">
        <w:trPr>
          <w:trHeight w:val="1430"/>
        </w:trPr>
        <w:tc>
          <w:tcPr>
            <w:tcW w:w="715" w:type="dxa"/>
            <w:hideMark/>
          </w:tcPr>
          <w:p w14:paraId="5FA621D6"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2015</w:t>
            </w:r>
          </w:p>
        </w:tc>
        <w:tc>
          <w:tcPr>
            <w:tcW w:w="1080" w:type="dxa"/>
            <w:tcBorders>
              <w:top w:val="single" w:sz="4" w:space="0" w:color="auto"/>
              <w:left w:val="nil"/>
              <w:bottom w:val="single" w:sz="4" w:space="0" w:color="auto"/>
              <w:right w:val="single" w:sz="4" w:space="0" w:color="auto"/>
            </w:tcBorders>
            <w:hideMark/>
          </w:tcPr>
          <w:p w14:paraId="036D0549" w14:textId="5217FFB5"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0.012</w:t>
            </w:r>
          </w:p>
        </w:tc>
        <w:tc>
          <w:tcPr>
            <w:tcW w:w="1170" w:type="dxa"/>
            <w:tcBorders>
              <w:top w:val="single" w:sz="4" w:space="0" w:color="auto"/>
              <w:left w:val="single" w:sz="4" w:space="0" w:color="auto"/>
              <w:bottom w:val="single" w:sz="4" w:space="0" w:color="auto"/>
              <w:right w:val="single" w:sz="4" w:space="0" w:color="auto"/>
            </w:tcBorders>
            <w:hideMark/>
          </w:tcPr>
          <w:p w14:paraId="08707347" w14:textId="533DD5F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0.006</w:t>
            </w:r>
          </w:p>
        </w:tc>
        <w:tc>
          <w:tcPr>
            <w:tcW w:w="1080" w:type="dxa"/>
            <w:tcBorders>
              <w:top w:val="single" w:sz="4" w:space="0" w:color="auto"/>
              <w:left w:val="single" w:sz="4" w:space="0" w:color="auto"/>
              <w:bottom w:val="single" w:sz="4" w:space="0" w:color="auto"/>
              <w:right w:val="single" w:sz="4" w:space="0" w:color="auto"/>
            </w:tcBorders>
            <w:hideMark/>
          </w:tcPr>
          <w:p w14:paraId="5D030F48" w14:textId="4B186F8B"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0.012</w:t>
            </w:r>
          </w:p>
        </w:tc>
        <w:tc>
          <w:tcPr>
            <w:tcW w:w="1080" w:type="dxa"/>
            <w:tcBorders>
              <w:top w:val="single" w:sz="4" w:space="0" w:color="auto"/>
              <w:left w:val="single" w:sz="4" w:space="0" w:color="auto"/>
              <w:bottom w:val="single" w:sz="4" w:space="0" w:color="auto"/>
              <w:right w:val="single" w:sz="4" w:space="0" w:color="auto"/>
            </w:tcBorders>
            <w:hideMark/>
          </w:tcPr>
          <w:p w14:paraId="596E289A" w14:textId="4A5FAE7A"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0.006</w:t>
            </w:r>
          </w:p>
        </w:tc>
        <w:tc>
          <w:tcPr>
            <w:tcW w:w="1080" w:type="dxa"/>
            <w:tcBorders>
              <w:top w:val="single" w:sz="4" w:space="0" w:color="auto"/>
              <w:left w:val="single" w:sz="4" w:space="0" w:color="auto"/>
              <w:bottom w:val="single" w:sz="4" w:space="0" w:color="auto"/>
              <w:right w:val="single" w:sz="4" w:space="0" w:color="auto"/>
            </w:tcBorders>
            <w:hideMark/>
          </w:tcPr>
          <w:p w14:paraId="721887EA" w14:textId="723449D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0.012</w:t>
            </w:r>
          </w:p>
        </w:tc>
        <w:tc>
          <w:tcPr>
            <w:tcW w:w="1170" w:type="dxa"/>
            <w:tcBorders>
              <w:top w:val="single" w:sz="4" w:space="0" w:color="auto"/>
              <w:left w:val="single" w:sz="4" w:space="0" w:color="auto"/>
              <w:bottom w:val="single" w:sz="4" w:space="0" w:color="auto"/>
              <w:right w:val="single" w:sz="4" w:space="0" w:color="auto"/>
            </w:tcBorders>
            <w:hideMark/>
          </w:tcPr>
          <w:p w14:paraId="32231265" w14:textId="640BF60F"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0.006</w:t>
            </w:r>
          </w:p>
        </w:tc>
        <w:tc>
          <w:tcPr>
            <w:tcW w:w="1975" w:type="dxa"/>
            <w:tcBorders>
              <w:top w:val="single" w:sz="4" w:space="0" w:color="auto"/>
              <w:left w:val="single" w:sz="4" w:space="0" w:color="auto"/>
              <w:bottom w:val="single" w:sz="4" w:space="0" w:color="auto"/>
              <w:right w:val="single" w:sz="4" w:space="0" w:color="auto"/>
            </w:tcBorders>
            <w:hideMark/>
          </w:tcPr>
          <w:p w14:paraId="0685863C" w14:textId="1D93524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Very early GLP-1 environment; use mainly diabetes-oriented and awareness minimal.</w:t>
            </w:r>
          </w:p>
        </w:tc>
      </w:tr>
      <w:tr w:rsidR="002F087C" w:rsidRPr="004E3599" w14:paraId="0C736F81" w14:textId="77777777" w:rsidTr="002F087C">
        <w:trPr>
          <w:trHeight w:val="890"/>
        </w:trPr>
        <w:tc>
          <w:tcPr>
            <w:tcW w:w="715" w:type="dxa"/>
            <w:hideMark/>
          </w:tcPr>
          <w:p w14:paraId="575BEE17"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2016</w:t>
            </w:r>
          </w:p>
        </w:tc>
        <w:tc>
          <w:tcPr>
            <w:tcW w:w="1080" w:type="dxa"/>
            <w:tcBorders>
              <w:top w:val="single" w:sz="4" w:space="0" w:color="auto"/>
              <w:left w:val="nil"/>
              <w:bottom w:val="single" w:sz="4" w:space="0" w:color="auto"/>
              <w:right w:val="single" w:sz="4" w:space="0" w:color="auto"/>
            </w:tcBorders>
            <w:hideMark/>
          </w:tcPr>
          <w:p w14:paraId="7CC9DB71" w14:textId="1F89BD4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0.0125</w:t>
            </w:r>
          </w:p>
        </w:tc>
        <w:tc>
          <w:tcPr>
            <w:tcW w:w="1170" w:type="dxa"/>
            <w:tcBorders>
              <w:top w:val="single" w:sz="4" w:space="0" w:color="auto"/>
              <w:left w:val="single" w:sz="4" w:space="0" w:color="auto"/>
              <w:bottom w:val="single" w:sz="4" w:space="0" w:color="auto"/>
              <w:right w:val="single" w:sz="4" w:space="0" w:color="auto"/>
            </w:tcBorders>
            <w:hideMark/>
          </w:tcPr>
          <w:p w14:paraId="66F47E40" w14:textId="06714FDF"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0.0065</w:t>
            </w:r>
          </w:p>
        </w:tc>
        <w:tc>
          <w:tcPr>
            <w:tcW w:w="1080" w:type="dxa"/>
            <w:tcBorders>
              <w:top w:val="single" w:sz="4" w:space="0" w:color="auto"/>
              <w:left w:val="single" w:sz="4" w:space="0" w:color="auto"/>
              <w:bottom w:val="single" w:sz="4" w:space="0" w:color="auto"/>
              <w:right w:val="single" w:sz="4" w:space="0" w:color="auto"/>
            </w:tcBorders>
            <w:hideMark/>
          </w:tcPr>
          <w:p w14:paraId="4C9C555C" w14:textId="79653F2B"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0.0125</w:t>
            </w:r>
          </w:p>
        </w:tc>
        <w:tc>
          <w:tcPr>
            <w:tcW w:w="1080" w:type="dxa"/>
            <w:tcBorders>
              <w:top w:val="single" w:sz="4" w:space="0" w:color="auto"/>
              <w:left w:val="single" w:sz="4" w:space="0" w:color="auto"/>
              <w:bottom w:val="single" w:sz="4" w:space="0" w:color="auto"/>
              <w:right w:val="single" w:sz="4" w:space="0" w:color="auto"/>
            </w:tcBorders>
            <w:hideMark/>
          </w:tcPr>
          <w:p w14:paraId="24838AC8" w14:textId="655FF042"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0.0065</w:t>
            </w:r>
          </w:p>
        </w:tc>
        <w:tc>
          <w:tcPr>
            <w:tcW w:w="1080" w:type="dxa"/>
            <w:tcBorders>
              <w:top w:val="single" w:sz="4" w:space="0" w:color="auto"/>
              <w:left w:val="single" w:sz="4" w:space="0" w:color="auto"/>
              <w:bottom w:val="single" w:sz="4" w:space="0" w:color="auto"/>
              <w:right w:val="single" w:sz="4" w:space="0" w:color="auto"/>
            </w:tcBorders>
            <w:hideMark/>
          </w:tcPr>
          <w:p w14:paraId="656FE4C2" w14:textId="53362C1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0.0125</w:t>
            </w:r>
          </w:p>
        </w:tc>
        <w:tc>
          <w:tcPr>
            <w:tcW w:w="1170" w:type="dxa"/>
            <w:tcBorders>
              <w:top w:val="single" w:sz="4" w:space="0" w:color="auto"/>
              <w:left w:val="single" w:sz="4" w:space="0" w:color="auto"/>
              <w:bottom w:val="single" w:sz="4" w:space="0" w:color="auto"/>
              <w:right w:val="single" w:sz="4" w:space="0" w:color="auto"/>
            </w:tcBorders>
            <w:hideMark/>
          </w:tcPr>
          <w:p w14:paraId="10A7D8F8" w14:textId="12D9A4B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0.0065</w:t>
            </w:r>
          </w:p>
        </w:tc>
        <w:tc>
          <w:tcPr>
            <w:tcW w:w="1975" w:type="dxa"/>
            <w:tcBorders>
              <w:top w:val="single" w:sz="4" w:space="0" w:color="auto"/>
              <w:left w:val="single" w:sz="4" w:space="0" w:color="auto"/>
              <w:bottom w:val="single" w:sz="4" w:space="0" w:color="auto"/>
              <w:right w:val="single" w:sz="4" w:space="0" w:color="auto"/>
            </w:tcBorders>
            <w:hideMark/>
          </w:tcPr>
          <w:p w14:paraId="123B6A8D" w14:textId="51079D6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Limited prescribing familiarity; affordability remains highly restrictive.</w:t>
            </w:r>
          </w:p>
        </w:tc>
      </w:tr>
      <w:tr w:rsidR="002F087C" w:rsidRPr="004E3599" w14:paraId="360F3350" w14:textId="77777777" w:rsidTr="002F087C">
        <w:trPr>
          <w:trHeight w:val="1160"/>
        </w:trPr>
        <w:tc>
          <w:tcPr>
            <w:tcW w:w="715" w:type="dxa"/>
            <w:hideMark/>
          </w:tcPr>
          <w:p w14:paraId="438957E4"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2017</w:t>
            </w:r>
          </w:p>
        </w:tc>
        <w:tc>
          <w:tcPr>
            <w:tcW w:w="1080" w:type="dxa"/>
            <w:tcBorders>
              <w:top w:val="single" w:sz="4" w:space="0" w:color="auto"/>
              <w:left w:val="nil"/>
              <w:bottom w:val="single" w:sz="4" w:space="0" w:color="auto"/>
              <w:right w:val="single" w:sz="4" w:space="0" w:color="auto"/>
            </w:tcBorders>
            <w:hideMark/>
          </w:tcPr>
          <w:p w14:paraId="06FDB03B" w14:textId="10AD7CB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0.013</w:t>
            </w:r>
          </w:p>
        </w:tc>
        <w:tc>
          <w:tcPr>
            <w:tcW w:w="1170" w:type="dxa"/>
            <w:tcBorders>
              <w:top w:val="single" w:sz="4" w:space="0" w:color="auto"/>
              <w:left w:val="single" w:sz="4" w:space="0" w:color="auto"/>
              <w:bottom w:val="single" w:sz="4" w:space="0" w:color="auto"/>
              <w:right w:val="single" w:sz="4" w:space="0" w:color="auto"/>
            </w:tcBorders>
            <w:hideMark/>
          </w:tcPr>
          <w:p w14:paraId="4D5E7836" w14:textId="22CA1202"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0.007</w:t>
            </w:r>
          </w:p>
        </w:tc>
        <w:tc>
          <w:tcPr>
            <w:tcW w:w="1080" w:type="dxa"/>
            <w:tcBorders>
              <w:top w:val="single" w:sz="4" w:space="0" w:color="auto"/>
              <w:left w:val="single" w:sz="4" w:space="0" w:color="auto"/>
              <w:bottom w:val="single" w:sz="4" w:space="0" w:color="auto"/>
              <w:right w:val="single" w:sz="4" w:space="0" w:color="auto"/>
            </w:tcBorders>
            <w:hideMark/>
          </w:tcPr>
          <w:p w14:paraId="3C3692F9" w14:textId="4D18838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0.013</w:t>
            </w:r>
          </w:p>
        </w:tc>
        <w:tc>
          <w:tcPr>
            <w:tcW w:w="1080" w:type="dxa"/>
            <w:tcBorders>
              <w:top w:val="single" w:sz="4" w:space="0" w:color="auto"/>
              <w:left w:val="single" w:sz="4" w:space="0" w:color="auto"/>
              <w:bottom w:val="single" w:sz="4" w:space="0" w:color="auto"/>
              <w:right w:val="single" w:sz="4" w:space="0" w:color="auto"/>
            </w:tcBorders>
            <w:hideMark/>
          </w:tcPr>
          <w:p w14:paraId="14B12EC1" w14:textId="45F708FE"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0.007</w:t>
            </w:r>
          </w:p>
        </w:tc>
        <w:tc>
          <w:tcPr>
            <w:tcW w:w="1080" w:type="dxa"/>
            <w:tcBorders>
              <w:top w:val="single" w:sz="4" w:space="0" w:color="auto"/>
              <w:left w:val="single" w:sz="4" w:space="0" w:color="auto"/>
              <w:bottom w:val="single" w:sz="4" w:space="0" w:color="auto"/>
              <w:right w:val="single" w:sz="4" w:space="0" w:color="auto"/>
            </w:tcBorders>
            <w:hideMark/>
          </w:tcPr>
          <w:p w14:paraId="6C5B62D9" w14:textId="55BBB697"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0.013</w:t>
            </w:r>
          </w:p>
        </w:tc>
        <w:tc>
          <w:tcPr>
            <w:tcW w:w="1170" w:type="dxa"/>
            <w:tcBorders>
              <w:top w:val="single" w:sz="4" w:space="0" w:color="auto"/>
              <w:left w:val="single" w:sz="4" w:space="0" w:color="auto"/>
              <w:bottom w:val="single" w:sz="4" w:space="0" w:color="auto"/>
              <w:right w:val="single" w:sz="4" w:space="0" w:color="auto"/>
            </w:tcBorders>
            <w:hideMark/>
          </w:tcPr>
          <w:p w14:paraId="08EC1CA4" w14:textId="6D22BC9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0.007</w:t>
            </w:r>
          </w:p>
        </w:tc>
        <w:tc>
          <w:tcPr>
            <w:tcW w:w="1975" w:type="dxa"/>
            <w:tcBorders>
              <w:top w:val="single" w:sz="4" w:space="0" w:color="auto"/>
              <w:left w:val="single" w:sz="4" w:space="0" w:color="auto"/>
              <w:bottom w:val="single" w:sz="4" w:space="0" w:color="auto"/>
              <w:right w:val="single" w:sz="4" w:space="0" w:color="auto"/>
            </w:tcBorders>
            <w:hideMark/>
          </w:tcPr>
          <w:p w14:paraId="65137227" w14:textId="633B9F6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Slow private-clinic learning; weight-management use remains very niche.</w:t>
            </w:r>
          </w:p>
        </w:tc>
      </w:tr>
      <w:tr w:rsidR="002F087C" w:rsidRPr="004E3599" w14:paraId="106DC7B2" w14:textId="77777777" w:rsidTr="002F087C">
        <w:trPr>
          <w:trHeight w:val="2030"/>
        </w:trPr>
        <w:tc>
          <w:tcPr>
            <w:tcW w:w="715" w:type="dxa"/>
            <w:hideMark/>
          </w:tcPr>
          <w:p w14:paraId="0030422F"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2018</w:t>
            </w:r>
          </w:p>
        </w:tc>
        <w:tc>
          <w:tcPr>
            <w:tcW w:w="1080" w:type="dxa"/>
            <w:tcBorders>
              <w:top w:val="single" w:sz="4" w:space="0" w:color="auto"/>
              <w:left w:val="nil"/>
              <w:bottom w:val="single" w:sz="4" w:space="0" w:color="auto"/>
              <w:right w:val="single" w:sz="4" w:space="0" w:color="auto"/>
            </w:tcBorders>
            <w:hideMark/>
          </w:tcPr>
          <w:p w14:paraId="5667A870" w14:textId="5AFE0C2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0.0135</w:t>
            </w:r>
          </w:p>
        </w:tc>
        <w:tc>
          <w:tcPr>
            <w:tcW w:w="1170" w:type="dxa"/>
            <w:tcBorders>
              <w:top w:val="single" w:sz="4" w:space="0" w:color="auto"/>
              <w:left w:val="single" w:sz="4" w:space="0" w:color="auto"/>
              <w:bottom w:val="single" w:sz="4" w:space="0" w:color="auto"/>
              <w:right w:val="single" w:sz="4" w:space="0" w:color="auto"/>
            </w:tcBorders>
            <w:hideMark/>
          </w:tcPr>
          <w:p w14:paraId="61B5C6B3" w14:textId="4D83192B"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0.0075</w:t>
            </w:r>
          </w:p>
        </w:tc>
        <w:tc>
          <w:tcPr>
            <w:tcW w:w="1080" w:type="dxa"/>
            <w:tcBorders>
              <w:top w:val="single" w:sz="4" w:space="0" w:color="auto"/>
              <w:left w:val="single" w:sz="4" w:space="0" w:color="auto"/>
              <w:bottom w:val="single" w:sz="4" w:space="0" w:color="auto"/>
              <w:right w:val="single" w:sz="4" w:space="0" w:color="auto"/>
            </w:tcBorders>
            <w:hideMark/>
          </w:tcPr>
          <w:p w14:paraId="1594AC7A" w14:textId="1C21CF7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0.0135</w:t>
            </w:r>
          </w:p>
        </w:tc>
        <w:tc>
          <w:tcPr>
            <w:tcW w:w="1080" w:type="dxa"/>
            <w:tcBorders>
              <w:top w:val="single" w:sz="4" w:space="0" w:color="auto"/>
              <w:left w:val="single" w:sz="4" w:space="0" w:color="auto"/>
              <w:bottom w:val="single" w:sz="4" w:space="0" w:color="auto"/>
              <w:right w:val="single" w:sz="4" w:space="0" w:color="auto"/>
            </w:tcBorders>
            <w:hideMark/>
          </w:tcPr>
          <w:p w14:paraId="03A989EF" w14:textId="0533A8A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0.0075</w:t>
            </w:r>
          </w:p>
        </w:tc>
        <w:tc>
          <w:tcPr>
            <w:tcW w:w="1080" w:type="dxa"/>
            <w:tcBorders>
              <w:top w:val="single" w:sz="4" w:space="0" w:color="auto"/>
              <w:left w:val="single" w:sz="4" w:space="0" w:color="auto"/>
              <w:bottom w:val="single" w:sz="4" w:space="0" w:color="auto"/>
              <w:right w:val="single" w:sz="4" w:space="0" w:color="auto"/>
            </w:tcBorders>
            <w:hideMark/>
          </w:tcPr>
          <w:p w14:paraId="1A1D3F7D" w14:textId="41AF69E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0.0135</w:t>
            </w:r>
          </w:p>
        </w:tc>
        <w:tc>
          <w:tcPr>
            <w:tcW w:w="1170" w:type="dxa"/>
            <w:tcBorders>
              <w:top w:val="single" w:sz="4" w:space="0" w:color="auto"/>
              <w:left w:val="single" w:sz="4" w:space="0" w:color="auto"/>
              <w:bottom w:val="single" w:sz="4" w:space="0" w:color="auto"/>
              <w:right w:val="single" w:sz="4" w:space="0" w:color="auto"/>
            </w:tcBorders>
            <w:hideMark/>
          </w:tcPr>
          <w:p w14:paraId="6F195195" w14:textId="696EAAEF"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0.0075</w:t>
            </w:r>
          </w:p>
        </w:tc>
        <w:tc>
          <w:tcPr>
            <w:tcW w:w="1975" w:type="dxa"/>
            <w:tcBorders>
              <w:top w:val="single" w:sz="4" w:space="0" w:color="auto"/>
              <w:left w:val="single" w:sz="4" w:space="0" w:color="auto"/>
              <w:bottom w:val="single" w:sz="4" w:space="0" w:color="auto"/>
              <w:right w:val="single" w:sz="4" w:space="0" w:color="auto"/>
            </w:tcBorders>
            <w:hideMark/>
          </w:tcPr>
          <w:p w14:paraId="395BC3A8" w14:textId="08BFF884"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Gradual awareness growth, but access is constrained by out-of-pocket cost.</w:t>
            </w:r>
          </w:p>
        </w:tc>
      </w:tr>
      <w:tr w:rsidR="002F087C" w:rsidRPr="004E3599" w14:paraId="77B336A9" w14:textId="77777777" w:rsidTr="002F087C">
        <w:trPr>
          <w:trHeight w:val="1250"/>
        </w:trPr>
        <w:tc>
          <w:tcPr>
            <w:tcW w:w="715" w:type="dxa"/>
            <w:hideMark/>
          </w:tcPr>
          <w:p w14:paraId="5E92ABF6"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2019</w:t>
            </w:r>
          </w:p>
        </w:tc>
        <w:tc>
          <w:tcPr>
            <w:tcW w:w="1080" w:type="dxa"/>
            <w:tcBorders>
              <w:top w:val="single" w:sz="4" w:space="0" w:color="auto"/>
              <w:left w:val="nil"/>
              <w:bottom w:val="single" w:sz="4" w:space="0" w:color="auto"/>
              <w:right w:val="single" w:sz="4" w:space="0" w:color="auto"/>
            </w:tcBorders>
            <w:hideMark/>
          </w:tcPr>
          <w:p w14:paraId="3BDBF454" w14:textId="68375D8E"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w:t>
            </w:r>
          </w:p>
        </w:tc>
        <w:tc>
          <w:tcPr>
            <w:tcW w:w="1170" w:type="dxa"/>
            <w:tcBorders>
              <w:top w:val="single" w:sz="4" w:space="0" w:color="auto"/>
              <w:left w:val="single" w:sz="4" w:space="0" w:color="auto"/>
              <w:bottom w:val="single" w:sz="4" w:space="0" w:color="auto"/>
              <w:right w:val="single" w:sz="4" w:space="0" w:color="auto"/>
            </w:tcBorders>
            <w:hideMark/>
          </w:tcPr>
          <w:p w14:paraId="00390CF1" w14:textId="1FD76EC3"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0.008</w:t>
            </w:r>
          </w:p>
        </w:tc>
        <w:tc>
          <w:tcPr>
            <w:tcW w:w="1080" w:type="dxa"/>
            <w:tcBorders>
              <w:top w:val="single" w:sz="4" w:space="0" w:color="auto"/>
              <w:left w:val="single" w:sz="4" w:space="0" w:color="auto"/>
              <w:bottom w:val="single" w:sz="4" w:space="0" w:color="auto"/>
              <w:right w:val="single" w:sz="4" w:space="0" w:color="auto"/>
            </w:tcBorders>
            <w:hideMark/>
          </w:tcPr>
          <w:p w14:paraId="27B22589" w14:textId="5086314C"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w:t>
            </w:r>
          </w:p>
        </w:tc>
        <w:tc>
          <w:tcPr>
            <w:tcW w:w="1080" w:type="dxa"/>
            <w:tcBorders>
              <w:top w:val="single" w:sz="4" w:space="0" w:color="auto"/>
              <w:left w:val="single" w:sz="4" w:space="0" w:color="auto"/>
              <w:bottom w:val="single" w:sz="4" w:space="0" w:color="auto"/>
              <w:right w:val="single" w:sz="4" w:space="0" w:color="auto"/>
            </w:tcBorders>
            <w:hideMark/>
          </w:tcPr>
          <w:p w14:paraId="7856C425" w14:textId="65729BBC"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0.008</w:t>
            </w:r>
          </w:p>
        </w:tc>
        <w:tc>
          <w:tcPr>
            <w:tcW w:w="1080" w:type="dxa"/>
            <w:tcBorders>
              <w:top w:val="single" w:sz="4" w:space="0" w:color="auto"/>
              <w:left w:val="single" w:sz="4" w:space="0" w:color="auto"/>
              <w:bottom w:val="single" w:sz="4" w:space="0" w:color="auto"/>
              <w:right w:val="single" w:sz="4" w:space="0" w:color="auto"/>
            </w:tcBorders>
            <w:hideMark/>
          </w:tcPr>
          <w:p w14:paraId="33AFC3B1" w14:textId="79648495"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w:t>
            </w:r>
          </w:p>
        </w:tc>
        <w:tc>
          <w:tcPr>
            <w:tcW w:w="1170" w:type="dxa"/>
            <w:tcBorders>
              <w:top w:val="single" w:sz="4" w:space="0" w:color="auto"/>
              <w:left w:val="single" w:sz="4" w:space="0" w:color="auto"/>
              <w:bottom w:val="single" w:sz="4" w:space="0" w:color="auto"/>
              <w:right w:val="single" w:sz="4" w:space="0" w:color="auto"/>
            </w:tcBorders>
            <w:hideMark/>
          </w:tcPr>
          <w:p w14:paraId="78F327B4" w14:textId="3312214E"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0.008</w:t>
            </w:r>
          </w:p>
        </w:tc>
        <w:tc>
          <w:tcPr>
            <w:tcW w:w="1975" w:type="dxa"/>
            <w:tcBorders>
              <w:top w:val="single" w:sz="4" w:space="0" w:color="auto"/>
              <w:left w:val="single" w:sz="4" w:space="0" w:color="auto"/>
              <w:bottom w:val="single" w:sz="4" w:space="0" w:color="auto"/>
              <w:right w:val="single" w:sz="4" w:space="0" w:color="auto"/>
            </w:tcBorders>
            <w:hideMark/>
          </w:tcPr>
          <w:p w14:paraId="23470C65" w14:textId="2FE2143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Small urban/private-sector diffusion; national market effort remains weak.</w:t>
            </w:r>
          </w:p>
        </w:tc>
      </w:tr>
      <w:tr w:rsidR="002F087C" w:rsidRPr="004E3599" w14:paraId="5F23A20B" w14:textId="77777777" w:rsidTr="002F087C">
        <w:trPr>
          <w:trHeight w:val="1070"/>
        </w:trPr>
        <w:tc>
          <w:tcPr>
            <w:tcW w:w="715" w:type="dxa"/>
            <w:hideMark/>
          </w:tcPr>
          <w:p w14:paraId="3144E589"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2020</w:t>
            </w:r>
          </w:p>
        </w:tc>
        <w:tc>
          <w:tcPr>
            <w:tcW w:w="1080" w:type="dxa"/>
            <w:tcBorders>
              <w:top w:val="single" w:sz="4" w:space="0" w:color="auto"/>
              <w:left w:val="nil"/>
              <w:bottom w:val="single" w:sz="4" w:space="0" w:color="auto"/>
              <w:right w:val="single" w:sz="4" w:space="0" w:color="auto"/>
            </w:tcBorders>
            <w:hideMark/>
          </w:tcPr>
          <w:p w14:paraId="3B26813A" w14:textId="22A4EFF1"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0.0145</w:t>
            </w:r>
          </w:p>
        </w:tc>
        <w:tc>
          <w:tcPr>
            <w:tcW w:w="1170" w:type="dxa"/>
            <w:tcBorders>
              <w:top w:val="single" w:sz="4" w:space="0" w:color="auto"/>
              <w:left w:val="single" w:sz="4" w:space="0" w:color="auto"/>
              <w:bottom w:val="single" w:sz="4" w:space="0" w:color="auto"/>
              <w:right w:val="single" w:sz="4" w:space="0" w:color="auto"/>
            </w:tcBorders>
            <w:hideMark/>
          </w:tcPr>
          <w:p w14:paraId="4F385A59" w14:textId="06D32EEA"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0.009</w:t>
            </w:r>
          </w:p>
        </w:tc>
        <w:tc>
          <w:tcPr>
            <w:tcW w:w="1080" w:type="dxa"/>
            <w:tcBorders>
              <w:top w:val="single" w:sz="4" w:space="0" w:color="auto"/>
              <w:left w:val="single" w:sz="4" w:space="0" w:color="auto"/>
              <w:bottom w:val="single" w:sz="4" w:space="0" w:color="auto"/>
              <w:right w:val="single" w:sz="4" w:space="0" w:color="auto"/>
            </w:tcBorders>
            <w:hideMark/>
          </w:tcPr>
          <w:p w14:paraId="3FEEDEBA" w14:textId="27656F1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0.0145</w:t>
            </w:r>
          </w:p>
        </w:tc>
        <w:tc>
          <w:tcPr>
            <w:tcW w:w="1080" w:type="dxa"/>
            <w:tcBorders>
              <w:top w:val="single" w:sz="4" w:space="0" w:color="auto"/>
              <w:left w:val="single" w:sz="4" w:space="0" w:color="auto"/>
              <w:bottom w:val="single" w:sz="4" w:space="0" w:color="auto"/>
              <w:right w:val="single" w:sz="4" w:space="0" w:color="auto"/>
            </w:tcBorders>
            <w:hideMark/>
          </w:tcPr>
          <w:p w14:paraId="49E3499B" w14:textId="012C2CD1"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0.009</w:t>
            </w:r>
          </w:p>
        </w:tc>
        <w:tc>
          <w:tcPr>
            <w:tcW w:w="1080" w:type="dxa"/>
            <w:tcBorders>
              <w:top w:val="single" w:sz="4" w:space="0" w:color="auto"/>
              <w:left w:val="single" w:sz="4" w:space="0" w:color="auto"/>
              <w:bottom w:val="single" w:sz="4" w:space="0" w:color="auto"/>
              <w:right w:val="single" w:sz="4" w:space="0" w:color="auto"/>
            </w:tcBorders>
            <w:hideMark/>
          </w:tcPr>
          <w:p w14:paraId="2F8B9674" w14:textId="61588331"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0.0145</w:t>
            </w:r>
          </w:p>
        </w:tc>
        <w:tc>
          <w:tcPr>
            <w:tcW w:w="1170" w:type="dxa"/>
            <w:tcBorders>
              <w:top w:val="single" w:sz="4" w:space="0" w:color="auto"/>
              <w:left w:val="single" w:sz="4" w:space="0" w:color="auto"/>
              <w:bottom w:val="single" w:sz="4" w:space="0" w:color="auto"/>
              <w:right w:val="single" w:sz="4" w:space="0" w:color="auto"/>
            </w:tcBorders>
            <w:hideMark/>
          </w:tcPr>
          <w:p w14:paraId="19179D23" w14:textId="74A520F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0.009</w:t>
            </w:r>
          </w:p>
        </w:tc>
        <w:tc>
          <w:tcPr>
            <w:tcW w:w="1975" w:type="dxa"/>
            <w:tcBorders>
              <w:top w:val="single" w:sz="4" w:space="0" w:color="auto"/>
              <w:left w:val="single" w:sz="4" w:space="0" w:color="auto"/>
              <w:bottom w:val="single" w:sz="4" w:space="0" w:color="auto"/>
              <w:right w:val="single" w:sz="4" w:space="0" w:color="auto"/>
            </w:tcBorders>
            <w:hideMark/>
          </w:tcPr>
          <w:p w14:paraId="39F3F5A6" w14:textId="4DA28E0B"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Pandemic disruption limits systematic obesity-treatment expansion.</w:t>
            </w:r>
          </w:p>
        </w:tc>
      </w:tr>
      <w:tr w:rsidR="002F087C" w:rsidRPr="004E3599" w14:paraId="558D7E19" w14:textId="77777777" w:rsidTr="002F087C">
        <w:trPr>
          <w:trHeight w:val="1484"/>
        </w:trPr>
        <w:tc>
          <w:tcPr>
            <w:tcW w:w="715" w:type="dxa"/>
            <w:hideMark/>
          </w:tcPr>
          <w:p w14:paraId="750C576F"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2021</w:t>
            </w:r>
          </w:p>
        </w:tc>
        <w:tc>
          <w:tcPr>
            <w:tcW w:w="1080" w:type="dxa"/>
            <w:tcBorders>
              <w:top w:val="single" w:sz="4" w:space="0" w:color="auto"/>
              <w:left w:val="nil"/>
              <w:bottom w:val="single" w:sz="4" w:space="0" w:color="auto"/>
              <w:right w:val="single" w:sz="4" w:space="0" w:color="auto"/>
            </w:tcBorders>
            <w:hideMark/>
          </w:tcPr>
          <w:p w14:paraId="75833C8D" w14:textId="02466773"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0.015</w:t>
            </w:r>
          </w:p>
        </w:tc>
        <w:tc>
          <w:tcPr>
            <w:tcW w:w="1170" w:type="dxa"/>
            <w:tcBorders>
              <w:top w:val="single" w:sz="4" w:space="0" w:color="auto"/>
              <w:left w:val="single" w:sz="4" w:space="0" w:color="auto"/>
              <w:bottom w:val="single" w:sz="4" w:space="0" w:color="auto"/>
              <w:right w:val="single" w:sz="4" w:space="0" w:color="auto"/>
            </w:tcBorders>
            <w:hideMark/>
          </w:tcPr>
          <w:p w14:paraId="46B6D78C" w14:textId="025AC5F3"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w:t>
            </w:r>
          </w:p>
        </w:tc>
        <w:tc>
          <w:tcPr>
            <w:tcW w:w="1080" w:type="dxa"/>
            <w:tcBorders>
              <w:top w:val="single" w:sz="4" w:space="0" w:color="auto"/>
              <w:left w:val="single" w:sz="4" w:space="0" w:color="auto"/>
              <w:bottom w:val="single" w:sz="4" w:space="0" w:color="auto"/>
              <w:right w:val="single" w:sz="4" w:space="0" w:color="auto"/>
            </w:tcBorders>
            <w:hideMark/>
          </w:tcPr>
          <w:p w14:paraId="6F77E61B" w14:textId="1AE2F7DF"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0.015</w:t>
            </w:r>
          </w:p>
        </w:tc>
        <w:tc>
          <w:tcPr>
            <w:tcW w:w="1080" w:type="dxa"/>
            <w:tcBorders>
              <w:top w:val="single" w:sz="4" w:space="0" w:color="auto"/>
              <w:left w:val="single" w:sz="4" w:space="0" w:color="auto"/>
              <w:bottom w:val="single" w:sz="4" w:space="0" w:color="auto"/>
              <w:right w:val="single" w:sz="4" w:space="0" w:color="auto"/>
            </w:tcBorders>
            <w:hideMark/>
          </w:tcPr>
          <w:p w14:paraId="65C38840" w14:textId="4C197D1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w:t>
            </w:r>
          </w:p>
        </w:tc>
        <w:tc>
          <w:tcPr>
            <w:tcW w:w="1080" w:type="dxa"/>
            <w:tcBorders>
              <w:top w:val="single" w:sz="4" w:space="0" w:color="auto"/>
              <w:left w:val="single" w:sz="4" w:space="0" w:color="auto"/>
              <w:bottom w:val="single" w:sz="4" w:space="0" w:color="auto"/>
              <w:right w:val="single" w:sz="4" w:space="0" w:color="auto"/>
            </w:tcBorders>
            <w:hideMark/>
          </w:tcPr>
          <w:p w14:paraId="194EF591" w14:textId="36DABD0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0.015</w:t>
            </w:r>
          </w:p>
        </w:tc>
        <w:tc>
          <w:tcPr>
            <w:tcW w:w="1170" w:type="dxa"/>
            <w:tcBorders>
              <w:top w:val="single" w:sz="4" w:space="0" w:color="auto"/>
              <w:left w:val="single" w:sz="4" w:space="0" w:color="auto"/>
              <w:bottom w:val="single" w:sz="4" w:space="0" w:color="auto"/>
              <w:right w:val="single" w:sz="4" w:space="0" w:color="auto"/>
            </w:tcBorders>
            <w:hideMark/>
          </w:tcPr>
          <w:p w14:paraId="052F67E3" w14:textId="1980D8F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w:t>
            </w:r>
          </w:p>
        </w:tc>
        <w:tc>
          <w:tcPr>
            <w:tcW w:w="1975" w:type="dxa"/>
            <w:tcBorders>
              <w:top w:val="single" w:sz="4" w:space="0" w:color="auto"/>
              <w:left w:val="single" w:sz="4" w:space="0" w:color="auto"/>
              <w:bottom w:val="single" w:sz="4" w:space="0" w:color="auto"/>
              <w:right w:val="single" w:sz="4" w:space="0" w:color="auto"/>
            </w:tcBorders>
            <w:hideMark/>
          </w:tcPr>
          <w:p w14:paraId="06B12963" w14:textId="3749D32B"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Early public interest begins, but affordability and formal access remain low.</w:t>
            </w:r>
          </w:p>
        </w:tc>
      </w:tr>
      <w:tr w:rsidR="002F087C" w:rsidRPr="004E3599" w14:paraId="70CD4936" w14:textId="77777777" w:rsidTr="002F087C">
        <w:trPr>
          <w:trHeight w:val="1430"/>
        </w:trPr>
        <w:tc>
          <w:tcPr>
            <w:tcW w:w="715" w:type="dxa"/>
            <w:hideMark/>
          </w:tcPr>
          <w:p w14:paraId="302B7BB2"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2022</w:t>
            </w:r>
          </w:p>
        </w:tc>
        <w:tc>
          <w:tcPr>
            <w:tcW w:w="1080" w:type="dxa"/>
            <w:tcBorders>
              <w:top w:val="single" w:sz="4" w:space="0" w:color="auto"/>
              <w:left w:val="nil"/>
              <w:bottom w:val="single" w:sz="4" w:space="0" w:color="auto"/>
              <w:right w:val="single" w:sz="4" w:space="0" w:color="auto"/>
            </w:tcBorders>
            <w:hideMark/>
          </w:tcPr>
          <w:p w14:paraId="0F3523C0" w14:textId="26311CD5"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0.0155</w:t>
            </w:r>
          </w:p>
        </w:tc>
        <w:tc>
          <w:tcPr>
            <w:tcW w:w="1170" w:type="dxa"/>
            <w:tcBorders>
              <w:top w:val="single" w:sz="4" w:space="0" w:color="auto"/>
              <w:left w:val="single" w:sz="4" w:space="0" w:color="auto"/>
              <w:bottom w:val="single" w:sz="4" w:space="0" w:color="auto"/>
              <w:right w:val="single" w:sz="4" w:space="0" w:color="auto"/>
            </w:tcBorders>
            <w:hideMark/>
          </w:tcPr>
          <w:p w14:paraId="04A92630" w14:textId="3F875D6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0.011</w:t>
            </w:r>
          </w:p>
        </w:tc>
        <w:tc>
          <w:tcPr>
            <w:tcW w:w="1080" w:type="dxa"/>
            <w:tcBorders>
              <w:top w:val="single" w:sz="4" w:space="0" w:color="auto"/>
              <w:left w:val="single" w:sz="4" w:space="0" w:color="auto"/>
              <w:bottom w:val="single" w:sz="4" w:space="0" w:color="auto"/>
              <w:right w:val="single" w:sz="4" w:space="0" w:color="auto"/>
            </w:tcBorders>
            <w:hideMark/>
          </w:tcPr>
          <w:p w14:paraId="682AC412" w14:textId="54D4C854"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0.0155</w:t>
            </w:r>
          </w:p>
        </w:tc>
        <w:tc>
          <w:tcPr>
            <w:tcW w:w="1080" w:type="dxa"/>
            <w:tcBorders>
              <w:top w:val="single" w:sz="4" w:space="0" w:color="auto"/>
              <w:left w:val="single" w:sz="4" w:space="0" w:color="auto"/>
              <w:bottom w:val="single" w:sz="4" w:space="0" w:color="auto"/>
              <w:right w:val="single" w:sz="4" w:space="0" w:color="auto"/>
            </w:tcBorders>
            <w:hideMark/>
          </w:tcPr>
          <w:p w14:paraId="4BB0CF10" w14:textId="26C214F0"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0.011</w:t>
            </w:r>
          </w:p>
        </w:tc>
        <w:tc>
          <w:tcPr>
            <w:tcW w:w="1080" w:type="dxa"/>
            <w:tcBorders>
              <w:top w:val="single" w:sz="4" w:space="0" w:color="auto"/>
              <w:left w:val="single" w:sz="4" w:space="0" w:color="auto"/>
              <w:bottom w:val="single" w:sz="4" w:space="0" w:color="auto"/>
              <w:right w:val="single" w:sz="4" w:space="0" w:color="auto"/>
            </w:tcBorders>
            <w:hideMark/>
          </w:tcPr>
          <w:p w14:paraId="59048190" w14:textId="597D89B0"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0.0155</w:t>
            </w:r>
          </w:p>
        </w:tc>
        <w:tc>
          <w:tcPr>
            <w:tcW w:w="1170" w:type="dxa"/>
            <w:tcBorders>
              <w:top w:val="single" w:sz="4" w:space="0" w:color="auto"/>
              <w:left w:val="single" w:sz="4" w:space="0" w:color="auto"/>
              <w:bottom w:val="single" w:sz="4" w:space="0" w:color="auto"/>
              <w:right w:val="single" w:sz="4" w:space="0" w:color="auto"/>
            </w:tcBorders>
            <w:hideMark/>
          </w:tcPr>
          <w:p w14:paraId="1CEB489B" w14:textId="7681485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0.011</w:t>
            </w:r>
          </w:p>
        </w:tc>
        <w:tc>
          <w:tcPr>
            <w:tcW w:w="1975" w:type="dxa"/>
            <w:tcBorders>
              <w:top w:val="single" w:sz="4" w:space="0" w:color="auto"/>
              <w:left w:val="single" w:sz="4" w:space="0" w:color="auto"/>
              <w:bottom w:val="single" w:sz="4" w:space="0" w:color="auto"/>
              <w:right w:val="single" w:sz="4" w:space="0" w:color="auto"/>
            </w:tcBorders>
            <w:hideMark/>
          </w:tcPr>
          <w:p w14:paraId="094D2D3E" w14:textId="0137224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GLP-1 awareness grows slowly through diabetes treatment and private providers.</w:t>
            </w:r>
          </w:p>
        </w:tc>
      </w:tr>
      <w:tr w:rsidR="002F087C" w:rsidRPr="004E3599" w14:paraId="7B2E320B" w14:textId="77777777" w:rsidTr="002F087C">
        <w:trPr>
          <w:trHeight w:val="1430"/>
        </w:trPr>
        <w:tc>
          <w:tcPr>
            <w:tcW w:w="715" w:type="dxa"/>
            <w:hideMark/>
          </w:tcPr>
          <w:p w14:paraId="0E7E8479"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2023</w:t>
            </w:r>
          </w:p>
        </w:tc>
        <w:tc>
          <w:tcPr>
            <w:tcW w:w="1080" w:type="dxa"/>
            <w:tcBorders>
              <w:top w:val="single" w:sz="4" w:space="0" w:color="auto"/>
              <w:left w:val="nil"/>
              <w:bottom w:val="single" w:sz="4" w:space="0" w:color="auto"/>
              <w:right w:val="single" w:sz="4" w:space="0" w:color="auto"/>
            </w:tcBorders>
            <w:hideMark/>
          </w:tcPr>
          <w:p w14:paraId="26ACC025" w14:textId="7B1154CC"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0.0165</w:t>
            </w:r>
          </w:p>
        </w:tc>
        <w:tc>
          <w:tcPr>
            <w:tcW w:w="1170" w:type="dxa"/>
            <w:tcBorders>
              <w:top w:val="single" w:sz="4" w:space="0" w:color="auto"/>
              <w:left w:val="single" w:sz="4" w:space="0" w:color="auto"/>
              <w:bottom w:val="single" w:sz="4" w:space="0" w:color="auto"/>
              <w:right w:val="single" w:sz="4" w:space="0" w:color="auto"/>
            </w:tcBorders>
            <w:hideMark/>
          </w:tcPr>
          <w:p w14:paraId="4C540908" w14:textId="0A4BC06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w:t>
            </w:r>
          </w:p>
        </w:tc>
        <w:tc>
          <w:tcPr>
            <w:tcW w:w="1080" w:type="dxa"/>
            <w:tcBorders>
              <w:top w:val="single" w:sz="4" w:space="0" w:color="auto"/>
              <w:left w:val="single" w:sz="4" w:space="0" w:color="auto"/>
              <w:bottom w:val="single" w:sz="4" w:space="0" w:color="auto"/>
              <w:right w:val="single" w:sz="4" w:space="0" w:color="auto"/>
            </w:tcBorders>
            <w:hideMark/>
          </w:tcPr>
          <w:p w14:paraId="4EEB5D95" w14:textId="5D1BA884"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0.0165</w:t>
            </w:r>
          </w:p>
        </w:tc>
        <w:tc>
          <w:tcPr>
            <w:tcW w:w="1080" w:type="dxa"/>
            <w:tcBorders>
              <w:top w:val="single" w:sz="4" w:space="0" w:color="auto"/>
              <w:left w:val="single" w:sz="4" w:space="0" w:color="auto"/>
              <w:bottom w:val="single" w:sz="4" w:space="0" w:color="auto"/>
              <w:right w:val="single" w:sz="4" w:space="0" w:color="auto"/>
            </w:tcBorders>
            <w:hideMark/>
          </w:tcPr>
          <w:p w14:paraId="367209A0" w14:textId="30704B75"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w:t>
            </w:r>
          </w:p>
        </w:tc>
        <w:tc>
          <w:tcPr>
            <w:tcW w:w="1080" w:type="dxa"/>
            <w:tcBorders>
              <w:top w:val="single" w:sz="4" w:space="0" w:color="auto"/>
              <w:left w:val="single" w:sz="4" w:space="0" w:color="auto"/>
              <w:bottom w:val="single" w:sz="4" w:space="0" w:color="auto"/>
              <w:right w:val="single" w:sz="4" w:space="0" w:color="auto"/>
            </w:tcBorders>
            <w:hideMark/>
          </w:tcPr>
          <w:p w14:paraId="4FE81990" w14:textId="58654AB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0.0165</w:t>
            </w:r>
          </w:p>
        </w:tc>
        <w:tc>
          <w:tcPr>
            <w:tcW w:w="1170" w:type="dxa"/>
            <w:tcBorders>
              <w:top w:val="single" w:sz="4" w:space="0" w:color="auto"/>
              <w:left w:val="single" w:sz="4" w:space="0" w:color="auto"/>
              <w:bottom w:val="single" w:sz="4" w:space="0" w:color="auto"/>
              <w:right w:val="single" w:sz="4" w:space="0" w:color="auto"/>
            </w:tcBorders>
            <w:hideMark/>
          </w:tcPr>
          <w:p w14:paraId="16298C5F" w14:textId="7E554D2C"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0.014</w:t>
            </w:r>
          </w:p>
        </w:tc>
        <w:tc>
          <w:tcPr>
            <w:tcW w:w="1975" w:type="dxa"/>
            <w:tcBorders>
              <w:top w:val="single" w:sz="4" w:space="0" w:color="auto"/>
              <w:left w:val="single" w:sz="4" w:space="0" w:color="auto"/>
              <w:bottom w:val="single" w:sz="4" w:space="0" w:color="auto"/>
              <w:right w:val="single" w:sz="4" w:space="0" w:color="auto"/>
            </w:tcBorders>
            <w:hideMark/>
          </w:tcPr>
          <w:p w14:paraId="52FAD0EF" w14:textId="7735D48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Media visibility increases, but formal weight-management adoption remains limited.</w:t>
            </w:r>
          </w:p>
        </w:tc>
      </w:tr>
      <w:tr w:rsidR="002F087C" w:rsidRPr="004E3599" w14:paraId="54AC7BAD" w14:textId="77777777" w:rsidTr="002F087C">
        <w:trPr>
          <w:trHeight w:val="1520"/>
        </w:trPr>
        <w:tc>
          <w:tcPr>
            <w:tcW w:w="715" w:type="dxa"/>
            <w:hideMark/>
          </w:tcPr>
          <w:p w14:paraId="3642CC4E"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2024</w:t>
            </w:r>
          </w:p>
        </w:tc>
        <w:tc>
          <w:tcPr>
            <w:tcW w:w="1080" w:type="dxa"/>
            <w:tcBorders>
              <w:top w:val="single" w:sz="4" w:space="0" w:color="auto"/>
              <w:left w:val="nil"/>
              <w:bottom w:val="single" w:sz="4" w:space="0" w:color="auto"/>
              <w:right w:val="single" w:sz="4" w:space="0" w:color="auto"/>
            </w:tcBorders>
            <w:hideMark/>
          </w:tcPr>
          <w:p w14:paraId="3BA48D00" w14:textId="615A0EC7"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0.018</w:t>
            </w:r>
          </w:p>
        </w:tc>
        <w:tc>
          <w:tcPr>
            <w:tcW w:w="1170" w:type="dxa"/>
            <w:tcBorders>
              <w:top w:val="single" w:sz="4" w:space="0" w:color="auto"/>
              <w:left w:val="single" w:sz="4" w:space="0" w:color="auto"/>
              <w:bottom w:val="single" w:sz="4" w:space="0" w:color="auto"/>
              <w:right w:val="single" w:sz="4" w:space="0" w:color="auto"/>
            </w:tcBorders>
            <w:hideMark/>
          </w:tcPr>
          <w:p w14:paraId="32C20979" w14:textId="2D67810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0.025</w:t>
            </w:r>
          </w:p>
        </w:tc>
        <w:tc>
          <w:tcPr>
            <w:tcW w:w="1080" w:type="dxa"/>
            <w:tcBorders>
              <w:top w:val="single" w:sz="4" w:space="0" w:color="auto"/>
              <w:left w:val="single" w:sz="4" w:space="0" w:color="auto"/>
              <w:bottom w:val="single" w:sz="4" w:space="0" w:color="auto"/>
              <w:right w:val="single" w:sz="4" w:space="0" w:color="auto"/>
            </w:tcBorders>
            <w:hideMark/>
          </w:tcPr>
          <w:p w14:paraId="58F243F1" w14:textId="6E85CAE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0.018</w:t>
            </w:r>
          </w:p>
        </w:tc>
        <w:tc>
          <w:tcPr>
            <w:tcW w:w="1080" w:type="dxa"/>
            <w:tcBorders>
              <w:top w:val="single" w:sz="4" w:space="0" w:color="auto"/>
              <w:left w:val="single" w:sz="4" w:space="0" w:color="auto"/>
              <w:bottom w:val="single" w:sz="4" w:space="0" w:color="auto"/>
              <w:right w:val="single" w:sz="4" w:space="0" w:color="auto"/>
            </w:tcBorders>
            <w:hideMark/>
          </w:tcPr>
          <w:p w14:paraId="61255E59" w14:textId="6FC0894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0.025</w:t>
            </w:r>
          </w:p>
        </w:tc>
        <w:tc>
          <w:tcPr>
            <w:tcW w:w="1080" w:type="dxa"/>
            <w:tcBorders>
              <w:top w:val="single" w:sz="4" w:space="0" w:color="auto"/>
              <w:left w:val="single" w:sz="4" w:space="0" w:color="auto"/>
              <w:bottom w:val="single" w:sz="4" w:space="0" w:color="auto"/>
              <w:right w:val="single" w:sz="4" w:space="0" w:color="auto"/>
            </w:tcBorders>
            <w:hideMark/>
          </w:tcPr>
          <w:p w14:paraId="71A16873" w14:textId="05FCDBAC"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0.018</w:t>
            </w:r>
          </w:p>
        </w:tc>
        <w:tc>
          <w:tcPr>
            <w:tcW w:w="1170" w:type="dxa"/>
            <w:tcBorders>
              <w:top w:val="single" w:sz="4" w:space="0" w:color="auto"/>
              <w:left w:val="single" w:sz="4" w:space="0" w:color="auto"/>
              <w:bottom w:val="single" w:sz="4" w:space="0" w:color="auto"/>
              <w:right w:val="single" w:sz="4" w:space="0" w:color="auto"/>
            </w:tcBorders>
            <w:hideMark/>
          </w:tcPr>
          <w:p w14:paraId="58310819" w14:textId="76AB9C44"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0.025</w:t>
            </w:r>
          </w:p>
        </w:tc>
        <w:tc>
          <w:tcPr>
            <w:tcW w:w="1975" w:type="dxa"/>
            <w:tcBorders>
              <w:top w:val="single" w:sz="4" w:space="0" w:color="auto"/>
              <w:left w:val="single" w:sz="4" w:space="0" w:color="auto"/>
              <w:bottom w:val="single" w:sz="4" w:space="0" w:color="auto"/>
              <w:right w:val="single" w:sz="4" w:space="0" w:color="auto"/>
            </w:tcBorders>
            <w:hideMark/>
          </w:tcPr>
          <w:p w14:paraId="6C109EE4" w14:textId="25387261"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Demand grows, but cost, medical supervision, and irregular-market concerns constrain access.</w:t>
            </w:r>
          </w:p>
        </w:tc>
      </w:tr>
      <w:tr w:rsidR="002F087C" w:rsidRPr="004E3599" w14:paraId="01096DDF" w14:textId="77777777" w:rsidTr="002F087C">
        <w:trPr>
          <w:trHeight w:val="620"/>
        </w:trPr>
        <w:tc>
          <w:tcPr>
            <w:tcW w:w="715" w:type="dxa"/>
            <w:hideMark/>
          </w:tcPr>
          <w:p w14:paraId="78117695"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2025</w:t>
            </w:r>
          </w:p>
        </w:tc>
        <w:tc>
          <w:tcPr>
            <w:tcW w:w="1080" w:type="dxa"/>
            <w:tcBorders>
              <w:top w:val="single" w:sz="4" w:space="0" w:color="auto"/>
              <w:left w:val="nil"/>
              <w:bottom w:val="single" w:sz="4" w:space="0" w:color="auto"/>
              <w:right w:val="single" w:sz="4" w:space="0" w:color="auto"/>
            </w:tcBorders>
            <w:hideMark/>
          </w:tcPr>
          <w:p w14:paraId="50FF310F" w14:textId="76110261"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0.02</w:t>
            </w:r>
          </w:p>
        </w:tc>
        <w:tc>
          <w:tcPr>
            <w:tcW w:w="1170" w:type="dxa"/>
            <w:tcBorders>
              <w:top w:val="single" w:sz="4" w:space="0" w:color="auto"/>
              <w:left w:val="single" w:sz="4" w:space="0" w:color="auto"/>
              <w:bottom w:val="single" w:sz="4" w:space="0" w:color="auto"/>
              <w:right w:val="single" w:sz="4" w:space="0" w:color="auto"/>
            </w:tcBorders>
            <w:hideMark/>
          </w:tcPr>
          <w:p w14:paraId="6909DAE6" w14:textId="4635B235"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0.05</w:t>
            </w:r>
          </w:p>
        </w:tc>
        <w:tc>
          <w:tcPr>
            <w:tcW w:w="1080" w:type="dxa"/>
            <w:tcBorders>
              <w:top w:val="single" w:sz="4" w:space="0" w:color="auto"/>
              <w:left w:val="single" w:sz="4" w:space="0" w:color="auto"/>
              <w:bottom w:val="single" w:sz="4" w:space="0" w:color="auto"/>
              <w:right w:val="single" w:sz="4" w:space="0" w:color="auto"/>
            </w:tcBorders>
            <w:hideMark/>
          </w:tcPr>
          <w:p w14:paraId="3A1F8A36" w14:textId="1A10CE5E"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0.02</w:t>
            </w:r>
          </w:p>
        </w:tc>
        <w:tc>
          <w:tcPr>
            <w:tcW w:w="1080" w:type="dxa"/>
            <w:tcBorders>
              <w:top w:val="single" w:sz="4" w:space="0" w:color="auto"/>
              <w:left w:val="single" w:sz="4" w:space="0" w:color="auto"/>
              <w:bottom w:val="single" w:sz="4" w:space="0" w:color="auto"/>
              <w:right w:val="single" w:sz="4" w:space="0" w:color="auto"/>
            </w:tcBorders>
            <w:hideMark/>
          </w:tcPr>
          <w:p w14:paraId="67061F98" w14:textId="01A1106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0.05</w:t>
            </w:r>
          </w:p>
        </w:tc>
        <w:tc>
          <w:tcPr>
            <w:tcW w:w="1080" w:type="dxa"/>
            <w:tcBorders>
              <w:top w:val="single" w:sz="4" w:space="0" w:color="auto"/>
              <w:left w:val="single" w:sz="4" w:space="0" w:color="auto"/>
              <w:bottom w:val="single" w:sz="4" w:space="0" w:color="auto"/>
              <w:right w:val="single" w:sz="4" w:space="0" w:color="auto"/>
            </w:tcBorders>
            <w:hideMark/>
          </w:tcPr>
          <w:p w14:paraId="70F6EC39" w14:textId="4BBFF960"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0.02</w:t>
            </w:r>
          </w:p>
        </w:tc>
        <w:tc>
          <w:tcPr>
            <w:tcW w:w="1170" w:type="dxa"/>
            <w:tcBorders>
              <w:top w:val="single" w:sz="4" w:space="0" w:color="auto"/>
              <w:left w:val="single" w:sz="4" w:space="0" w:color="auto"/>
              <w:bottom w:val="single" w:sz="4" w:space="0" w:color="auto"/>
              <w:right w:val="single" w:sz="4" w:space="0" w:color="auto"/>
            </w:tcBorders>
            <w:hideMark/>
          </w:tcPr>
          <w:p w14:paraId="4BD13706" w14:textId="7C96E340"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0.05</w:t>
            </w:r>
          </w:p>
        </w:tc>
        <w:tc>
          <w:tcPr>
            <w:tcW w:w="1975" w:type="dxa"/>
            <w:tcBorders>
              <w:top w:val="single" w:sz="4" w:space="0" w:color="auto"/>
              <w:left w:val="single" w:sz="4" w:space="0" w:color="auto"/>
              <w:bottom w:val="single" w:sz="4" w:space="0" w:color="auto"/>
              <w:right w:val="single" w:sz="4" w:space="0" w:color="auto"/>
            </w:tcBorders>
            <w:hideMark/>
          </w:tcPr>
          <w:p w14:paraId="3438C5CF" w14:textId="623F44B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Weight-management launch period raises awareness; affordability remains the main bottleneck.</w:t>
            </w:r>
          </w:p>
        </w:tc>
      </w:tr>
      <w:tr w:rsidR="002F087C" w:rsidRPr="004E3599" w14:paraId="624747E2" w14:textId="77777777" w:rsidTr="002F087C">
        <w:trPr>
          <w:trHeight w:val="1790"/>
        </w:trPr>
        <w:tc>
          <w:tcPr>
            <w:tcW w:w="715" w:type="dxa"/>
            <w:hideMark/>
          </w:tcPr>
          <w:p w14:paraId="61C8A50E"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2026</w:t>
            </w:r>
          </w:p>
        </w:tc>
        <w:tc>
          <w:tcPr>
            <w:tcW w:w="1080" w:type="dxa"/>
            <w:tcBorders>
              <w:top w:val="single" w:sz="4" w:space="0" w:color="auto"/>
              <w:left w:val="nil"/>
              <w:bottom w:val="single" w:sz="4" w:space="0" w:color="auto"/>
              <w:right w:val="single" w:sz="4" w:space="0" w:color="auto"/>
            </w:tcBorders>
            <w:hideMark/>
          </w:tcPr>
          <w:p w14:paraId="6970E7E5" w14:textId="074415DF"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0.024</w:t>
            </w:r>
          </w:p>
        </w:tc>
        <w:tc>
          <w:tcPr>
            <w:tcW w:w="1170" w:type="dxa"/>
            <w:tcBorders>
              <w:top w:val="single" w:sz="4" w:space="0" w:color="auto"/>
              <w:left w:val="single" w:sz="4" w:space="0" w:color="auto"/>
              <w:bottom w:val="single" w:sz="4" w:space="0" w:color="auto"/>
              <w:right w:val="single" w:sz="4" w:space="0" w:color="auto"/>
            </w:tcBorders>
            <w:hideMark/>
          </w:tcPr>
          <w:p w14:paraId="2B7D3161" w14:textId="761ED205"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0.075</w:t>
            </w:r>
          </w:p>
        </w:tc>
        <w:tc>
          <w:tcPr>
            <w:tcW w:w="1080" w:type="dxa"/>
            <w:tcBorders>
              <w:top w:val="single" w:sz="4" w:space="0" w:color="auto"/>
              <w:left w:val="single" w:sz="4" w:space="0" w:color="auto"/>
              <w:bottom w:val="single" w:sz="4" w:space="0" w:color="auto"/>
              <w:right w:val="single" w:sz="4" w:space="0" w:color="auto"/>
            </w:tcBorders>
            <w:hideMark/>
          </w:tcPr>
          <w:p w14:paraId="7CDC335F" w14:textId="247BEE27"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0.03</w:t>
            </w:r>
          </w:p>
        </w:tc>
        <w:tc>
          <w:tcPr>
            <w:tcW w:w="1080" w:type="dxa"/>
            <w:tcBorders>
              <w:top w:val="single" w:sz="4" w:space="0" w:color="auto"/>
              <w:left w:val="single" w:sz="4" w:space="0" w:color="auto"/>
              <w:bottom w:val="single" w:sz="4" w:space="0" w:color="auto"/>
              <w:right w:val="single" w:sz="4" w:space="0" w:color="auto"/>
            </w:tcBorders>
            <w:hideMark/>
          </w:tcPr>
          <w:p w14:paraId="26ABBB40" w14:textId="69ACEFE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0.095</w:t>
            </w:r>
          </w:p>
        </w:tc>
        <w:tc>
          <w:tcPr>
            <w:tcW w:w="1080" w:type="dxa"/>
            <w:tcBorders>
              <w:top w:val="single" w:sz="4" w:space="0" w:color="auto"/>
              <w:left w:val="single" w:sz="4" w:space="0" w:color="auto"/>
              <w:bottom w:val="single" w:sz="4" w:space="0" w:color="auto"/>
              <w:right w:val="single" w:sz="4" w:space="0" w:color="auto"/>
            </w:tcBorders>
            <w:hideMark/>
          </w:tcPr>
          <w:p w14:paraId="253B43EB" w14:textId="0B81028E"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0.04</w:t>
            </w:r>
          </w:p>
        </w:tc>
        <w:tc>
          <w:tcPr>
            <w:tcW w:w="1170" w:type="dxa"/>
            <w:tcBorders>
              <w:top w:val="single" w:sz="4" w:space="0" w:color="auto"/>
              <w:left w:val="single" w:sz="4" w:space="0" w:color="auto"/>
              <w:bottom w:val="single" w:sz="4" w:space="0" w:color="auto"/>
              <w:right w:val="single" w:sz="4" w:space="0" w:color="auto"/>
            </w:tcBorders>
            <w:hideMark/>
          </w:tcPr>
          <w:p w14:paraId="6DA954A7" w14:textId="470091E3"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0.12</w:t>
            </w:r>
          </w:p>
        </w:tc>
        <w:tc>
          <w:tcPr>
            <w:tcW w:w="1975" w:type="dxa"/>
            <w:tcBorders>
              <w:top w:val="single" w:sz="4" w:space="0" w:color="auto"/>
              <w:left w:val="single" w:sz="4" w:space="0" w:color="auto"/>
              <w:bottom w:val="single" w:sz="4" w:space="0" w:color="auto"/>
              <w:right w:val="single" w:sz="4" w:space="0" w:color="auto"/>
            </w:tcBorders>
            <w:hideMark/>
          </w:tcPr>
          <w:p w14:paraId="1421730C" w14:textId="4C831F20"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Scenario divergence begins as launch effects diffuse through private providers and pharmacies.</w:t>
            </w:r>
          </w:p>
        </w:tc>
      </w:tr>
      <w:tr w:rsidR="002F087C" w:rsidRPr="004E3599" w14:paraId="44B229D3" w14:textId="77777777" w:rsidTr="002F087C">
        <w:trPr>
          <w:trHeight w:val="1430"/>
        </w:trPr>
        <w:tc>
          <w:tcPr>
            <w:tcW w:w="715" w:type="dxa"/>
            <w:hideMark/>
          </w:tcPr>
          <w:p w14:paraId="639D8F9A"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2027</w:t>
            </w:r>
          </w:p>
        </w:tc>
        <w:tc>
          <w:tcPr>
            <w:tcW w:w="1080" w:type="dxa"/>
            <w:tcBorders>
              <w:top w:val="single" w:sz="4" w:space="0" w:color="auto"/>
              <w:left w:val="nil"/>
              <w:bottom w:val="single" w:sz="4" w:space="0" w:color="auto"/>
              <w:right w:val="single" w:sz="4" w:space="0" w:color="auto"/>
            </w:tcBorders>
            <w:hideMark/>
          </w:tcPr>
          <w:p w14:paraId="2E9AF35E" w14:textId="0FF5F940"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0.031</w:t>
            </w:r>
          </w:p>
        </w:tc>
        <w:tc>
          <w:tcPr>
            <w:tcW w:w="1170" w:type="dxa"/>
            <w:tcBorders>
              <w:top w:val="single" w:sz="4" w:space="0" w:color="auto"/>
              <w:left w:val="single" w:sz="4" w:space="0" w:color="auto"/>
              <w:bottom w:val="single" w:sz="4" w:space="0" w:color="auto"/>
              <w:right w:val="single" w:sz="4" w:space="0" w:color="auto"/>
            </w:tcBorders>
            <w:hideMark/>
          </w:tcPr>
          <w:p w14:paraId="0977309F" w14:textId="2C8BADB4"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0.105</w:t>
            </w:r>
          </w:p>
        </w:tc>
        <w:tc>
          <w:tcPr>
            <w:tcW w:w="1080" w:type="dxa"/>
            <w:tcBorders>
              <w:top w:val="single" w:sz="4" w:space="0" w:color="auto"/>
              <w:left w:val="single" w:sz="4" w:space="0" w:color="auto"/>
              <w:bottom w:val="single" w:sz="4" w:space="0" w:color="auto"/>
              <w:right w:val="single" w:sz="4" w:space="0" w:color="auto"/>
            </w:tcBorders>
            <w:hideMark/>
          </w:tcPr>
          <w:p w14:paraId="3C910493" w14:textId="0D20A6A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0.046</w:t>
            </w:r>
          </w:p>
        </w:tc>
        <w:tc>
          <w:tcPr>
            <w:tcW w:w="1080" w:type="dxa"/>
            <w:tcBorders>
              <w:top w:val="single" w:sz="4" w:space="0" w:color="auto"/>
              <w:left w:val="single" w:sz="4" w:space="0" w:color="auto"/>
              <w:bottom w:val="single" w:sz="4" w:space="0" w:color="auto"/>
              <w:right w:val="single" w:sz="4" w:space="0" w:color="auto"/>
            </w:tcBorders>
            <w:hideMark/>
          </w:tcPr>
          <w:p w14:paraId="226959D0" w14:textId="61AAEE51"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0.15</w:t>
            </w:r>
          </w:p>
        </w:tc>
        <w:tc>
          <w:tcPr>
            <w:tcW w:w="1080" w:type="dxa"/>
            <w:tcBorders>
              <w:top w:val="single" w:sz="4" w:space="0" w:color="auto"/>
              <w:left w:val="single" w:sz="4" w:space="0" w:color="auto"/>
              <w:bottom w:val="single" w:sz="4" w:space="0" w:color="auto"/>
              <w:right w:val="single" w:sz="4" w:space="0" w:color="auto"/>
            </w:tcBorders>
            <w:hideMark/>
          </w:tcPr>
          <w:p w14:paraId="3EA7554F" w14:textId="1FDC98C0"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0.065</w:t>
            </w:r>
          </w:p>
        </w:tc>
        <w:tc>
          <w:tcPr>
            <w:tcW w:w="1170" w:type="dxa"/>
            <w:tcBorders>
              <w:top w:val="single" w:sz="4" w:space="0" w:color="auto"/>
              <w:left w:val="single" w:sz="4" w:space="0" w:color="auto"/>
              <w:bottom w:val="single" w:sz="4" w:space="0" w:color="auto"/>
              <w:right w:val="single" w:sz="4" w:space="0" w:color="auto"/>
            </w:tcBorders>
            <w:hideMark/>
          </w:tcPr>
          <w:p w14:paraId="34807BE3" w14:textId="6CFD27E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0.2</w:t>
            </w:r>
          </w:p>
        </w:tc>
        <w:tc>
          <w:tcPr>
            <w:tcW w:w="1975" w:type="dxa"/>
            <w:tcBorders>
              <w:top w:val="single" w:sz="4" w:space="0" w:color="auto"/>
              <w:left w:val="single" w:sz="4" w:space="0" w:color="auto"/>
              <w:bottom w:val="single" w:sz="4" w:space="0" w:color="auto"/>
              <w:right w:val="single" w:sz="4" w:space="0" w:color="auto"/>
            </w:tcBorders>
            <w:hideMark/>
          </w:tcPr>
          <w:p w14:paraId="401D722E" w14:textId="1CCA8298"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Mid</w:t>
            </w:r>
            <w:r w:rsidR="008250EB">
              <w:rPr>
                <w:rFonts w:ascii="Times New Roman" w:hAnsi="Times New Roman" w:cs="Times New Roman"/>
                <w:color w:val="000000"/>
              </w:rPr>
              <w:t>dle</w:t>
            </w:r>
            <w:r w:rsidRPr="002F087C">
              <w:rPr>
                <w:rFonts w:ascii="Times New Roman" w:hAnsi="Times New Roman" w:cs="Times New Roman"/>
                <w:color w:val="000000"/>
              </w:rPr>
              <w:t>/high paths assume faster urban uptake and broader provider familiarity.</w:t>
            </w:r>
          </w:p>
        </w:tc>
      </w:tr>
      <w:tr w:rsidR="002F087C" w:rsidRPr="004E3599" w14:paraId="3082F3A5" w14:textId="77777777" w:rsidTr="002F087C">
        <w:trPr>
          <w:trHeight w:val="1430"/>
        </w:trPr>
        <w:tc>
          <w:tcPr>
            <w:tcW w:w="715" w:type="dxa"/>
            <w:hideMark/>
          </w:tcPr>
          <w:p w14:paraId="01FB58B3"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2028</w:t>
            </w:r>
          </w:p>
        </w:tc>
        <w:tc>
          <w:tcPr>
            <w:tcW w:w="1080" w:type="dxa"/>
            <w:tcBorders>
              <w:top w:val="single" w:sz="4" w:space="0" w:color="auto"/>
              <w:left w:val="nil"/>
              <w:bottom w:val="single" w:sz="4" w:space="0" w:color="auto"/>
              <w:right w:val="single" w:sz="4" w:space="0" w:color="auto"/>
            </w:tcBorders>
            <w:hideMark/>
          </w:tcPr>
          <w:p w14:paraId="228684B9" w14:textId="7726292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0.04</w:t>
            </w:r>
          </w:p>
        </w:tc>
        <w:tc>
          <w:tcPr>
            <w:tcW w:w="1170" w:type="dxa"/>
            <w:tcBorders>
              <w:top w:val="single" w:sz="4" w:space="0" w:color="auto"/>
              <w:left w:val="single" w:sz="4" w:space="0" w:color="auto"/>
              <w:bottom w:val="single" w:sz="4" w:space="0" w:color="auto"/>
              <w:right w:val="single" w:sz="4" w:space="0" w:color="auto"/>
            </w:tcBorders>
            <w:hideMark/>
          </w:tcPr>
          <w:p w14:paraId="1D9E81CE" w14:textId="300506AA"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0.14</w:t>
            </w:r>
          </w:p>
        </w:tc>
        <w:tc>
          <w:tcPr>
            <w:tcW w:w="1080" w:type="dxa"/>
            <w:tcBorders>
              <w:top w:val="single" w:sz="4" w:space="0" w:color="auto"/>
              <w:left w:val="single" w:sz="4" w:space="0" w:color="auto"/>
              <w:bottom w:val="single" w:sz="4" w:space="0" w:color="auto"/>
              <w:right w:val="single" w:sz="4" w:space="0" w:color="auto"/>
            </w:tcBorders>
            <w:hideMark/>
          </w:tcPr>
          <w:p w14:paraId="64E68916" w14:textId="07BF6A6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0.065</w:t>
            </w:r>
          </w:p>
        </w:tc>
        <w:tc>
          <w:tcPr>
            <w:tcW w:w="1080" w:type="dxa"/>
            <w:tcBorders>
              <w:top w:val="single" w:sz="4" w:space="0" w:color="auto"/>
              <w:left w:val="single" w:sz="4" w:space="0" w:color="auto"/>
              <w:bottom w:val="single" w:sz="4" w:space="0" w:color="auto"/>
              <w:right w:val="single" w:sz="4" w:space="0" w:color="auto"/>
            </w:tcBorders>
            <w:hideMark/>
          </w:tcPr>
          <w:p w14:paraId="7B25F53E" w14:textId="426F7333"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0.215</w:t>
            </w:r>
          </w:p>
        </w:tc>
        <w:tc>
          <w:tcPr>
            <w:tcW w:w="1080" w:type="dxa"/>
            <w:tcBorders>
              <w:top w:val="single" w:sz="4" w:space="0" w:color="auto"/>
              <w:left w:val="single" w:sz="4" w:space="0" w:color="auto"/>
              <w:bottom w:val="single" w:sz="4" w:space="0" w:color="auto"/>
              <w:right w:val="single" w:sz="4" w:space="0" w:color="auto"/>
            </w:tcBorders>
            <w:hideMark/>
          </w:tcPr>
          <w:p w14:paraId="7A3E4D12" w14:textId="3CFBFE0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0.095</w:t>
            </w:r>
          </w:p>
        </w:tc>
        <w:tc>
          <w:tcPr>
            <w:tcW w:w="1170" w:type="dxa"/>
            <w:tcBorders>
              <w:top w:val="single" w:sz="4" w:space="0" w:color="auto"/>
              <w:left w:val="single" w:sz="4" w:space="0" w:color="auto"/>
              <w:bottom w:val="single" w:sz="4" w:space="0" w:color="auto"/>
              <w:right w:val="single" w:sz="4" w:space="0" w:color="auto"/>
            </w:tcBorders>
            <w:hideMark/>
          </w:tcPr>
          <w:p w14:paraId="431FADFD" w14:textId="0EBDE06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0.29</w:t>
            </w:r>
          </w:p>
        </w:tc>
        <w:tc>
          <w:tcPr>
            <w:tcW w:w="1975" w:type="dxa"/>
            <w:tcBorders>
              <w:top w:val="single" w:sz="4" w:space="0" w:color="auto"/>
              <w:left w:val="single" w:sz="4" w:space="0" w:color="auto"/>
              <w:bottom w:val="single" w:sz="4" w:space="0" w:color="auto"/>
              <w:right w:val="single" w:sz="4" w:space="0" w:color="auto"/>
            </w:tcBorders>
            <w:hideMark/>
          </w:tcPr>
          <w:p w14:paraId="3162A5E4" w14:textId="117CF09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Adoption expands under mid</w:t>
            </w:r>
            <w:r w:rsidR="008250EB">
              <w:rPr>
                <w:rFonts w:ascii="Times New Roman" w:hAnsi="Times New Roman" w:cs="Times New Roman"/>
                <w:color w:val="000000"/>
              </w:rPr>
              <w:t>dle</w:t>
            </w:r>
            <w:r w:rsidRPr="002F087C">
              <w:rPr>
                <w:rFonts w:ascii="Times New Roman" w:hAnsi="Times New Roman" w:cs="Times New Roman"/>
                <w:color w:val="000000"/>
              </w:rPr>
              <w:t>/high assumptions, but low path remains constrained by price.</w:t>
            </w:r>
          </w:p>
        </w:tc>
      </w:tr>
      <w:tr w:rsidR="002F087C" w:rsidRPr="004E3599" w14:paraId="39584056" w14:textId="77777777" w:rsidTr="002F087C">
        <w:trPr>
          <w:trHeight w:val="1790"/>
        </w:trPr>
        <w:tc>
          <w:tcPr>
            <w:tcW w:w="715" w:type="dxa"/>
            <w:hideMark/>
          </w:tcPr>
          <w:p w14:paraId="2AC9D649"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2029</w:t>
            </w:r>
          </w:p>
        </w:tc>
        <w:tc>
          <w:tcPr>
            <w:tcW w:w="1080" w:type="dxa"/>
            <w:tcBorders>
              <w:top w:val="single" w:sz="4" w:space="0" w:color="auto"/>
              <w:left w:val="nil"/>
              <w:bottom w:val="single" w:sz="4" w:space="0" w:color="auto"/>
              <w:right w:val="single" w:sz="4" w:space="0" w:color="auto"/>
            </w:tcBorders>
            <w:hideMark/>
          </w:tcPr>
          <w:p w14:paraId="1C2E8417" w14:textId="2069B334"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0.052</w:t>
            </w:r>
          </w:p>
        </w:tc>
        <w:tc>
          <w:tcPr>
            <w:tcW w:w="1170" w:type="dxa"/>
            <w:tcBorders>
              <w:top w:val="single" w:sz="4" w:space="0" w:color="auto"/>
              <w:left w:val="single" w:sz="4" w:space="0" w:color="auto"/>
              <w:bottom w:val="single" w:sz="4" w:space="0" w:color="auto"/>
              <w:right w:val="single" w:sz="4" w:space="0" w:color="auto"/>
            </w:tcBorders>
            <w:hideMark/>
          </w:tcPr>
          <w:p w14:paraId="3F8E2A77" w14:textId="054B59F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0.18</w:t>
            </w:r>
          </w:p>
        </w:tc>
        <w:tc>
          <w:tcPr>
            <w:tcW w:w="1080" w:type="dxa"/>
            <w:tcBorders>
              <w:top w:val="single" w:sz="4" w:space="0" w:color="auto"/>
              <w:left w:val="single" w:sz="4" w:space="0" w:color="auto"/>
              <w:bottom w:val="single" w:sz="4" w:space="0" w:color="auto"/>
              <w:right w:val="single" w:sz="4" w:space="0" w:color="auto"/>
            </w:tcBorders>
            <w:hideMark/>
          </w:tcPr>
          <w:p w14:paraId="4BFFF557" w14:textId="2F68749D"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0.088</w:t>
            </w:r>
          </w:p>
        </w:tc>
        <w:tc>
          <w:tcPr>
            <w:tcW w:w="1080" w:type="dxa"/>
            <w:tcBorders>
              <w:top w:val="single" w:sz="4" w:space="0" w:color="auto"/>
              <w:left w:val="single" w:sz="4" w:space="0" w:color="auto"/>
              <w:bottom w:val="single" w:sz="4" w:space="0" w:color="auto"/>
              <w:right w:val="single" w:sz="4" w:space="0" w:color="auto"/>
            </w:tcBorders>
            <w:hideMark/>
          </w:tcPr>
          <w:p w14:paraId="3573E9D7" w14:textId="3D301ADF"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0.29</w:t>
            </w:r>
          </w:p>
        </w:tc>
        <w:tc>
          <w:tcPr>
            <w:tcW w:w="1080" w:type="dxa"/>
            <w:tcBorders>
              <w:top w:val="single" w:sz="4" w:space="0" w:color="auto"/>
              <w:left w:val="single" w:sz="4" w:space="0" w:color="auto"/>
              <w:bottom w:val="single" w:sz="4" w:space="0" w:color="auto"/>
              <w:right w:val="single" w:sz="4" w:space="0" w:color="auto"/>
            </w:tcBorders>
            <w:hideMark/>
          </w:tcPr>
          <w:p w14:paraId="3ADEB1C6" w14:textId="4B920BCF"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0.13</w:t>
            </w:r>
          </w:p>
        </w:tc>
        <w:tc>
          <w:tcPr>
            <w:tcW w:w="1170" w:type="dxa"/>
            <w:tcBorders>
              <w:top w:val="single" w:sz="4" w:space="0" w:color="auto"/>
              <w:left w:val="single" w:sz="4" w:space="0" w:color="auto"/>
              <w:bottom w:val="single" w:sz="4" w:space="0" w:color="auto"/>
              <w:right w:val="single" w:sz="4" w:space="0" w:color="auto"/>
            </w:tcBorders>
            <w:hideMark/>
          </w:tcPr>
          <w:p w14:paraId="0C56DC83" w14:textId="5A3DF32A"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0.39</w:t>
            </w:r>
          </w:p>
        </w:tc>
        <w:tc>
          <w:tcPr>
            <w:tcW w:w="1975" w:type="dxa"/>
            <w:tcBorders>
              <w:top w:val="single" w:sz="4" w:space="0" w:color="auto"/>
              <w:left w:val="single" w:sz="4" w:space="0" w:color="auto"/>
              <w:bottom w:val="single" w:sz="4" w:space="0" w:color="auto"/>
              <w:right w:val="single" w:sz="4" w:space="0" w:color="auto"/>
            </w:tcBorders>
            <w:hideMark/>
          </w:tcPr>
          <w:p w14:paraId="7B56506C" w14:textId="2FB8684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High adoption reflects stronger commercial diffusion; low remains private-pay limited.</w:t>
            </w:r>
          </w:p>
        </w:tc>
      </w:tr>
      <w:tr w:rsidR="002F087C" w:rsidRPr="004E3599" w14:paraId="1BA69A25" w14:textId="77777777" w:rsidTr="002F087C">
        <w:trPr>
          <w:trHeight w:val="1430"/>
        </w:trPr>
        <w:tc>
          <w:tcPr>
            <w:tcW w:w="715" w:type="dxa"/>
            <w:hideMark/>
          </w:tcPr>
          <w:p w14:paraId="09A8FBE3" w14:textId="77777777" w:rsidR="002F087C" w:rsidRPr="00A05B06" w:rsidRDefault="002F087C" w:rsidP="002F087C">
            <w:pPr>
              <w:spacing w:line="240" w:lineRule="auto"/>
              <w:rPr>
                <w:rFonts w:ascii="Times New Roman" w:eastAsia="Times New Roman" w:hAnsi="Times New Roman" w:cs="Times New Roman"/>
                <w:color w:val="000000"/>
                <w:kern w:val="0"/>
                <w14:ligatures w14:val="none"/>
              </w:rPr>
            </w:pPr>
            <w:r w:rsidRPr="00A05B06">
              <w:rPr>
                <w:rFonts w:ascii="Times New Roman" w:eastAsia="Times New Roman" w:hAnsi="Times New Roman" w:cs="Times New Roman"/>
                <w:color w:val="000000"/>
                <w:kern w:val="0"/>
                <w14:ligatures w14:val="none"/>
              </w:rPr>
              <w:t>2030</w:t>
            </w:r>
          </w:p>
        </w:tc>
        <w:tc>
          <w:tcPr>
            <w:tcW w:w="1080" w:type="dxa"/>
            <w:tcBorders>
              <w:top w:val="single" w:sz="4" w:space="0" w:color="auto"/>
              <w:left w:val="nil"/>
              <w:bottom w:val="single" w:sz="4" w:space="0" w:color="auto"/>
              <w:right w:val="single" w:sz="4" w:space="0" w:color="auto"/>
            </w:tcBorders>
            <w:hideMark/>
          </w:tcPr>
          <w:p w14:paraId="32D3E25F" w14:textId="2D8C3945"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0.066</w:t>
            </w:r>
          </w:p>
        </w:tc>
        <w:tc>
          <w:tcPr>
            <w:tcW w:w="1170" w:type="dxa"/>
            <w:tcBorders>
              <w:top w:val="single" w:sz="4" w:space="0" w:color="auto"/>
              <w:left w:val="single" w:sz="4" w:space="0" w:color="auto"/>
              <w:bottom w:val="single" w:sz="4" w:space="0" w:color="auto"/>
              <w:right w:val="single" w:sz="4" w:space="0" w:color="auto"/>
            </w:tcBorders>
            <w:hideMark/>
          </w:tcPr>
          <w:p w14:paraId="05A0251E" w14:textId="327417C4"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0.225</w:t>
            </w:r>
          </w:p>
        </w:tc>
        <w:tc>
          <w:tcPr>
            <w:tcW w:w="1080" w:type="dxa"/>
            <w:tcBorders>
              <w:top w:val="single" w:sz="4" w:space="0" w:color="auto"/>
              <w:left w:val="single" w:sz="4" w:space="0" w:color="auto"/>
              <w:bottom w:val="single" w:sz="4" w:space="0" w:color="auto"/>
              <w:right w:val="single" w:sz="4" w:space="0" w:color="auto"/>
            </w:tcBorders>
            <w:hideMark/>
          </w:tcPr>
          <w:p w14:paraId="6BBC91C4" w14:textId="38B73EC6"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0.115</w:t>
            </w:r>
          </w:p>
        </w:tc>
        <w:tc>
          <w:tcPr>
            <w:tcW w:w="1080" w:type="dxa"/>
            <w:tcBorders>
              <w:top w:val="single" w:sz="4" w:space="0" w:color="auto"/>
              <w:left w:val="single" w:sz="4" w:space="0" w:color="auto"/>
              <w:bottom w:val="single" w:sz="4" w:space="0" w:color="auto"/>
              <w:right w:val="single" w:sz="4" w:space="0" w:color="auto"/>
            </w:tcBorders>
            <w:hideMark/>
          </w:tcPr>
          <w:p w14:paraId="3C30E9F0" w14:textId="598232F3"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0.375</w:t>
            </w:r>
          </w:p>
        </w:tc>
        <w:tc>
          <w:tcPr>
            <w:tcW w:w="1080" w:type="dxa"/>
            <w:tcBorders>
              <w:top w:val="single" w:sz="4" w:space="0" w:color="auto"/>
              <w:left w:val="single" w:sz="4" w:space="0" w:color="auto"/>
              <w:bottom w:val="single" w:sz="4" w:space="0" w:color="auto"/>
              <w:right w:val="single" w:sz="4" w:space="0" w:color="auto"/>
            </w:tcBorders>
            <w:hideMark/>
          </w:tcPr>
          <w:p w14:paraId="3B8B7F05" w14:textId="7F40D16E"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0.17</w:t>
            </w:r>
          </w:p>
        </w:tc>
        <w:tc>
          <w:tcPr>
            <w:tcW w:w="1170" w:type="dxa"/>
            <w:tcBorders>
              <w:top w:val="single" w:sz="4" w:space="0" w:color="auto"/>
              <w:left w:val="single" w:sz="4" w:space="0" w:color="auto"/>
              <w:bottom w:val="single" w:sz="4" w:space="0" w:color="auto"/>
              <w:right w:val="single" w:sz="4" w:space="0" w:color="auto"/>
            </w:tcBorders>
            <w:hideMark/>
          </w:tcPr>
          <w:p w14:paraId="7194ACB1" w14:textId="087940F9"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0.5</w:t>
            </w:r>
          </w:p>
        </w:tc>
        <w:tc>
          <w:tcPr>
            <w:tcW w:w="1975" w:type="dxa"/>
            <w:tcBorders>
              <w:top w:val="single" w:sz="4" w:space="0" w:color="auto"/>
              <w:left w:val="single" w:sz="4" w:space="0" w:color="auto"/>
              <w:bottom w:val="single" w:sz="4" w:space="0" w:color="auto"/>
              <w:right w:val="single" w:sz="4" w:space="0" w:color="auto"/>
            </w:tcBorders>
            <w:hideMark/>
          </w:tcPr>
          <w:p w14:paraId="6FB2063F" w14:textId="560CE4CE" w:rsidR="002F087C" w:rsidRPr="002F087C" w:rsidRDefault="002F087C" w:rsidP="002F087C">
            <w:pPr>
              <w:spacing w:line="240" w:lineRule="auto"/>
              <w:rPr>
                <w:rFonts w:ascii="Times New Roman" w:eastAsia="Times New Roman" w:hAnsi="Times New Roman" w:cs="Times New Roman"/>
                <w:color w:val="000000"/>
                <w:kern w:val="0"/>
                <w14:ligatures w14:val="none"/>
              </w:rPr>
            </w:pPr>
            <w:r w:rsidRPr="002F087C">
              <w:rPr>
                <w:rFonts w:ascii="Times New Roman" w:hAnsi="Times New Roman" w:cs="Times New Roman"/>
                <w:color w:val="000000"/>
              </w:rPr>
              <w:t>Market remains affordability-sensitive; high path reaches broader but still uneven access.</w:t>
            </w:r>
          </w:p>
        </w:tc>
      </w:tr>
    </w:tbl>
    <w:p w14:paraId="6ADDD4F8" w14:textId="1AA3BB8A" w:rsidR="001F60B6" w:rsidRPr="001F60B6" w:rsidRDefault="001F60B6" w:rsidP="00293E36">
      <w:pPr>
        <w:pStyle w:val="Heading1"/>
        <w:numPr>
          <w:ilvl w:val="1"/>
          <w:numId w:val="8"/>
        </w:numPr>
        <w:spacing w:line="480" w:lineRule="auto"/>
        <w:rPr>
          <w:rFonts w:ascii="Times New Roman" w:hAnsi="Times New Roman" w:cs="Times New Roman"/>
          <w:b/>
          <w:bCs/>
          <w:color w:val="auto"/>
          <w:sz w:val="24"/>
          <w:szCs w:val="24"/>
        </w:rPr>
      </w:pPr>
      <w:bookmarkStart w:id="9" w:name="_Toc237678758"/>
      <w:r w:rsidRPr="001F60B6">
        <w:rPr>
          <w:rFonts w:ascii="Times New Roman" w:hAnsi="Times New Roman" w:cs="Times New Roman"/>
          <w:b/>
          <w:bCs/>
          <w:color w:val="auto"/>
          <w:sz w:val="24"/>
          <w:szCs w:val="24"/>
        </w:rPr>
        <w:t xml:space="preserve">Likelihood, </w:t>
      </w:r>
      <w:r w:rsidR="00B37A4D">
        <w:rPr>
          <w:rFonts w:ascii="Times New Roman" w:hAnsi="Times New Roman" w:cs="Times New Roman"/>
          <w:b/>
          <w:bCs/>
          <w:color w:val="auto"/>
          <w:sz w:val="24"/>
          <w:szCs w:val="24"/>
        </w:rPr>
        <w:t>P</w:t>
      </w:r>
      <w:r w:rsidRPr="001F60B6">
        <w:rPr>
          <w:rFonts w:ascii="Times New Roman" w:hAnsi="Times New Roman" w:cs="Times New Roman"/>
          <w:b/>
          <w:bCs/>
          <w:color w:val="auto"/>
          <w:sz w:val="24"/>
          <w:szCs w:val="24"/>
        </w:rPr>
        <w:t xml:space="preserve">rior </w:t>
      </w:r>
      <w:r w:rsidR="00B37A4D">
        <w:rPr>
          <w:rFonts w:ascii="Times New Roman" w:hAnsi="Times New Roman" w:cs="Times New Roman"/>
          <w:b/>
          <w:bCs/>
          <w:color w:val="auto"/>
          <w:sz w:val="24"/>
          <w:szCs w:val="24"/>
        </w:rPr>
        <w:t>D</w:t>
      </w:r>
      <w:r w:rsidRPr="001F60B6">
        <w:rPr>
          <w:rFonts w:ascii="Times New Roman" w:hAnsi="Times New Roman" w:cs="Times New Roman"/>
          <w:b/>
          <w:bCs/>
          <w:color w:val="auto"/>
          <w:sz w:val="24"/>
          <w:szCs w:val="24"/>
        </w:rPr>
        <w:t xml:space="preserve">istributions, and </w:t>
      </w:r>
      <w:r w:rsidR="00B37A4D">
        <w:rPr>
          <w:rFonts w:ascii="Times New Roman" w:hAnsi="Times New Roman" w:cs="Times New Roman"/>
          <w:b/>
          <w:bCs/>
          <w:color w:val="auto"/>
          <w:sz w:val="24"/>
          <w:szCs w:val="24"/>
        </w:rPr>
        <w:t>P</w:t>
      </w:r>
      <w:r w:rsidRPr="001F60B6">
        <w:rPr>
          <w:rFonts w:ascii="Times New Roman" w:hAnsi="Times New Roman" w:cs="Times New Roman"/>
          <w:b/>
          <w:bCs/>
          <w:color w:val="auto"/>
          <w:sz w:val="24"/>
          <w:szCs w:val="24"/>
        </w:rPr>
        <w:t>osterior</w:t>
      </w:r>
      <w:bookmarkEnd w:id="9"/>
    </w:p>
    <w:p w14:paraId="5B401485" w14:textId="03072883" w:rsidR="001F60B6" w:rsidRPr="001F60B6" w:rsidRDefault="001F60B6" w:rsidP="001F60B6">
      <w:pPr>
        <w:spacing w:line="480" w:lineRule="auto"/>
        <w:rPr>
          <w:rFonts w:ascii="Times New Roman" w:hAnsi="Times New Roman" w:cs="Times New Roman"/>
        </w:rPr>
      </w:pPr>
      <w:r w:rsidRPr="001F60B6">
        <w:rPr>
          <w:rFonts w:ascii="Times New Roman" w:hAnsi="Times New Roman" w:cs="Times New Roman"/>
        </w:rPr>
        <w:t xml:space="preserve">Stacking the </w:t>
      </w:r>
      <w:r w:rsidRPr="001F60B6">
        <w:rPr>
          <w:rFonts w:ascii="Times New Roman" w:hAnsi="Times New Roman" w:cs="Times New Roman"/>
          <w:i/>
          <w:iCs/>
        </w:rPr>
        <w:t>T</w:t>
      </w:r>
      <w:r w:rsidRPr="001F60B6">
        <w:rPr>
          <w:rFonts w:ascii="Times New Roman" w:hAnsi="Times New Roman" w:cs="Times New Roman"/>
        </w:rPr>
        <w:t xml:space="preserve"> observed annual new-adoption flows into the vector </w:t>
      </w:r>
      <w:r w:rsidRPr="001F60B6">
        <w:rPr>
          <w:rFonts w:ascii="Times New Roman" w:hAnsi="Times New Roman" w:cs="Times New Roman"/>
          <w:i/>
          <w:iCs/>
        </w:rPr>
        <w:t>S</w:t>
      </w:r>
      <w:r w:rsidRPr="001F60B6">
        <w:rPr>
          <w:rFonts w:ascii="Times New Roman" w:hAnsi="Times New Roman" w:cs="Times New Roman"/>
        </w:rPr>
        <w:t xml:space="preserve">, and writing </w:t>
      </w:r>
      <m:oMath>
        <m:r>
          <w:rPr>
            <w:rFonts w:ascii="Cambria Math" w:hAnsi="Cambria Math" w:cs="Times New Roman"/>
          </w:rPr>
          <m:t>M</m:t>
        </m:r>
        <m:r>
          <m:rPr>
            <m:sty m:val="p"/>
          </m:rP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r>
          <m:rPr>
            <m:sty m:val="p"/>
          </m:rPr>
          <w:rPr>
            <w:rFonts w:ascii="Cambria Math" w:hAnsi="Cambria Math" w:cs="Times New Roman"/>
          </w:rPr>
          <m:t>}</m:t>
        </m:r>
      </m:oMath>
      <w:r w:rsidR="00734E27" w:rsidRPr="001F60B6">
        <w:rPr>
          <w:rFonts w:ascii="Times New Roman" w:hAnsi="Times New Roman" w:cs="Times New Roman"/>
          <w:i/>
          <w:iCs/>
        </w:rPr>
        <w:t xml:space="preserve"> </w:t>
      </w:r>
      <w:r w:rsidRPr="001F60B6">
        <w:rPr>
          <w:rFonts w:ascii="Times New Roman" w:hAnsi="Times New Roman" w:cs="Times New Roman"/>
        </w:rPr>
        <w:t xml:space="preserve">for the market-potential path and </w:t>
      </w:r>
      <m:oMath>
        <m:r>
          <m:rPr>
            <m:sty m:val="p"/>
          </m:rPr>
          <w:rPr>
            <w:rFonts w:ascii="Cambria Math" w:hAnsi="Cambria Math" w:cs="Times New Roman"/>
          </w:rPr>
          <m:t>Δ</m:t>
        </m:r>
        <m:r>
          <w:rPr>
            <w:rFonts w:ascii="Cambria Math" w:hAnsi="Cambria Math" w:cs="Times New Roman"/>
          </w:rPr>
          <m:t>M</m:t>
        </m:r>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t</m:t>
            </m:r>
          </m:sub>
        </m:sSub>
        <m:r>
          <m:rPr>
            <m:sty m:val="p"/>
          </m:rPr>
          <w:rPr>
            <w:rFonts w:ascii="Cambria Math" w:hAnsi="Cambria Math" w:cs="Times New Roman"/>
          </w:rPr>
          <m:t>(</m:t>
        </m:r>
        <m:r>
          <w:rPr>
            <w:rFonts w:ascii="Cambria Math" w:hAnsi="Cambria Math" w:cs="Times New Roman"/>
          </w:rPr>
          <m:t>p</m:t>
        </m:r>
        <m:r>
          <m:rPr>
            <m:sty m:val="p"/>
          </m:rPr>
          <w:rPr>
            <w:rFonts w:ascii="Cambria Math" w:hAnsi="Cambria Math" w:cs="Times New Roman"/>
          </w:rPr>
          <m:t xml:space="preserve">, </m:t>
        </m:r>
        <m:r>
          <w:rPr>
            <w:rFonts w:ascii="Cambria Math" w:hAnsi="Cambria Math" w:cs="Times New Roman"/>
          </w:rPr>
          <m:t>q</m:t>
        </m:r>
        <m:r>
          <m:rPr>
            <m:sty m:val="p"/>
          </m:rPr>
          <w:rPr>
            <w:rFonts w:ascii="Cambria Math" w:hAnsi="Cambria Math" w:cs="Times New Roman"/>
          </w:rPr>
          <m:t xml:space="preserve">, </m:t>
        </m:r>
        <m:r>
          <w:rPr>
            <w:rFonts w:ascii="Cambria Math" w:hAnsi="Cambria Math" w:cs="Times New Roman"/>
          </w:rPr>
          <m:t>β</m:t>
        </m:r>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t</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t-1</m:t>
            </m:r>
          </m:sub>
        </m:sSub>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t-1</m:t>
            </m:r>
          </m:sub>
        </m:sSub>
      </m:oMath>
      <w:r w:rsidR="00283046">
        <w:rPr>
          <w:rFonts w:ascii="Times New Roman" w:eastAsiaTheme="minorEastAsia" w:hAnsi="Times New Roman" w:cs="Times New Roman"/>
        </w:rPr>
        <w:t xml:space="preserve"> </w:t>
      </w:r>
      <w:r w:rsidRPr="001F60B6">
        <w:rPr>
          <w:rFonts w:ascii="Times New Roman" w:hAnsi="Times New Roman" w:cs="Times New Roman"/>
        </w:rPr>
        <w:t xml:space="preserve">for the model-implied flow (Equation 9 of the main text), the normality of the error term </w:t>
      </w:r>
      <w:proofErr w:type="spellStart"/>
      <w:r w:rsidRPr="001F60B6">
        <w:rPr>
          <w:rFonts w:ascii="Times New Roman" w:hAnsi="Times New Roman" w:cs="Times New Roman"/>
          <w:i/>
          <w:iCs/>
        </w:rPr>
        <w:t>u</w:t>
      </w:r>
      <w:r w:rsidRPr="001F60B6">
        <w:rPr>
          <w:rFonts w:ascii="Times New Roman" w:hAnsi="Times New Roman" w:cs="Times New Roman"/>
          <w:vertAlign w:val="subscript"/>
        </w:rPr>
        <w:t>t</w:t>
      </w:r>
      <w:proofErr w:type="spellEnd"/>
      <w:r w:rsidRPr="001F60B6">
        <w:rPr>
          <w:rFonts w:ascii="Times New Roman" w:hAnsi="Times New Roman" w:cs="Times New Roman"/>
        </w:rPr>
        <w:t xml:space="preserve"> in Equations (5)</w:t>
      </w:r>
      <w:proofErr w:type="gramStart"/>
      <w:r w:rsidRPr="001F60B6">
        <w:rPr>
          <w:rFonts w:ascii="Times New Roman" w:hAnsi="Times New Roman" w:cs="Times New Roman"/>
        </w:rPr>
        <w:t>–(</w:t>
      </w:r>
      <w:proofErr w:type="gramEnd"/>
      <w:r w:rsidRPr="001F60B6">
        <w:rPr>
          <w:rFonts w:ascii="Times New Roman" w:hAnsi="Times New Roman" w:cs="Times New Roman"/>
        </w:rPr>
        <w:t>6) implies the Gaussian likelihood of Equation (8):</w:t>
      </w:r>
    </w:p>
    <w:p w14:paraId="446017D8" w14:textId="2B092B52" w:rsidR="001F60B6" w:rsidRPr="001F60B6" w:rsidRDefault="001F60B6" w:rsidP="001F60B6">
      <w:pPr>
        <w:tabs>
          <w:tab w:val="center" w:pos="4680"/>
          <w:tab w:val="right" w:pos="9360"/>
        </w:tabs>
        <w:spacing w:before="120" w:after="120" w:line="360" w:lineRule="auto"/>
        <w:rPr>
          <w:rFonts w:ascii="Times New Roman" w:hAnsi="Times New Roman" w:cs="Times New Roman"/>
        </w:rPr>
      </w:pPr>
      <w:r w:rsidRPr="001F60B6">
        <w:rPr>
          <w:rFonts w:ascii="Times New Roman" w:hAnsi="Times New Roman" w:cs="Times New Roman"/>
        </w:rPr>
        <w:tab/>
      </w:r>
      <m:oMath>
        <m:r>
          <w:rPr>
            <w:rFonts w:ascii="Cambria Math" w:hAnsi="Cambria Math" w:cs="Times New Roman"/>
          </w:rPr>
          <m:t>f(S∣p,q,β,</m:t>
        </m:r>
        <m:sSup>
          <m:sSupPr>
            <m:ctrlPr>
              <w:rPr>
                <w:rFonts w:ascii="Cambria Math" w:hAnsi="Cambria Math" w:cs="Times New Roman"/>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 xml:space="preserve">,Z,M) = </m:t>
        </m:r>
        <m:sSup>
          <m:sSupPr>
            <m:ctrlPr>
              <w:rPr>
                <w:rFonts w:ascii="Cambria Math" w:hAnsi="Cambria Math" w:cs="Times New Roman"/>
              </w:rPr>
            </m:ctrlPr>
          </m:sSupPr>
          <m:e>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2π</m:t>
                </m:r>
                <m:sSup>
                  <m:sSupPr>
                    <m:ctrlPr>
                      <w:rPr>
                        <w:rFonts w:ascii="Cambria Math" w:hAnsi="Cambria Math" w:cs="Times New Roman"/>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m:t>
            </m:r>
          </m:e>
          <m:sup>
            <m:r>
              <w:rPr>
                <w:rFonts w:ascii="Cambria Math" w:hAnsi="Cambria Math" w:cs="Times New Roman"/>
              </w:rPr>
              <m:t>T/2</m:t>
            </m:r>
          </m:sup>
        </m:sSup>
        <m:r>
          <w:rPr>
            <w:rFonts w:ascii="Cambria Math" w:hAnsi="Cambria Math" w:cs="Times New Roman"/>
          </w:rPr>
          <m:t> exp{-</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σ</m:t>
                </m:r>
              </m:e>
              <m:sup>
                <m:r>
                  <w:rPr>
                    <w:rFonts w:ascii="Cambria Math" w:hAnsi="Cambria Math" w:cs="Times New Roman"/>
                  </w:rPr>
                  <m:t>2</m:t>
                </m:r>
              </m:sup>
            </m:sSup>
          </m:den>
        </m:f>
        <m:r>
          <w:rPr>
            <w:rFonts w:ascii="Cambria Math" w:hAnsi="Cambria Math" w:cs="Times New Roman"/>
          </w:rPr>
          <m:t>[S-MΔF(p,q,β)]'[S-MΔF(p,q,β)]}</m:t>
        </m:r>
      </m:oMath>
      <w:r w:rsidRPr="001F60B6">
        <w:rPr>
          <w:rFonts w:ascii="Times New Roman" w:hAnsi="Times New Roman" w:cs="Times New Roman"/>
        </w:rPr>
        <w:tab/>
        <w:t>(14)</w:t>
      </w:r>
    </w:p>
    <w:p w14:paraId="357F9807" w14:textId="5DFC8C9E" w:rsidR="001F60B6" w:rsidRPr="001F60B6" w:rsidRDefault="001F60B6" w:rsidP="001F60B6">
      <w:pPr>
        <w:spacing w:line="480" w:lineRule="auto"/>
        <w:rPr>
          <w:rFonts w:ascii="Times New Roman" w:hAnsi="Times New Roman" w:cs="Times New Roman"/>
        </w:rPr>
      </w:pPr>
      <w:r w:rsidRPr="001F60B6">
        <w:rPr>
          <w:rFonts w:ascii="Times New Roman" w:hAnsi="Times New Roman" w:cs="Times New Roman"/>
        </w:rPr>
        <w:t xml:space="preserve">Because </w:t>
      </w:r>
      <w:proofErr w:type="gramStart"/>
      <w:r w:rsidRPr="001F60B6">
        <w:rPr>
          <w:rFonts w:ascii="Times New Roman" w:hAnsi="Times New Roman" w:cs="Times New Roman"/>
        </w:rPr>
        <w:t>no</w:t>
      </w:r>
      <w:proofErr w:type="gramEnd"/>
      <w:r w:rsidRPr="001F60B6">
        <w:rPr>
          <w:rFonts w:ascii="Times New Roman" w:hAnsi="Times New Roman" w:cs="Times New Roman"/>
        </w:rPr>
        <w:t xml:space="preserve"> directly comparable historical GLP-1 weight-loss market exists, the prior distributions are literature-informed (forecasting by analogy; Ramírez-Hassan and Montoya-Blandón, 2020). </w:t>
      </w:r>
      <w:r w:rsidR="00153245">
        <w:rPr>
          <w:rFonts w:ascii="Times New Roman" w:hAnsi="Times New Roman" w:cs="Times New Roman"/>
        </w:rPr>
        <w:t>For the U.S. estimation, t</w:t>
      </w:r>
      <w:r w:rsidRPr="001F60B6">
        <w:rPr>
          <w:rFonts w:ascii="Times New Roman" w:hAnsi="Times New Roman" w:cs="Times New Roman"/>
        </w:rPr>
        <w:t xml:space="preserve">he innovation and imitation coefficients receive uniform priors over ranges consistent with pharmaceutical and consumer-durable diffusion studies, </w:t>
      </w:r>
      <m:oMath>
        <m:r>
          <w:rPr>
            <w:rFonts w:ascii="Cambria Math" w:hAnsi="Cambria Math" w:cs="Times New Roman"/>
          </w:rPr>
          <m:t>p</m:t>
        </m:r>
        <m:r>
          <m:rPr>
            <m:sty m:val="p"/>
          </m:rPr>
          <w:rPr>
            <w:rFonts w:ascii="Cambria Math" w:hAnsi="Cambria Math" w:cs="Times New Roman"/>
          </w:rPr>
          <m:t xml:space="preserve"> ~ Uniform (</m:t>
        </m:r>
        <m:sSub>
          <m:sSubPr>
            <m:ctrlPr>
              <w:rPr>
                <w:rFonts w:ascii="Cambria Math" w:hAnsi="Cambria Math" w:cs="Times New Roman"/>
                <w:i/>
              </w:rPr>
            </m:ctrlPr>
          </m:sSubPr>
          <m:e>
            <m:r>
              <w:rPr>
                <w:rFonts w:ascii="Cambria Math" w:hAnsi="Cambria Math" w:cs="Times New Roman"/>
              </w:rPr>
              <m:t>p</m:t>
            </m:r>
          </m:e>
          <m:sub>
            <m:r>
              <m:rPr>
                <m:sty m:val="p"/>
              </m:rPr>
              <w:rPr>
                <w:rFonts w:ascii="Cambria Math" w:hAnsi="Cambria Math" w:cs="Times New Roman"/>
                <w:vertAlign w:val="subscript"/>
              </w:rPr>
              <m:t>L</m:t>
            </m:r>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m:rPr>
                <m:sty m:val="p"/>
              </m:rPr>
              <w:rPr>
                <w:rFonts w:ascii="Cambria Math" w:hAnsi="Cambria Math" w:cs="Times New Roman"/>
                <w:vertAlign w:val="subscript"/>
              </w:rPr>
              <m:t>U</m:t>
            </m:r>
          </m:sub>
        </m:sSub>
        <m:r>
          <m:rPr>
            <m:sty m:val="p"/>
          </m:rPr>
          <w:rPr>
            <w:rFonts w:ascii="Cambria Math" w:hAnsi="Cambria Math" w:cs="Times New Roman"/>
          </w:rPr>
          <m:t xml:space="preserve">) </m:t>
        </m:r>
      </m:oMath>
      <w:r w:rsidR="00F5702A" w:rsidRPr="001F60B6">
        <w:rPr>
          <w:rFonts w:ascii="Times New Roman" w:hAnsi="Times New Roman" w:cs="Times New Roman"/>
          <w:i/>
          <w:iCs/>
        </w:rPr>
        <w:t xml:space="preserve"> </w:t>
      </w:r>
      <w:r w:rsidRPr="001F60B6">
        <w:rPr>
          <w:rFonts w:ascii="Times New Roman" w:hAnsi="Times New Roman" w:cs="Times New Roman"/>
        </w:rPr>
        <w:t xml:space="preserve">and </w:t>
      </w:r>
      <m:oMath>
        <m:r>
          <w:rPr>
            <w:rFonts w:ascii="Cambria Math" w:hAnsi="Cambria Math" w:cs="Times New Roman"/>
          </w:rPr>
          <m:t>q</m:t>
        </m:r>
        <m:r>
          <m:rPr>
            <m:sty m:val="p"/>
          </m:rPr>
          <w:rPr>
            <w:rFonts w:ascii="Cambria Math" w:hAnsi="Cambria Math" w:cs="Times New Roman"/>
          </w:rPr>
          <m:t xml:space="preserve"> ~ Uniform (</m:t>
        </m:r>
        <m:sSub>
          <m:sSubPr>
            <m:ctrlPr>
              <w:rPr>
                <w:rFonts w:ascii="Cambria Math" w:hAnsi="Cambria Math" w:cs="Times New Roman"/>
                <w:i/>
              </w:rPr>
            </m:ctrlPr>
          </m:sSubPr>
          <m:e>
            <m:r>
              <w:rPr>
                <w:rFonts w:ascii="Cambria Math" w:hAnsi="Cambria Math" w:cs="Times New Roman"/>
              </w:rPr>
              <m:t>q</m:t>
            </m:r>
          </m:e>
          <m:sub>
            <m:r>
              <m:rPr>
                <m:sty m:val="p"/>
              </m:rPr>
              <w:rPr>
                <w:rFonts w:ascii="Cambria Math" w:hAnsi="Cambria Math" w:cs="Times New Roman"/>
                <w:vertAlign w:val="subscript"/>
              </w:rPr>
              <m:t>L</m:t>
            </m:r>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m:rPr>
                <m:sty m:val="p"/>
              </m:rPr>
              <w:rPr>
                <w:rFonts w:ascii="Cambria Math" w:hAnsi="Cambria Math" w:cs="Times New Roman"/>
                <w:vertAlign w:val="subscript"/>
              </w:rPr>
              <m:t>U</m:t>
            </m:r>
          </m:sub>
        </m:sSub>
        <m:r>
          <m:rPr>
            <m:sty m:val="p"/>
          </m:rPr>
          <w:rPr>
            <w:rFonts w:ascii="Cambria Math" w:hAnsi="Cambria Math" w:cs="Times New Roman"/>
          </w:rPr>
          <m:t>)</m:t>
        </m:r>
      </m:oMath>
      <w:r w:rsidR="00324BC2" w:rsidRPr="00324BC2">
        <w:rPr>
          <w:rFonts w:ascii="Times New Roman" w:hAnsi="Times New Roman" w:cs="Times New Roman"/>
        </w:rPr>
        <w:t>.</w:t>
      </w:r>
      <w:r w:rsidR="00324BC2">
        <w:rPr>
          <w:rFonts w:ascii="Times New Roman" w:hAnsi="Times New Roman" w:cs="Times New Roman"/>
          <w:i/>
          <w:iCs/>
        </w:rPr>
        <w:t xml:space="preserve"> </w:t>
      </w:r>
      <w:r w:rsidRPr="001F60B6">
        <w:rPr>
          <w:rFonts w:ascii="Times New Roman" w:hAnsi="Times New Roman" w:cs="Times New Roman"/>
        </w:rPr>
        <w:t xml:space="preserve">The market-effort coefficients receive truncated normal priors restricted to positive values, </w:t>
      </w:r>
      <m:oMath>
        <m:sSub>
          <m:sSubPr>
            <m:ctrlPr>
              <w:rPr>
                <w:rFonts w:ascii="Cambria Math" w:hAnsi="Cambria Math" w:cs="Times New Roman"/>
                <w:i/>
              </w:rPr>
            </m:ctrlPr>
          </m:sSubPr>
          <m:e>
            <m:r>
              <w:rPr>
                <w:rFonts w:ascii="Cambria Math" w:hAnsi="Cambria Math" w:cs="Times New Roman"/>
              </w:rPr>
              <m:t>β</m:t>
            </m:r>
          </m:e>
          <m:sub>
            <m:r>
              <m:rPr>
                <m:sty m:val="p"/>
              </m:rPr>
              <w:rPr>
                <w:rFonts w:ascii="Cambria Math" w:hAnsi="Cambria Math" w:cs="Times New Roman"/>
                <w:vertAlign w:val="subscript"/>
              </w:rPr>
              <m:t>1</m:t>
            </m:r>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β</m:t>
            </m:r>
          </m:e>
          <m:sub>
            <m:r>
              <m:rPr>
                <m:sty m:val="p"/>
              </m:rPr>
              <w:rPr>
                <w:rFonts w:ascii="Cambria Math" w:hAnsi="Cambria Math" w:cs="Times New Roman"/>
                <w:vertAlign w:val="subscript"/>
              </w:rPr>
              <m:t>2</m:t>
            </m:r>
          </m:sub>
        </m:sSub>
        <m:r>
          <m:rPr>
            <m:sty m:val="p"/>
          </m:rPr>
          <w:rPr>
            <w:rFonts w:ascii="Cambria Math" w:hAnsi="Cambria Math" w:cs="Times New Roman"/>
          </w:rPr>
          <m:t xml:space="preserve"> ~ N(μ, σ²)</m:t>
        </m:r>
      </m:oMath>
      <w:r w:rsidR="00324BC2" w:rsidRPr="001F60B6">
        <w:rPr>
          <w:rFonts w:ascii="Times New Roman" w:hAnsi="Times New Roman" w:cs="Times New Roman"/>
          <w:i/>
          <w:iCs/>
        </w:rPr>
        <w:t xml:space="preserve"> </w:t>
      </w:r>
      <w:r w:rsidRPr="001F60B6">
        <w:rPr>
          <w:rFonts w:ascii="Times New Roman" w:hAnsi="Times New Roman" w:cs="Times New Roman"/>
        </w:rPr>
        <w:t>truncated to</w:t>
      </w:r>
      <w:r w:rsidR="00324BC2">
        <w:rPr>
          <w:rFonts w:ascii="Times New Roman" w:hAnsi="Times New Roman" w:cs="Times New Roman"/>
        </w:rPr>
        <w:t xml:space="preserve"> </w:t>
      </w:r>
      <m:oMath>
        <m:r>
          <m:rPr>
            <m:sty m:val="p"/>
          </m:rPr>
          <w:rPr>
            <w:rFonts w:ascii="Cambria Math" w:hAnsi="Cambria Math" w:cs="Times New Roman"/>
          </w:rPr>
          <m:t>(0, ∞)</m:t>
        </m:r>
      </m:oMath>
      <w:r w:rsidR="00324BC2">
        <w:rPr>
          <w:rFonts w:ascii="Times New Roman" w:eastAsiaTheme="minorEastAsia" w:hAnsi="Times New Roman" w:cs="Times New Roman"/>
        </w:rPr>
        <w:t>,</w:t>
      </w:r>
      <w:r w:rsidRPr="001F60B6">
        <w:rPr>
          <w:rFonts w:ascii="Times New Roman" w:hAnsi="Times New Roman" w:cs="Times New Roman"/>
        </w:rPr>
        <w:t xml:space="preserve"> reflecting the assumption that improvements in affordability and awareness weakly accelerate diffusion (Equation 10 of the main text). The error variance receives a Scaled-Beta2 prior, </w:t>
      </w:r>
      <m:oMath>
        <m:r>
          <m:rPr>
            <m:sty m:val="p"/>
          </m:rPr>
          <w:rPr>
            <w:rFonts w:ascii="Cambria Math" w:hAnsi="Cambria Math" w:cs="Times New Roman"/>
          </w:rPr>
          <m:t>σ² ~ SBeta2(</m:t>
        </m:r>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vertAlign w:val="subscript"/>
              </w:rPr>
              <m:t>0</m:t>
            </m:r>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b</m:t>
            </m:r>
          </m:e>
          <m:sub>
            <m:r>
              <m:rPr>
                <m:sty m:val="p"/>
              </m:rPr>
              <w:rPr>
                <w:rFonts w:ascii="Cambria Math" w:hAnsi="Cambria Math" w:cs="Times New Roman"/>
                <w:vertAlign w:val="subscript"/>
              </w:rPr>
              <m:t>0</m:t>
            </m:r>
          </m:sub>
        </m:sSub>
        <m:r>
          <m:rPr>
            <m:sty m:val="p"/>
          </m:rPr>
          <w:rPr>
            <w:rFonts w:ascii="Cambria Math" w:hAnsi="Cambria Math" w:cs="Times New Roman"/>
          </w:rPr>
          <m:t>, κ)</m:t>
        </m:r>
      </m:oMath>
      <w:r w:rsidRPr="001F60B6">
        <w:rPr>
          <w:rFonts w:ascii="Times New Roman" w:hAnsi="Times New Roman" w:cs="Times New Roman"/>
        </w:rPr>
        <w:t>, which is constructed from the odds of a beta-distributed variable,</w:t>
      </w:r>
      <w:r w:rsidR="00324BC2">
        <w:rPr>
          <w:rFonts w:ascii="Times New Roman" w:hAnsi="Times New Roman" w:cs="Times New Roman"/>
        </w:rPr>
        <w:t xml:space="preserve"> </w:t>
      </w:r>
      <m:oMath>
        <m:r>
          <m:rPr>
            <m:sty m:val="p"/>
          </m:rPr>
          <w:rPr>
            <w:rFonts w:ascii="Cambria Math" w:hAnsi="Cambria Math" w:cs="Times New Roman"/>
          </w:rPr>
          <m:t>σ² = κ ω/(1-ω)</m:t>
        </m:r>
      </m:oMath>
      <w:r w:rsidRPr="001F60B6">
        <w:rPr>
          <w:rFonts w:ascii="Times New Roman" w:hAnsi="Times New Roman" w:cs="Times New Roman"/>
        </w:rPr>
        <w:t xml:space="preserve"> with </w:t>
      </w:r>
      <m:oMath>
        <m:r>
          <m:rPr>
            <m:sty m:val="p"/>
          </m:rPr>
          <w:rPr>
            <w:rFonts w:ascii="Cambria Math" w:hAnsi="Cambria Math" w:cs="Times New Roman"/>
          </w:rPr>
          <m:t>ω ~ Beta(</m:t>
        </m:r>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vertAlign w:val="subscript"/>
              </w:rPr>
              <m:t>0</m:t>
            </m:r>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b</m:t>
            </m:r>
          </m:e>
          <m:sub>
            <m:r>
              <m:rPr>
                <m:sty m:val="p"/>
              </m:rPr>
              <w:rPr>
                <w:rFonts w:ascii="Cambria Math" w:hAnsi="Cambria Math" w:cs="Times New Roman"/>
                <w:vertAlign w:val="subscript"/>
              </w:rPr>
              <m:t>0</m:t>
            </m:r>
          </m:sub>
        </m:sSub>
        <m:r>
          <m:rPr>
            <m:sty m:val="p"/>
          </m:rPr>
          <w:rPr>
            <w:rFonts w:ascii="Cambria Math" w:hAnsi="Cambria Math" w:cs="Times New Roman"/>
          </w:rPr>
          <m:t>)</m:t>
        </m:r>
      </m:oMath>
      <w:r w:rsidRPr="001F60B6">
        <w:rPr>
          <w:rFonts w:ascii="Times New Roman" w:hAnsi="Times New Roman" w:cs="Times New Roman"/>
        </w:rPr>
        <w:t xml:space="preserve">. We set </w:t>
      </w:r>
      <m:oMath>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vertAlign w:val="subscript"/>
              </w:rPr>
              <m:t>0</m:t>
            </m:r>
          </m:sub>
        </m:sSub>
        <m:r>
          <m:rPr>
            <m:sty m:val="p"/>
          </m:rP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b</m:t>
            </m:r>
          </m:e>
          <m:sub>
            <m:r>
              <m:rPr>
                <m:sty m:val="p"/>
              </m:rPr>
              <w:rPr>
                <w:rFonts w:ascii="Cambria Math" w:hAnsi="Cambria Math" w:cs="Times New Roman"/>
                <w:vertAlign w:val="subscript"/>
              </w:rPr>
              <m:t>0</m:t>
            </m:r>
          </m:sub>
        </m:sSub>
        <m:r>
          <m:rPr>
            <m:sty m:val="p"/>
          </m:rPr>
          <w:rPr>
            <w:rFonts w:ascii="Cambria Math" w:hAnsi="Cambria Math" w:cs="Times New Roman"/>
          </w:rPr>
          <m:t xml:space="preserve"> = 1</m:t>
        </m:r>
      </m:oMath>
      <w:r w:rsidRPr="001F60B6">
        <w:rPr>
          <w:rFonts w:ascii="Times New Roman" w:hAnsi="Times New Roman" w:cs="Times New Roman"/>
        </w:rPr>
        <w:t xml:space="preserve">, so that </w:t>
      </w:r>
      <m:oMath>
        <m:r>
          <m:rPr>
            <m:sty m:val="p"/>
          </m:rPr>
          <w:rPr>
            <w:rFonts w:ascii="Cambria Math" w:hAnsi="Cambria Math" w:cs="Times New Roman"/>
          </w:rPr>
          <m:t>κ</m:t>
        </m:r>
      </m:oMath>
      <w:r w:rsidRPr="001F60B6">
        <w:rPr>
          <w:rFonts w:ascii="Times New Roman" w:hAnsi="Times New Roman" w:cs="Times New Roman"/>
        </w:rPr>
        <w:t xml:space="preserve"> is the prior median of </w:t>
      </w:r>
      <m:oMath>
        <m:r>
          <m:rPr>
            <m:sty m:val="p"/>
          </m:rPr>
          <w:rPr>
            <w:rFonts w:ascii="Cambria Math" w:hAnsi="Cambria Math" w:cs="Times New Roman"/>
          </w:rPr>
          <m:t>σ²</m:t>
        </m:r>
      </m:oMath>
      <w:r w:rsidRPr="001F60B6">
        <w:rPr>
          <w:rFonts w:ascii="Times New Roman" w:hAnsi="Times New Roman" w:cs="Times New Roman"/>
        </w:rPr>
        <w:t xml:space="preserve">, and fix </w:t>
      </w:r>
      <m:oMath>
        <m:r>
          <m:rPr>
            <m:sty m:val="p"/>
          </m:rPr>
          <w:rPr>
            <w:rFonts w:ascii="Cambria Math" w:hAnsi="Cambria Math" w:cs="Times New Roman"/>
          </w:rPr>
          <m:t>κ= 5 × Var(ΔC)</m:t>
        </m:r>
      </m:oMath>
      <w:r w:rsidRPr="001F60B6">
        <w:rPr>
          <w:rFonts w:ascii="Times New Roman" w:hAnsi="Times New Roman" w:cs="Times New Roman"/>
        </w:rPr>
        <w:t>, five times the sample variance of the observed annual new-adoption flow, giving a weakly informative prior. This Scaled-Beta2 specification (Fúquene et al., 2014; Ramírez-Hassan and Montoya-Blandón, 2020) avoids the impropriety of the limiting inverse-gamma prior for variance parameters (Gelman, 2006)</w:t>
      </w:r>
      <w:r w:rsidR="00153245">
        <w:rPr>
          <w:rFonts w:ascii="Times New Roman" w:hAnsi="Times New Roman" w:cs="Times New Roman"/>
        </w:rPr>
        <w:t>.</w:t>
      </w:r>
      <w:r w:rsidRPr="001F60B6">
        <w:rPr>
          <w:rFonts w:ascii="Times New Roman" w:hAnsi="Times New Roman" w:cs="Times New Roman"/>
        </w:rPr>
        <w:t xml:space="preserve"> All priors are mutually independent. By Bayes’ rule the posterior is proportional to the likelihood times the joint prior,</w:t>
      </w:r>
    </w:p>
    <w:p w14:paraId="7AF82738" w14:textId="68BE94BA" w:rsidR="001F60B6" w:rsidRPr="001F60B6" w:rsidRDefault="001F60B6" w:rsidP="001F60B6">
      <w:pPr>
        <w:tabs>
          <w:tab w:val="center" w:pos="4680"/>
          <w:tab w:val="right" w:pos="9360"/>
        </w:tabs>
        <w:spacing w:before="120" w:after="120" w:line="360" w:lineRule="auto"/>
        <w:rPr>
          <w:rFonts w:ascii="Times New Roman" w:hAnsi="Times New Roman" w:cs="Times New Roman"/>
        </w:rPr>
      </w:pPr>
      <w:r w:rsidRPr="001F60B6">
        <w:rPr>
          <w:rFonts w:ascii="Times New Roman" w:hAnsi="Times New Roman" w:cs="Times New Roman"/>
        </w:rPr>
        <w:tab/>
      </w:r>
      <m:oMath>
        <m:r>
          <w:rPr>
            <w:rFonts w:ascii="Cambria Math" w:hAnsi="Cambria Math" w:cs="Times New Roman"/>
          </w:rPr>
          <m:t>π(p,q,β,</m:t>
        </m:r>
        <m:sSup>
          <m:sSupPr>
            <m:ctrlPr>
              <w:rPr>
                <w:rFonts w:ascii="Cambria Math" w:hAnsi="Cambria Math" w:cs="Times New Roman"/>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∣S,Z,M) ∝ f(S∣p,q,β,</m:t>
        </m:r>
        <m:sSup>
          <m:sSupPr>
            <m:ctrlPr>
              <w:rPr>
                <w:rFonts w:ascii="Cambria Math" w:hAnsi="Cambria Math" w:cs="Times New Roman"/>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,Z,M) π(p,q,β,</m:t>
        </m:r>
        <m:sSup>
          <m:sSupPr>
            <m:ctrlPr>
              <w:rPr>
                <w:rFonts w:ascii="Cambria Math" w:hAnsi="Cambria Math" w:cs="Times New Roman"/>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m:t>
        </m:r>
      </m:oMath>
      <w:r w:rsidRPr="001F60B6">
        <w:rPr>
          <w:rFonts w:ascii="Times New Roman" w:hAnsi="Times New Roman" w:cs="Times New Roman"/>
        </w:rPr>
        <w:tab/>
        <w:t>(15)</w:t>
      </w:r>
    </w:p>
    <w:p w14:paraId="1D059804" w14:textId="49170836" w:rsidR="001F60B6" w:rsidRDefault="001F60B6" w:rsidP="001F60B6">
      <w:pPr>
        <w:spacing w:line="480" w:lineRule="auto"/>
        <w:rPr>
          <w:rFonts w:ascii="Times New Roman" w:hAnsi="Times New Roman" w:cs="Times New Roman"/>
        </w:rPr>
      </w:pPr>
      <w:r w:rsidRPr="001F60B6">
        <w:rPr>
          <w:rFonts w:ascii="Times New Roman" w:hAnsi="Times New Roman" w:cs="Times New Roman"/>
        </w:rPr>
        <w:t xml:space="preserve">Because </w:t>
      </w:r>
      <w:r w:rsidRPr="001F60B6">
        <w:rPr>
          <w:rFonts w:ascii="Times New Roman" w:hAnsi="Times New Roman" w:cs="Times New Roman"/>
          <w:i/>
          <w:iCs/>
        </w:rPr>
        <w:t>F</w:t>
      </w:r>
      <w:r w:rsidRPr="001F60B6">
        <w:rPr>
          <w:rFonts w:ascii="Times New Roman" w:hAnsi="Times New Roman" w:cs="Times New Roman"/>
        </w:rPr>
        <w:t>(</w:t>
      </w:r>
      <w:r w:rsidRPr="001F60B6">
        <w:rPr>
          <w:rFonts w:ascii="Times New Roman" w:hAnsi="Times New Roman" w:cs="Times New Roman"/>
          <w:i/>
          <w:iCs/>
        </w:rPr>
        <w:t>t</w:t>
      </w:r>
      <w:r w:rsidRPr="001F60B6">
        <w:rPr>
          <w:rFonts w:ascii="Times New Roman" w:hAnsi="Times New Roman" w:cs="Times New Roman"/>
        </w:rPr>
        <w:t xml:space="preserve">) in Equation (A.12) is a highly nonlinear function of </w:t>
      </w:r>
      <m:oMath>
        <m:r>
          <w:rPr>
            <w:rFonts w:ascii="Cambria Math" w:hAnsi="Cambria Math" w:cs="Times New Roman"/>
          </w:rPr>
          <m:t>(p</m:t>
        </m:r>
        <m:r>
          <m:rPr>
            <m:sty m:val="p"/>
          </m:rPr>
          <w:rPr>
            <w:rFonts w:ascii="Cambria Math" w:hAnsi="Cambria Math" w:cs="Times New Roman"/>
          </w:rPr>
          <m:t xml:space="preserve">, </m:t>
        </m:r>
        <m:r>
          <w:rPr>
            <w:rFonts w:ascii="Cambria Math" w:hAnsi="Cambria Math" w:cs="Times New Roman"/>
          </w:rPr>
          <m:t>q</m:t>
        </m:r>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β</m:t>
            </m:r>
          </m:e>
          <m:sub>
            <m:r>
              <m:rPr>
                <m:sty m:val="p"/>
              </m:rPr>
              <w:rPr>
                <w:rFonts w:ascii="Cambria Math" w:hAnsi="Cambria Math" w:cs="Times New Roman"/>
                <w:vertAlign w:val="subscript"/>
              </w:rPr>
              <m:t>1</m:t>
            </m:r>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β</m:t>
            </m:r>
          </m:e>
          <m:sub>
            <m:r>
              <m:rPr>
                <m:sty m:val="p"/>
              </m:rPr>
              <w:rPr>
                <w:rFonts w:ascii="Cambria Math" w:hAnsi="Cambria Math" w:cs="Times New Roman"/>
                <w:vertAlign w:val="subscript"/>
              </w:rPr>
              <m:t>2</m:t>
            </m:r>
          </m:sub>
        </m:sSub>
        <m:r>
          <m:rPr>
            <m:sty m:val="p"/>
          </m:rPr>
          <w:rPr>
            <w:rFonts w:ascii="Cambria Math" w:hAnsi="Times New Roman" w:cs="Times New Roman"/>
            <w:vertAlign w:val="subscript"/>
          </w:rPr>
          <m:t>)</m:t>
        </m:r>
      </m:oMath>
      <w:r w:rsidR="00783672">
        <w:rPr>
          <w:rFonts w:ascii="Times New Roman" w:eastAsiaTheme="minorEastAsia" w:hAnsi="Times New Roman" w:cs="Times New Roman"/>
          <w:vertAlign w:val="subscript"/>
        </w:rPr>
        <w:t xml:space="preserve"> </w:t>
      </w:r>
      <w:r w:rsidRPr="001F60B6">
        <w:rPr>
          <w:rFonts w:ascii="Times New Roman" w:hAnsi="Times New Roman" w:cs="Times New Roman"/>
        </w:rPr>
        <w:t>the posterior in (A.15) has no closed form and is explored by MCMC simulation.</w:t>
      </w:r>
    </w:p>
    <w:p w14:paraId="155E8ECC" w14:textId="0AEF63DB" w:rsidR="00AF0ACB" w:rsidRPr="00AF0ACB" w:rsidRDefault="00AF0ACB" w:rsidP="00293E36">
      <w:pPr>
        <w:pStyle w:val="Heading1"/>
        <w:numPr>
          <w:ilvl w:val="1"/>
          <w:numId w:val="8"/>
        </w:numPr>
        <w:spacing w:line="480" w:lineRule="auto"/>
        <w:rPr>
          <w:rFonts w:ascii="Times New Roman" w:hAnsi="Times New Roman" w:cs="Times New Roman"/>
          <w:b/>
          <w:bCs/>
          <w:color w:val="auto"/>
          <w:sz w:val="24"/>
          <w:szCs w:val="24"/>
        </w:rPr>
      </w:pPr>
      <w:bookmarkStart w:id="10" w:name="_Toc237678759"/>
      <w:r>
        <w:rPr>
          <w:rFonts w:ascii="Times New Roman" w:hAnsi="Times New Roman" w:cs="Times New Roman"/>
          <w:b/>
          <w:bCs/>
          <w:color w:val="auto"/>
          <w:sz w:val="24"/>
          <w:szCs w:val="24"/>
        </w:rPr>
        <w:t xml:space="preserve">Historical Data and </w:t>
      </w:r>
      <w:r w:rsidR="00AB6670" w:rsidRPr="00AB6670">
        <w:rPr>
          <w:rFonts w:ascii="Times New Roman" w:hAnsi="Times New Roman" w:cs="Times New Roman"/>
          <w:b/>
          <w:bCs/>
          <w:color w:val="auto"/>
          <w:sz w:val="24"/>
          <w:szCs w:val="24"/>
        </w:rPr>
        <w:t>Parameters of Innovation and Imitation</w:t>
      </w:r>
      <w:bookmarkEnd w:id="10"/>
    </w:p>
    <w:p w14:paraId="15CA31C9" w14:textId="01FC1AA5" w:rsidR="00AF0ACB" w:rsidRDefault="00AF0ACB" w:rsidP="00283046">
      <w:pPr>
        <w:spacing w:line="480" w:lineRule="auto"/>
        <w:rPr>
          <w:rFonts w:ascii="Times New Roman" w:eastAsia="Times New Roman" w:hAnsi="Times New Roman" w:cs="Times New Roman"/>
        </w:rPr>
      </w:pPr>
      <w:r>
        <w:rPr>
          <w:rFonts w:ascii="Times New Roman" w:eastAsia="Times New Roman" w:hAnsi="Times New Roman" w:cs="Times New Roman"/>
        </w:rPr>
        <w:t xml:space="preserve">Recent evidence documented rapid growth in GLP-1 use. Public polling and survey-based studies report that between 6 and 12 percent of U.S. adults have used a GLP-1 medication at some point </w:t>
      </w:r>
      <w:r>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{"citationID":"NHJM8XAL","properties":{"formattedCitation":"\\super 40\\nosupersub{}","plainCitation":"40","noteIndex":0},"citationItems":[{"id":18,"uris":["http://zotero.org/users/12629452/items/HKJH2EF5"],"itemData":{"id":18,"type":"webpage","abstract":"An estimated 15 million U.S. adults have used injectable Type 2 diabetes drugs for weight loss. Reported effectiveness is lower among older adults.","container-title":"Gallup.com","language":"en","note":"section: Wellbeing","title":"Injectable Weight Loss Drugs: Who Uses Them, and Do They Work?","title-short":"Injectable Weight Loss Drugs","URL":"https://news.gallup.com/poll/644861/injectable-weight-loss-drugs-uses-work.aspx","author":[{"family":"Witters","given":"Dan"},{"family":"Maese","given":"Ellyn"}],"accessed":{"date-parts":[["2025",12,18]]},"issued":{"date-parts":[["2024",5,21]]}}}],"schema":"https://github.com/citation-style-language/schema/raw/master/csl-citation.json"} </w:instrText>
      </w:r>
      <w:r>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40</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{"citationID":"AVyvLdUb","properties":{"formattedCitation":"\\super 41\\nosupersub{}","plainCitation":"41","noteIndex":0},"citationItems":[{"id":17,"uris":["http://zotero.org/users/12629452/items/4CQXR75G"],"itemData":{"id":17,"type":"post-weblog","abstract":"KFF’s latest Health Tracking Poll examines the public’s views and use of an an increasingly popular class of prescription drugs used for weight loss and to treat diabetes or prevent heart attacks or strokes. The poll finds 12% of adults report having taken one of these GLP-1 drugs, which include Ozempic, Webovy and Mounjaro. This includes 6% who say they are currently taking one of the drugs.","container-title":"KFF","language":"en-US","title":"KFF Health Tracking Poll May 2024: The Public’s Use and Views of GLP-1 Drugs","title-short":"KFF Health Tracking Poll May 2024","URL":"https://www.kff.org/health-costs/kff-health-tracking-poll-may-2024-the-publics-use-and-views-of-glp-1-drugs/","author":[{"family":"Montero","given":"Alex"},{"family":"Sparks","given":"Grace"},{"family":"Presiado","given":"Marley"},{"family":"Hamel","given":"Liz"}],"accessed":{"date-parts":[["2025",12,18]]},"issued":{"date-parts":[["2024",5,10]]}}}],"schema":"https://github.com/citation-style-language/schema/raw/master/csl-citation.json"} </w:instrText>
      </w:r>
      <w:r>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41</w:t>
      </w:r>
      <w:r>
        <w:rPr>
          <w:rFonts w:ascii="Times New Roman" w:eastAsia="Times New Roman" w:hAnsi="Times New Roman" w:cs="Times New Roman"/>
        </w:rPr>
        <w:fldChar w:fldCharType="end"/>
      </w:r>
      <w:r>
        <w:rPr>
          <w:rFonts w:ascii="Times New Roman" w:eastAsia="Times New Roman" w:hAnsi="Times New Roman" w:cs="Times New Roman"/>
        </w:rPr>
        <w:t xml:space="preserve">, with 8.3 percent reporting use in mid-2024 </w:t>
      </w:r>
      <w:r>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{"citationID":"s5jbvlpm","properties":{"formattedCitation":"\\super 42\\nosupersub{}","plainCitation":"42","noteIndex":0},"citationItems":[{"id":"jVo37HTg/w8sonP0z","uris":["http://zotero.org/users/12629452/items/UMYHPC6W"],"itemData":{"id":20,"type":"article","abstract":"We examine how consumers modify their food purchases after adopting appetite-suppressing GLP-1 receptor agonists, such as Ozempic and Wegovy. Using survey responses on medication adoption linked to transaction data from a representative U.S. household panel, we document the prevalence, motivations, and demographic patterns of GLP-1 adoption. Households with at least one GLP-1 user reduce grocery spending by 5.3% within six months of adoption, with higher-income households reducing spending by 8.2%. While most food categories see spending declines, the largest reductions are concentrated in calorie-dense, processed categories, including a 10.1% decline in savory snacks. In contrast, a small set of categories show directionally positive changes, with yogurt experiencing the only statistically significant increase. We also find an 8.0% decline in spending at fast-food chains, coffee shops, and limited-service restaurants. These food demand adjustments persist through the first year of medication use, though with some attenuation after six months. Households discontinuing GLP-1s revert to their pre-adoption grocery spending and shift toward slightly less healthy grocery baskets compared to their original baseline. Our findings highlight the potential for GLP-1 medications to significantly change consumer food demand, a trend with increasingly important implications for the food industry as GLP-1 adoption continues to grow.","DOI":"10.2139/ssrn.5073929","genre":"SSRN Scholarly Paper","language":"en","number":"5073929","publisher":"Social Science Research Network","publisher-place":"Rochester, NY","source":"papers.ssrn.com","title":"The No-Hunger Games: How GLP-1 Medication Adoption is Changing Consumer Food Demand","title-short":"The No-Hunger Games","URL":"https://papers.ssrn.com/abstract=5073929","author":[{"family":"Hristakeva","given":"Sylvia"},{"family":"Liaukonyte","given":"Jura"},{"family":"Feler","given":"Leo"}],"accessed":{"date-parts":[["2025",12,18]]},"issued":{"date-parts":[["2024",12,27]]}}}],"schema":"https://github.com/citation-style-language/schema/raw/master/csl-citation.json"} </w:instrText>
      </w:r>
      <w:r>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42</w:t>
      </w:r>
      <w:r>
        <w:rPr>
          <w:rFonts w:ascii="Times New Roman" w:eastAsia="Times New Roman" w:hAnsi="Times New Roman" w:cs="Times New Roman"/>
        </w:rPr>
        <w:fldChar w:fldCharType="end"/>
      </w:r>
      <w:r>
        <w:rPr>
          <w:rFonts w:ascii="Times New Roman" w:eastAsia="Times New Roman" w:hAnsi="Times New Roman" w:cs="Times New Roman"/>
        </w:rPr>
        <w:t xml:space="preserve"> and approximately 11.9 percent reporting current use in 2025 </w:t>
      </w:r>
      <w:r>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{"citationID":"kZ7ukRNI","properties":{"formattedCitation":"\\super 8\\nosupersub{}","plainCitation":"8","noteIndex":0},"citationItems":[{"id":16,"uris":["http://zotero.org/users/12629452/items/MFIQAU5U"],"itemData":{"id":16,"type":"article-journal","abstract":"The use of glucagon-like peptide-1 (GLP-1) receptor agonists for weight loss is reshaping food demand, particularly for protein. This research estimates how GLP-1 use alters protein demand curves using methods of causal inference applied to structural demand modeling. Data from a public survey are balanced via matching to address endogenous selection into GLP-1 treatment. Demand shifts and rotations are then estimated using a discrete choice model and an Almost Ideal Demand System. GLP-1 use increases willingness-to-pay for most evaluated protein products, though the effects vary by product and outlet. Own-price elasticities for several retail products become up to 0.22 more inelastic. Our findings of shift effects of GLP-1 use on protein demand indicate externalities that are internal to the U.S. food system and that extend beyond simple consumption changes.","container-title":"Food Policy","DOI":"10.1016/j.foodpol.2025.103026","ISSN":"0306-9192","journalAbbreviation":"Food Policy","page":"103026","source":"ScienceDirect","title":"GLP-1 use and protein demand","volume":"138","author":[{"family":"Bina","given":"Justin D."},{"family":"Tonsor","given":"Glynn T."},{"family":"Richards","given":"Timothy J."}],"issued":{"date-parts":[["2026",1,1]]}}}],"schema":"https://github.com/citation-style-language/schema/raw/master/csl-citation.json"} </w:instrText>
      </w:r>
      <w:r>
        <w:rPr>
          <w:rFonts w:ascii="Times New Roman" w:eastAsia="Times New Roman" w:hAnsi="Times New Roman" w:cs="Times New Roman"/>
        </w:rPr>
        <w:fldChar w:fldCharType="separate"/>
      </w:r>
      <w:r w:rsidR="00D649BB" w:rsidRPr="00D649BB">
        <w:rPr>
          <w:rFonts w:ascii="Times New Roman" w:hAnsi="Times New Roman" w:cs="Times New Roman"/>
          <w:kern w:val="0"/>
          <w:vertAlign w:val="superscript"/>
        </w:rPr>
        <w:t>8</w:t>
      </w:r>
      <w:r>
        <w:rPr>
          <w:rFonts w:ascii="Times New Roman" w:eastAsia="Times New Roman" w:hAnsi="Times New Roman" w:cs="Times New Roman"/>
        </w:rPr>
        <w:fldChar w:fldCharType="end"/>
      </w:r>
      <w:r>
        <w:rPr>
          <w:rFonts w:ascii="Times New Roman" w:eastAsia="Times New Roman" w:hAnsi="Times New Roman" w:cs="Times New Roman"/>
        </w:rPr>
        <w:t>. Together</w:t>
      </w:r>
      <w:r w:rsidR="00153245" w:rsidRPr="00153245">
        <w:t xml:space="preserve"> </w:t>
      </w:r>
      <w:r w:rsidR="00153245" w:rsidRPr="00153245">
        <w:rPr>
          <w:rFonts w:ascii="Times New Roman" w:eastAsia="Times New Roman" w:hAnsi="Times New Roman" w:cs="Times New Roman"/>
        </w:rPr>
        <w:t>these sources are used to construct the historical U.S. cumulative adoption series used to estimate the Bayesian GBM</w:t>
      </w:r>
      <w:r w:rsidR="007F4C57">
        <w:rPr>
          <w:rFonts w:ascii="Times New Roman" w:eastAsia="Times New Roman" w:hAnsi="Times New Roman" w:cs="Times New Roman"/>
        </w:rPr>
        <w:t>.</w:t>
      </w:r>
    </w:p>
    <w:p w14:paraId="1B97E59B" w14:textId="45344EE7" w:rsidR="00AB6670" w:rsidRPr="00AB6670" w:rsidRDefault="00AB6670" w:rsidP="00AB6670">
      <w:pPr>
        <w:spacing w:line="480" w:lineRule="auto"/>
        <w:ind w:firstLine="720"/>
        <w:rPr>
          <w:rFonts w:ascii="Times New Roman" w:eastAsia="Times New Roman" w:hAnsi="Times New Roman" w:cs="Times New Roman"/>
        </w:rPr>
      </w:pPr>
      <w:r w:rsidRPr="00AB6670">
        <w:rPr>
          <w:rFonts w:ascii="Times New Roman" w:eastAsia="Times New Roman" w:hAnsi="Times New Roman" w:cs="Times New Roman"/>
        </w:rPr>
        <w:t xml:space="preserve">GLP-1 medicines are prescription medicines rather than consumer products, and their diffusion follows well-documented patterns of medical technology uptake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{"citationID":"5LoMQulj","properties":{"formattedCitation":"\\super 43\\nosupersub{}","plainCitation":"43","noteIndex":0},"citationItems":[{"id":40,"uris":["http://zotero.org/users/12629452/items/WQUQBHPJ"],"itemData":{"id":40,"type":"chapter","abstract":"Glucagon-like peptide-1 receptor agonists (GLP-1RA) are a class of medications used to treat adult type 2 diabetes and obesity. They are in the drug class of incretin mimetics. Glucagon-like peptide-1 receptor agonists (GLP-1RA, GLP-1DAs, incretin mimetics, or GLP-1 analogs) are a class of medications utilized in treating type 2 diabetes and obesity. Clinical trials show the superiority of GLP-1RA to other antihyperglycemic drugs in improving glycemic efficacy, reducing weight and blood pressure, and having a cardioprotective effect, all without the risk of hypoglycemia. These drugs have transformed the guidelines for the management of diabetes.","call-number":"NBK572151","container-title":"StatPearls","language":"eng","license":"Copyright © 2025, StatPearls Publishing LLC.","note":"PMID: 34283517","publisher":"StatPearls Publishing","publisher-place":"Treasure Island (FL)","source":"PubMed","title":"Compare and Contrast the Glucagon-Like Peptide-1 Receptor Agonists (GLP1RAs)","URL":"http://www.ncbi.nlm.nih.gov/books/NBK572151/","author":[{"family":"Latif","given":"Wafa"},{"family":"Lambrinos","given":"Katerina J."},{"family":"Patel","given":"Preeti"},{"family":"Rodriguez","given":"Rolando"}],"accessed":{"date-parts":[["2025",12,17]]},"issued":{"date-parts":[["2025"]]}}}],"schema":"https://github.com/citation-style-language/schema/raw/master/csl-citation.json"}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43</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Empirical work on pharmaceuticals shows that internal and evidence-driven mechanisms play dominant roles in shaping adoption over time</w:t>
      </w:r>
      <w:r w:rsidR="007971CB">
        <w:rPr>
          <w:rFonts w:ascii="Times New Roman" w:eastAsia="Times New Roman" w:hAnsi="Times New Roman" w:cs="Times New Roman"/>
        </w:rPr>
        <w:t xml:space="preserve">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{"citationID":"WZpq3sbJ","properties":{"formattedCitation":"\\super 44\\nosupersub{}","plainCitation":"44","noteIndex":0},"citationItems":[{"id":39,"uris":["http://zotero.org/users/12629452/items/WS4EZK3J"],"itemData":{"id":39,"type":"article-journal","abstract":"This article shows that Medical Innovation—the landmark study by Coleman, Katz, and Menzel—and several subsequent studies analyzing the diffusion of the drug tetracycline have confounded social contagion with marketing effects. The article describes the medical community’s understanding of tetracycline and how the drug was marketed. This situational analysis finds no reasons to expect social contagion; instead, aggressive marketing efforts may have played an important role. The Medical Innovation data set is reanalyzed and supplemented with newly collected advertising data. When marketing efforts are controlled for, contagion effects disappear. The article underscores the importance of controlling for potential confounds when studying the role of social contagion in innovation diffusion.","container-title":"American Journal of Sociology","DOI":"10.1086/320819","ISSN":"0002-9602","issue":"5","page":"1409-1435","publisher":"The University of Chicago Press","source":"journals.uchicago.edu (Atypon)","title":"Medical Innovation Revisited: Social Contagion versus Marketing Effort","title-short":"Medical Innovation Revisited","volume":"106","author":[{"family":"Van den Bulte","given":"Christophe"},{"family":"Lilien","given":"Gary L."}],"issued":{"date-parts":[["2001",3]]}}}],"schema":"https://github.com/citation-style-language/schema/raw/master/csl-citation.json"}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44</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Studies of prescribing behavior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{"citationID":"TgjXsTkc","properties":{"formattedCitation":"\\super 45\\nosupersub{}","plainCitation":"45","noteIndex":0},"citationItems":[{"id":38,"uris":["http://zotero.org/users/12629452/items/WKAUAYY4"],"itemData":{"id":38,"type":"article-journal","abstract":"The adoption of new medicines is influenced by a complex set of social processes that have been widely examined in terms of individual prescribers’ information-seeking and decision-making behaviour. However, quantitative, population-wide analyses of how long it takes for new healthcare practices to become part of mainstream practice are rare.","container-title":"BMC Health Services Research","DOI":"10.1186/1472-6963-12-248","ISSN":"1472-6963","issue":"1","journalAbbreviation":"BMC Health Serv Res","language":"en","page":"248","source":"Springer Link","title":"Nation-scale adoption of new medicines by doctors: an application of the Bass diffusion model","title-short":"Nation-scale adoption of new medicines by doctors","volume":"12","author":[{"family":"Dunn","given":"Adam G."},{"family":"Braithwaite","given":"Jeffrey"},{"family":"Gallego","given":"Blanca"},{"family":"Day","given":"Richard O."},{"family":"Runciman","given":"William"},{"family":"Coiera","given":"Enrico"}],"issued":{"date-parts":[["2012",8,10]]}}}],"schema":"https://github.com/citation-style-language/schema/raw/master/csl-citation.json"}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45</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and diffusion analyses for specialty drugs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{"citationID":"jN79R7j7","properties":{"formattedCitation":"\\super 46\\nosupersub{}","plainCitation":"46","noteIndex":0},"citationItems":[{"id":37,"uris":["http://zotero.org/users/12629452/items/ZSDJZSP2"],"itemData":{"id":37,"type":"article-journal","abstract":"Specialty drugs treat complex, severe diseases and offer significant therapeutic advances. Despite their potential to transform patient care, little is known about the drivers of their diffusion. In this study, the authors develop a framework for the diffusion of specialty drugs that is motivated by the drugs’ novelty, complexity, and importance, with a focus on the role of scientific evidence production. They propose that the effects of scientific evidence on specialty drug diffusion are multifaceted and generated through the three stages of the scientific evidence production process: unpublished clinical studies, publications in medical journals not cited in clinical guidelines, and clinical guidelines. The findings from the empirical analysis of two specialty drugs validate the framework, supporting the idea of multistage scientific evidence effects. In contrast, marketing activities do not have a significant effect. Although this could be attributed to specialty drug prescribers discounting information from commercial sources, it may also be due to limited marketing support. An additional analysis on a nonspecialty drug further validates the proposed framework. Calculations of scientific evidence contributions to trial prescriptions indicate that scientific evidence production can generate returns beyond the publication stage, which should provide specialty drug manufacturers with strong incentives to commit to quality and innovation.","container-title":"Journal of Marketing","DOI":"10.1177/00222429231177627","ISSN":"0022-2429","issue":"1","language":"EN","page":"116-137","publisher":"SAGE Publications Inc","source":"SAGE Journals","title":"Scientific Evidence Production and Specialty Drug Diffusion","volume":"88","author":[{"family":"Vakratsas","given":"Demetrios"},{"family":"Wang","given":"Wei-Lin"}],"issued":{"date-parts":[["2024",1,1]]}}}],"schema":"https://github.com/citation-style-language/schema/raw/master/csl-citation.json"}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46</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demonstrate that adoption becomes increasingly imitation-driven once clinical evidence accumulates and prescribing patterns become established. In the case of GLP-1 medicines, rapid dissemination of evidence on cardiometabolic benefits, real-world effectiveness, and shared clinical experiences within medical networks create conditions in which imitation effects are expected to dominate </w:t>
      </w:r>
      <w:r w:rsidRPr="00AB6670">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{"citationID":"mLC3WTWj","properties":{"formattedCitation":"(Rizzo et al., 2018)","plainCitation":"(Rizzo et al., 2018)","dontUpdate":true,"noteIndex":0},"citationItems":[{"id":35,"uris":["http://zotero.org/users/12629452/items/QL2YZ5K3"],"itemData":{"id":35,"type":"article-journal","abstract":"Type 2 diabetes mellitus (T2DM) is a metabolic condition with an elevated impact on cardiovascular (CV) risk. The innovative therapeutic approaches for T2DM - incretin-based therapies (IBTs), including glucagon-like peptide 1 (GLP-1) receptor agonists, have become popular and more widely used in recent years. The available scientific data from clinical studies and clinical practice highlights their beyond glucose-lowering effects, which is achieved without any increase in hypoglycaemia. The former effects include reduction in body weight, lipids, blood pressure, inflammatory markers, oxidative stress, endothelial dysfunction, and subclinical atherosclerosis, thus reducing and potentially preventing CV events. In fact, the introduction of IBTs is one of the key moments in the history of diabetes research and treatment. Such therapeutic strategies allow customization of antidiabetic treatment to each patient's need and therefore obtain better metabolic control with reduced CV risk. The aim of the present paper is to provide a comprehensive overview of the effects of GLP-1RA on various cardiometabolic markers and overall CV risk, with particular attention on recent CV outcome studies and potential mechanisms. In particular, the effects of liraglutide on formation and progression of atherosclerotic plaque and mechanisms explaining its cardioprotective effects are highlighted.","container-title":"Biochimica et Biophysica Acta (BBA) - Molecular Basis of Disease","DOI":"10.1016/j.bbadis.2018.05.012","ISSN":"0925-4439","issue":"9, Part B","journalAbbreviation":"Biochimica et Biophysica Acta (BBA) - Molecular Basis of Disease","page":"2814-2821","source":"ScienceDirect","title":"GLP-1 receptor agonists and reduction of cardiometabolic risk: Potential underlying mechanisms","title-short":"GLP-1 receptor agonists and reduction of cardiometabolic risk","volume":"1864","author":[{"family":"Rizzo","given":"Manfredi"},{"family":"Nikolic","given":"Dragana"},{"family":"Patti","given":"Angelo Maria"},{"family":"Mannina","given":"Carlo"},{"family":"Montalto","given":"Giuseppe"},{"family":"McAdams","given":"Brooke S."},{"family":"Rizvi","given":"Ali A."},{"family":"Cosentino","given":"Francesco"}],"issued":{"date-parts":[["2018",9,1]]}}}],"schema":"https://github.com/citation-style-language/schema/raw/master/csl-citation.json"} </w:instrText>
      </w:r>
      <w:r w:rsidRPr="00AB6670">
        <w:rPr>
          <w:rFonts w:ascii="Times New Roman" w:eastAsia="Times New Roman" w:hAnsi="Times New Roman" w:cs="Times New Roman"/>
        </w:rPr>
        <w:fldChar w:fldCharType="separate"/>
      </w:r>
      <w:r w:rsidRPr="00AB6670">
        <w:rPr>
          <w:rFonts w:ascii="Times New Roman" w:hAnsi="Times New Roman" w:cs="Times New Roman"/>
        </w:rPr>
        <w:t>(Rizzo et al., 2018</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w:t>
      </w:r>
      <w:r w:rsidRPr="00AB6670">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{"citationID":"vmturj8X","properties":{"formattedCitation":"(Han et al., 2024)","plainCitation":"(Han et al., 2024)","dontUpdate":true,"noteIndex":0},"citationItems":[{"id":34,"uris":["http://zotero.org/users/12629452/items/8B7M3CGK"],"itemData":{"id":34,"type":"article-journal","abstract":"Glucagon-like peptide 1 (GLP-1) agonists are a drug class used for the treatment of diabetes that have recently gained FDA approval for medical management of obesity. The off-label use of Ozempic (Novo Nordisk, Bagsværd, Denmark), the brand name of the GLP-1 agonist semaglutide, for cosmetic weight loss has been popularized by social media and celebrity influence. The aim of this study was to analyze with Google Trends (Alphabet Inc., Mountain View, CA) the recent search popularity of Ozempic and related GLP-1 agonists. The term “Ozempic” was analyzed with Google Trends. Search popularity was assessed in terms of relative search volume (RSV) over a 5-year period. Changes in RSV were further compared with other GLP-1 agonists, “Wegovy” (Novo NordisK) and “Mounjaro” (Eli Lilly and Company, Indianapolis, IN). Between March 2018 and February 2023, overall RSV in “Ozempic” grew exponentially in the United States. Simple linear regression analysis showed significantly increased RSV over time with an R2 of 0.915 and a regression coefficient of 0.957 (P &amp;lt; .001). When comparing “Ozempic,” “Wegovy,” and “Mounjaro” since June 2021 (FDA approval of Wegovy), Ozempic remained at the greatest RSV. One-way analysis of variance found statistically significant differences between the 3 search terms at all time points between December 2021 and February 2023 (P &amp;lt; .001). This study demonstrates a significant and growing public interest in Ozempic and related GLP-1 agonists. As the use of GLP-1 agonists for weight loss becomes more prevalent, plastic surgeons, particularly in the aesthetic setting, must be prepared for the downstream implications. Increased awareness, understanding, and further scientific studies led by plastic surgeons will help deliver the safest possible patient outcomes.","container-title":"Aesthetic Surgery Journal","DOI":"10.1093/asj/sjad211","ISSN":"1090-820X","issue":"1","journalAbbreviation":"Aesthet Surg J","page":"60-67","source":"Silverchair","title":"Public Interest in the Off-Label Use of Glucagon-like Peptide 1 Agonists (Ozempic) for Cosmetic Weight Loss: A Google Trends Analysis","title-short":"Public Interest in the Off-Label Use of Glucagon-like Peptide 1 Agonists (Ozempic) for Cosmetic Weight Loss","volume":"44","author":[{"family":"Han","given":"Sabrina H"},{"family":"Safeek","given":"Rachel"},{"family":"Ockerman","given":"Kyle"},{"family":"Trieu","given":"Nhan"},{"family":"Mars","given":"Patricia"},{"family":"Klenke","given":"Audrey"},{"family":"Furnas","given":"Heather"},{"family":"Sorice-Virk","given":"Sarah"}],"issued":{"date-parts":[["2024",1,1]]}}}],"schema":"https://github.com/citation-style-language/schema/raw/master/csl-citation.json"} </w:instrText>
      </w:r>
      <w:r w:rsidRPr="00AB6670">
        <w:rPr>
          <w:rFonts w:ascii="Times New Roman" w:eastAsia="Times New Roman" w:hAnsi="Times New Roman" w:cs="Times New Roman"/>
        </w:rPr>
        <w:fldChar w:fldCharType="separate"/>
      </w:r>
      <w:r w:rsidRPr="00AB6670">
        <w:rPr>
          <w:rFonts w:ascii="Times New Roman" w:hAnsi="Times New Roman" w:cs="Times New Roman"/>
        </w:rPr>
        <w:t>Han et al., 2024)</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These dynamics justify using relatively high values of </w:t>
      </w:r>
      <m:oMath>
        <m:r>
          <w:rPr>
            <w:rFonts w:ascii="Cambria Math" w:eastAsia="Times New Roman" w:hAnsi="Cambria Math" w:cs="Times New Roman"/>
          </w:rPr>
          <m:t>q</m:t>
        </m:r>
      </m:oMath>
      <w:r w:rsidRPr="00AB6670">
        <w:rPr>
          <w:rFonts w:ascii="Times New Roman" w:eastAsia="Times New Roman" w:hAnsi="Times New Roman" w:cs="Times New Roman"/>
        </w:rPr>
        <w:t xml:space="preserve"> and high </w:t>
      </w:r>
      <m:oMath>
        <m:r>
          <w:rPr>
            <w:rFonts w:ascii="Cambria Math" w:eastAsia="Times New Roman" w:hAnsi="Cambria Math" w:cs="Times New Roman"/>
          </w:rPr>
          <m:t>q</m:t>
        </m:r>
      </m:oMath>
      <w:r w:rsidRPr="00AB6670">
        <w:rPr>
          <w:rFonts w:ascii="Times New Roman" w:eastAsia="Times New Roman" w:hAnsi="Times New Roman" w:cs="Times New Roman"/>
        </w:rPr>
        <w:t xml:space="preserve"> to </w:t>
      </w:r>
      <m:oMath>
        <m:r>
          <w:rPr>
            <w:rFonts w:ascii="Cambria Math" w:eastAsia="Times New Roman" w:hAnsi="Cambria Math" w:cs="Times New Roman"/>
          </w:rPr>
          <m:t>p</m:t>
        </m:r>
      </m:oMath>
      <w:r w:rsidRPr="00AB6670">
        <w:rPr>
          <w:rFonts w:ascii="Times New Roman" w:eastAsia="Times New Roman" w:hAnsi="Times New Roman" w:cs="Times New Roman"/>
        </w:rPr>
        <w:t xml:space="preserve"> ratios in our parameterization, particularly for the United States where the diffusion of clinical knowledge is fast.</w:t>
      </w:r>
    </w:p>
    <w:p w14:paraId="6594FBC3" w14:textId="06CB1459" w:rsidR="000F7125" w:rsidRDefault="00AB6670" w:rsidP="00AB6670">
      <w:pPr>
        <w:spacing w:line="480" w:lineRule="auto"/>
        <w:ind w:firstLine="720"/>
        <w:rPr>
          <w:rFonts w:ascii="Times New Roman" w:eastAsia="Times New Roman" w:hAnsi="Times New Roman" w:cs="Times New Roman"/>
        </w:rPr>
      </w:pPr>
      <w:r w:rsidRPr="00AB6670">
        <w:rPr>
          <w:rFonts w:ascii="Times New Roman" w:eastAsia="Times New Roman" w:hAnsi="Times New Roman" w:cs="Times New Roman"/>
        </w:rPr>
        <w:t xml:space="preserve">In the United States, large-scale market entry for obesity treatment occurred with the approval of semaglutide 2.4 mg (Wegovy) in 2021. Between 2020 and 2022, GLP-1 use for weight-loss treatment increased by approximately 300 percent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{"citationID":"wedLs3EZ","properties":{"unsorted":false,"formattedCitation":"\\super 49\\nosupersub{}","plainCitation":"49","noteIndex":0},"citationItems":[{"id":29,"uris":["http://zotero.org/users/12629452/items/9WA7BKEE"],"itemData":{"id":29,"type":"article-journal","language":"en","source":"Zotero","title":"2023 TRENDS SHAPING THE HEALTH ECONOMY","author":[{"family":"Jain","given":"Sanjula"}],"issued":{"date-parts":[["2023"]]}}}],"schema":"https://github.com/citation-style-language/schema/raw/master/csl-citation.json"}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49</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Given rapid dissemination of clinical evidence and strong professional-network effects, we adopt parameter ranges of </w:t>
      </w:r>
      <m:oMath>
        <m:r>
          <w:rPr>
            <w:rFonts w:ascii="Cambria Math" w:eastAsia="Times New Roman" w:hAnsi="Cambria Math" w:cs="Times New Roman"/>
          </w:rPr>
          <m:t>p∈[0.01, 0.04]</m:t>
        </m:r>
      </m:oMath>
      <w:r w:rsidRPr="00AB6670">
        <w:rPr>
          <w:rFonts w:ascii="Times New Roman" w:eastAsia="Times New Roman" w:hAnsi="Times New Roman" w:cs="Times New Roman"/>
        </w:rPr>
        <w:t xml:space="preserve"> and </w:t>
      </w:r>
      <m:oMath>
        <m:r>
          <w:rPr>
            <w:rFonts w:ascii="Cambria Math" w:eastAsia="Times New Roman" w:hAnsi="Cambria Math" w:cs="Times New Roman"/>
          </w:rPr>
          <m:t>q∈[0.30, 0.80]</m:t>
        </m:r>
      </m:oMath>
      <w:r w:rsidRPr="00AB6670">
        <w:rPr>
          <w:rFonts w:ascii="Times New Roman" w:eastAsia="Times New Roman" w:hAnsi="Times New Roman" w:cs="Times New Roman"/>
        </w:rPr>
        <w:t xml:space="preserve">. </w:t>
      </w:r>
      <w:r w:rsidR="00153245" w:rsidRPr="00153245">
        <w:rPr>
          <w:rFonts w:ascii="Times New Roman" w:eastAsia="Times New Roman" w:hAnsi="Times New Roman" w:cs="Times New Roman"/>
        </w:rPr>
        <w:t xml:space="preserve">For Canada and Mexico, comparable historical GLP-1 adoption series are unavailable for country-specific posterior estimation. We therefore characterize uncertainty in the innovation and imitation parameters through literature-informed truncated-normal distributions and conduct prior-predictive scenario simulations. </w:t>
      </w:r>
    </w:p>
    <w:p w14:paraId="4C7CBD5A" w14:textId="46315EF6" w:rsidR="000F7125" w:rsidRDefault="00AB6670" w:rsidP="00AB6670">
      <w:pPr>
        <w:spacing w:line="480" w:lineRule="auto"/>
        <w:ind w:firstLine="720"/>
        <w:rPr>
          <w:rFonts w:ascii="Times New Roman" w:eastAsia="Times New Roman" w:hAnsi="Times New Roman" w:cs="Times New Roman"/>
        </w:rPr>
      </w:pPr>
      <w:r w:rsidRPr="00AB6670">
        <w:rPr>
          <w:rFonts w:ascii="Times New Roman" w:eastAsia="Times New Roman" w:hAnsi="Times New Roman" w:cs="Times New Roman"/>
        </w:rPr>
        <w:t>In Canada, liraglutide (</w:t>
      </w:r>
      <w:proofErr w:type="spellStart"/>
      <w:r w:rsidRPr="00AB6670">
        <w:rPr>
          <w:rFonts w:ascii="Times New Roman" w:eastAsia="Times New Roman" w:hAnsi="Times New Roman" w:cs="Times New Roman"/>
        </w:rPr>
        <w:t>Saxenda</w:t>
      </w:r>
      <w:proofErr w:type="spellEnd"/>
      <w:r w:rsidRPr="00AB6670">
        <w:rPr>
          <w:rFonts w:ascii="Times New Roman" w:eastAsia="Times New Roman" w:hAnsi="Times New Roman" w:cs="Times New Roman"/>
        </w:rPr>
        <w:t xml:space="preserve">) was approved in 2015, with semaglutide introduced later. Cross-country diffusion studies indicate systematically lower innovation coefficients in settings where direct-to-consumer pharmaceutical advertising is restricted. A reports mentions innovation parameters in such markets are roughly half those observed in the United States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{"citationID":"TW5cfCa4","properties":{"unsorted":false,"formattedCitation":"\\super 50\\nosupersub{}","plainCitation":"50","noteIndex":0},"citationItems":[{"id":28,"uris":["http://zotero.org/users/12629452/items/UJNNW7PI"],"itemData":{"id":28,"type":"article-journal","container-title":"PDMA visions","issue":"4","page":"12-15","title":"Want to know how diffusion speed varies across countries and products? Try using a Bass model","volume":"26","author":[{"family":"Van den Bulte","given":"Christophe"}],"issued":{"date-parts":[["2002"]]}}}],"schema":"https://github.com/citation-style-language/schema/raw/master/csl-citation.json"}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50</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Accordingly, we use </w:t>
      </w:r>
      <m:oMath>
        <m:r>
          <w:rPr>
            <w:rFonts w:ascii="Cambria Math" w:eastAsia="Times New Roman" w:hAnsi="Cambria Math" w:cs="Times New Roman"/>
          </w:rPr>
          <m:t>p∈[0.005, 0.02]</m:t>
        </m:r>
      </m:oMath>
      <w:r w:rsidRPr="00AB6670">
        <w:rPr>
          <w:rFonts w:ascii="Times New Roman" w:eastAsia="Times New Roman" w:hAnsi="Times New Roman" w:cs="Times New Roman"/>
        </w:rPr>
        <w:t xml:space="preserve"> and </w:t>
      </w:r>
      <m:oMath>
        <m:r>
          <w:rPr>
            <w:rFonts w:ascii="Cambria Math" w:eastAsia="Times New Roman" w:hAnsi="Cambria Math" w:cs="Times New Roman"/>
          </w:rPr>
          <m:t>q∈[0.25, 0.65]</m:t>
        </m:r>
      </m:oMath>
      <w:r w:rsidRPr="00AB6670">
        <w:rPr>
          <w:rFonts w:ascii="Times New Roman" w:eastAsia="Times New Roman" w:hAnsi="Times New Roman" w:cs="Times New Roman"/>
        </w:rPr>
        <w:t xml:space="preserve"> for Canada. </w:t>
      </w:r>
    </w:p>
    <w:p w14:paraId="53114F61" w14:textId="75A3BCEA" w:rsidR="00AB6670" w:rsidRPr="00AB6670" w:rsidRDefault="00AB6670" w:rsidP="00AB6670">
      <w:pPr>
        <w:spacing w:line="480" w:lineRule="auto"/>
        <w:ind w:firstLine="720"/>
        <w:rPr>
          <w:rFonts w:ascii="Times New Roman" w:eastAsia="Times New Roman" w:hAnsi="Times New Roman" w:cs="Times New Roman"/>
        </w:rPr>
      </w:pPr>
      <w:r w:rsidRPr="00AB6670">
        <w:rPr>
          <w:rFonts w:ascii="Times New Roman" w:eastAsia="Times New Roman" w:hAnsi="Times New Roman" w:cs="Times New Roman"/>
        </w:rPr>
        <w:t xml:space="preserve">In Mexico, GLP-1-based obesity medicines are expected to receive broader regulatory approval around 2026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{"citationID":"bGdbpYOl","properties":{"unsorted":false,"formattedCitation":"\\super 51\\nosupersub{}","plainCitation":"51","noteIndex":0},"citationItems":[{"id":8,"uris":["http://zotero.org/users/12629452/items/U3KBWKTN"],"itemData":{"id":8,"type":"report","publisher":"Mexico Business News","title":"Obesity Drugs Reshape Global Health, Policy","URL":"https://mexicobusiness.news/health/news/obesity-drugs-reshape-global-health-policy","author":[{"family":"Mexico Business News","given":""}],"issued":{"date-parts":[["2025"]]}}}],"schema":"https://github.com/citation-style-language/schema/raw/master/csl-citation.json"}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51</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Pharmaceutical diffusion in developing and middle-income settings is typically slower due to lower insurance coverage, more limited specialist access, and lower per capita pharmaceutical expenditure. Evidence from a research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{"citationID":"vOI4u4tg","properties":{"unsorted":false,"formattedCitation":"\\super 52\\nosupersub{}","plainCitation":"52","noteIndex":0},"citationItems":[{"id":27,"uris":["http://zotero.org/users/12629452/items/IC9GYWR4"],"itemData":{"id":27,"type":"article-journal","abstract":"In the context of introducing new products around the world, it is important to understand the relative attractiveness of various countries in terms of maximum penetration potential and diffusion speed. In this paper, we examine these market characteristics for a new category of prescription drugs in both developing and developed countries. Using data from 15 countries and a logistic specification in the hierarchical Bayesian framework, we report the differences in diffusion speed and maximum penetration potential between developing and developed nations. Our methodology accounts for the limited number of data observations, as well as serial correlation and endogeneity problems that arise in the analysis. The principal findings are as follows. (i) Compared to developed countries, developing nations tend to have lower diffusion speeds and maximum penetration levels. (ii) Laggard developed countries have higher speeds. However, laggard developing countries do not have higher diffusion speeds. (iii) Per capita expenditures on healthcare have a positive effect on diffusion speed (particularly for developed countries), while higher prices tend to decrease diffusion speed. The paper concludes by identifying useful avenues for additional research.","collection-title":"Special Issue on Global Marketing","container-title":"International Journal of Research in Marketing","DOI":"10.1016/j.ijresmar.2004.05.001","ISSN":"0167-8116","issue":"4","journalAbbreviation":"International Journal of Research in Marketing","page":"341-357","source":"ScienceDirect","title":"Diffusion of new pharmaceutical drugs in developing and developed nations","volume":"21","author":[{"family":"Desiraju","given":"Ramarao"},{"family":"Nair","given":"Harikesh"},{"family":"Chintagunta","given":"Pradeep"}],"issued":{"date-parts":[["2004",12,1]]}}}],"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52</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documents slower diffusion and lower saturation rates in such contexts. We therefore assume large-scale diffusion begins in 2026 and adopt parameter ranges of </w:t>
      </w:r>
      <m:oMath>
        <m:r>
          <w:rPr>
            <w:rFonts w:ascii="Cambria Math" w:eastAsia="Times New Roman" w:hAnsi="Cambria Math" w:cs="Times New Roman"/>
          </w:rPr>
          <m:t>p∈[0.003, 0.015]</m:t>
        </m:r>
      </m:oMath>
      <w:r w:rsidRPr="00AB6670">
        <w:rPr>
          <w:rFonts w:ascii="Times New Roman" w:eastAsia="Times New Roman" w:hAnsi="Times New Roman" w:cs="Times New Roman"/>
        </w:rPr>
        <w:t xml:space="preserve"> and </w:t>
      </w:r>
      <m:oMath>
        <m:r>
          <w:rPr>
            <w:rFonts w:ascii="Cambria Math" w:eastAsia="Times New Roman" w:hAnsi="Cambria Math" w:cs="Times New Roman"/>
          </w:rPr>
          <m:t>q∈[0.20, 0.55]</m:t>
        </m:r>
      </m:oMath>
      <w:r w:rsidRPr="00AB6670">
        <w:rPr>
          <w:rFonts w:ascii="Times New Roman" w:eastAsia="Times New Roman" w:hAnsi="Times New Roman" w:cs="Times New Roman"/>
        </w:rPr>
        <w:t xml:space="preserve">. Large-scale meta-analyses of Bass parameter estimates provide a general empirical benchmark.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{"citationID":"ChLfBHWv","properties":{"formattedCitation":"\\super 53\\nosupersub{}","plainCitation":"53","noteIndex":0},"citationItems":[{"id":33,"uris":["http://zotero.org/users/12629452/items/TBPHHZ3T"],"itemData":{"id":33,"type":"article-journal","abstract":"A meta-analysis of 213 applications of diffusion models from 15 articles relates model parameters to the nature of the innovation, the country under study, model specification, and estimation procedure. The effect of use of the same data by several researchers is examined, as are weighting schemes for improving efficiency of the meta-analysis. A Bayesian scheme is used to combine results from the metaanalysis with new data for estimation of parameters in a new situation.","container-title":"Journal of Marketing Research","DOI":"10.1177/002224379002700107","ISSN":"0022-2437","issue":"1","page":"70-77","publisher":"SAGE Publications Inc","source":"journals.sagepub.com (Atypon)","title":"A Meta-Analysis of Applications of Diffusion Models","volume":"27","author":[{"family":"Sultan","given":"Fareena"},{"family":"Farley","given":"John U."},{"family":"Lehmann","given":"Donald R."}],"issued":{"date-parts":[["1990",2]]}}}],"schema":"https://github.com/citation-style-language/schema/raw/master/csl-citation.json"}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53</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report average values of </w:t>
      </w:r>
      <m:oMath>
        <m:r>
          <w:rPr>
            <w:rFonts w:ascii="Cambria Math" w:eastAsia="Times New Roman" w:hAnsi="Cambria Math" w:cs="Times New Roman"/>
          </w:rPr>
          <m:t>p</m:t>
        </m:r>
      </m:oMath>
      <w:r w:rsidRPr="00AB6670">
        <w:rPr>
          <w:rFonts w:ascii="Times New Roman" w:eastAsia="Times New Roman" w:hAnsi="Times New Roman" w:cs="Times New Roman"/>
        </w:rPr>
        <w:t xml:space="preserve"> near 0.03 and </w:t>
      </w:r>
      <m:oMath>
        <m:r>
          <w:rPr>
            <w:rFonts w:ascii="Cambria Math" w:eastAsia="Times New Roman" w:hAnsi="Cambria Math" w:cs="Times New Roman"/>
          </w:rPr>
          <m:t>q</m:t>
        </m:r>
      </m:oMath>
      <w:r w:rsidRPr="00AB6670">
        <w:rPr>
          <w:rFonts w:ascii="Times New Roman" w:eastAsia="Times New Roman" w:hAnsi="Times New Roman" w:cs="Times New Roman"/>
        </w:rPr>
        <w:t xml:space="preserve"> near 0.38 across more than 200 consumer and durable products. Synthesizing evidence from a broad set of diffusion applications, </w:t>
      </w:r>
      <w:r w:rsidRPr="00AB6670">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{"citationID":"5QIN8t5J","properties":{"formattedCitation":"\\super 54\\nosupersub{}","plainCitation":"54","noteIndex":0},"citationItems":[{"id":32,"uris":["http://zotero.org/users/12629452/items/LEDMUWDM"],"itemData":{"id":32,"type":"article-journal","abstract":"In this research, the authors explore the influence of the Bass model p, q parameters values on diffusion patterns and map p, q Euclidean space regions accordingly. The boundaries of four different sub-regions are classified and defined, in the region where both p, q are positive, according to the number of inflection point and peak of the non-cumulative sales curve. The researchers extend the p, q range beyond the common positive value restriction to regions where either p or q is negative. The case of negative p, which represents barriers to initial adoption, leads us to redefine the motivation for seeding, where seeding is essential to start the market rather than just for accelerating the diffusion. The case of negative q, caused by a declining motivation to adopt as the number of adopters increases, leads us to cases where the saturation of the market is at partial coverage rather than the usual full coverage at the long run. The authors develop a solution to the special case of p + q = 0, where the Bass solution cannot be used. Some differences are highlighted between the discrete time and continuous time flavors of the Bass model and the implication on the mapping. The distortion is presented, caused by the transition between continuous and discrete time forms, as a function of p, q values in the various regions.","container-title":"Innovative Marketing","DOI":"10.21511/im.12(1).2016.03","ISSN":"18142427, 18166326","issue":"1","journalAbbreviation":"Innovative Marketing","language":"en","license":"http://creativecommons.org/licenses/by/3.0/deed.en_US","page":"29-40","source":"DOI.org (Crossref)","title":"Parametric analysis of the Bass model","volume":"12","author":[{"family":"Orbach","given":"Yair"}],"issued":{"date-parts":[["2016",4,27]]}}}],"schema":"https://github.com/citation-style-language/schema/raw/master/csl-citation.json"} </w:instrText>
      </w:r>
      <w:r w:rsidRPr="00AB6670">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54</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shows that </w:t>
      </w:r>
      <m:oMath>
        <m:r>
          <w:rPr>
            <w:rFonts w:ascii="Cambria Math" w:eastAsia="Times New Roman" w:hAnsi="Cambria Math" w:cs="Times New Roman"/>
          </w:rPr>
          <m:t>p</m:t>
        </m:r>
      </m:oMath>
      <w:r w:rsidRPr="00AB6670">
        <w:rPr>
          <w:rFonts w:ascii="Times New Roman" w:eastAsia="Times New Roman" w:hAnsi="Times New Roman" w:cs="Times New Roman"/>
        </w:rPr>
        <w:t xml:space="preserve"> is typically small, often below 0.03, while </w:t>
      </w:r>
      <w:r w:rsidRPr="00AB6670">
        <w:rPr>
          <w:rFonts w:ascii="Times New Roman" w:eastAsia="Times New Roman" w:hAnsi="Times New Roman" w:cs="Times New Roman"/>
          <w:i/>
          <w:iCs/>
        </w:rPr>
        <w:t>q</w:t>
      </w:r>
      <w:r w:rsidRPr="00AB6670">
        <w:rPr>
          <w:rFonts w:ascii="Times New Roman" w:eastAsia="Times New Roman" w:hAnsi="Times New Roman" w:cs="Times New Roman"/>
        </w:rPr>
        <w:t xml:space="preserve"> is substantially larger and commonly lies in the range of roughly 0.2-0.6. However, diffusion studies focusing on pharmaceuticals consistently document stronger imitation effects than those observed in consumer market </w:t>
      </w:r>
      <w:r w:rsidRPr="00AB6670">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{"citationID":"8CHnN62r","properties":{"formattedCitation":"(Ching &amp; Ishihara, 2010)","plainCitation":"(Ching &amp; Ishihara, 2010)","dontUpdate":true,"noteIndex":0},"citationItems":[{"id":31,"uris":["http://zotero.org/users/12629452/items/23Z6V6PQ"],"itemData":{"id":31,"type":"article-journal","abstract":"Motivated by recent empirical findings on the relationship between new clinical evidence and the effectiveness of detailing, this paper develops a new structural model of detailing and prescribing decisions under the environment where both manufacturers and physicians are uncertain about drug qualities. Our model assumes (1) a representative opinion leader is responsible for updating the prior belief about the quality of drugs via consumption experiences and clinical trial outcomes, and (2) manufacturers use detailing as a means to build/maintain the measure of physicians who are informed of the current information sets. Unlike previous learning models with informative detailing, our model directly links the effectiveness of detailing to the current information sets and the measures of well-informed physicians. To illustrate the empirical implications of the new model, we estimate our model using a product level panel data on sales volume, prices, detailing minutes, and clinical trial outcomes for ACE-inhibitors with diuretics in Canada. Using our estimates, we demonstrate how the effectiveness of detailing depends on the information sets and the measures of well-informed physicians. Furthermore, we conduct a policy experiment to examine how a public awareness campaign, which encourages physicians/patients to report their drug experiences, would affect managerial incentives to detail. The results demonstrate that the empirical and managerial implications of our model can be very different from those of previous models. We argue that our results point out the importance of developing a structural model that captures the mechanism of how detailing/advertising conveys information in the market under study.","container-title":"QME","DOI":"10.1007/s11129-010-9082-z","ISSN":"1573-711X","issue":"2","journalAbbreviation":"Quant Mark Econ","language":"en","page":"123-165","source":"Springer Link","title":"The effects of detailing on prescribing decisions under quality uncertainty","volume":"8","author":[{"family":"Ching","given":"Andrew"},{"family":"Ishihara","given":"Masakazu"}],"issued":{"date-parts":[["2010",6,1]]}}}],"schema":"https://github.com/citation-style-language/schema/raw/master/csl-citation.json"} </w:instrText>
      </w:r>
      <w:r w:rsidRPr="00AB6670">
        <w:rPr>
          <w:rFonts w:ascii="Times New Roman" w:eastAsia="Times New Roman" w:hAnsi="Times New Roman" w:cs="Times New Roman"/>
        </w:rPr>
        <w:fldChar w:fldCharType="separate"/>
      </w:r>
      <w:r w:rsidRPr="00AB6670">
        <w:rPr>
          <w:rFonts w:ascii="Times New Roman" w:hAnsi="Times New Roman" w:cs="Times New Roman"/>
        </w:rPr>
        <w:t>(Ching &amp; Ishihara, 2010</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w:t>
      </w:r>
      <w:r w:rsidRPr="00AB6670">
        <w:rPr>
          <w:rFonts w:ascii="Times New Roman" w:eastAsia="Times New Roman" w:hAnsi="Times New Roman" w:cs="Times New Roman"/>
        </w:rPr>
        <w:fldChar w:fldCharType="begin"/>
      </w:r>
      <w:r w:rsidR="00D649BB">
        <w:rPr>
          <w:rFonts w:ascii="Times New Roman" w:eastAsia="Times New Roman" w:hAnsi="Times New Roman" w:cs="Times New Roman"/>
        </w:rPr>
        <w:instrText xml:space="preserve"> ADDIN ZOTERO_ITEM CSL_CITATION {"citationID":"W8SdDw8P","properties":{"formattedCitation":"(Narayanan &amp; Manchanda, 2009)","plainCitation":"(Narayanan &amp; Manchanda, 2009)","dontUpdate":true,"noteIndex":0},"citationItems":[{"id":30,"uris":["http://zotero.org/users/12629452/items/QKCH6AXD"],"itemData":{"id":30,"type":"article-journal","abstract":"New product launches are often accompanied by extensive marketing communication campaigns. Firms' allocation decisions for these marketing communication expenditures have two dimensions—across consumers and over time. This allocation problem is different relative to the problem of allocation of resources for existing products. In the case of new products, consumers are uncertain about their quality and learn about the products through marketing communication. Furthermore, different consumers may have different rates of learning about product quality; i.e., there may be heterogeneous learning. Thus, consumer responsiveness to marketing communication could vary along two dimensions. For each consumer, this responsiveness would vary over time, as she learns about product quality. Across consumers, there would be differences in responsiveness in each time period. For optimal allocation of marketing communication across both consumers and time, firms would need estimates of how consumer responsiveness varies across consumers and over time. Past studies have typically focused on one of these two dimensions in which responsiveness varies. They have either looked at heterogeneity in responsiveness across agents or the variation in responsiveness over time. In the context of new products, past research has looked at how consumer learning about product quality causes responsiveness to vary over time. In this study, we build a model that allows for heterogeneous learning rates and obtain individual-level learning parameters for each consumer. We use a novel and rich panel data set that allows us to estimate these model parameters. To obtain individual-level estimates of learning, we add a hierarchical Bayesian structure to the Bayesian learning model. We exploit the natural hierarchy in the Bayesian learning process to incorporate it in the hierarchical Bayesian model. We use data augmentation, coupled with the Metropolis-Hastings algorithm, to make inferences about individual-level parameters of learning. We conduct this analysis on a unique panel data set of physicians where we observe prescription decisions and detailing (i.e., sales-force effort) at the individual physician level for a new prescription drug category. Our results show that there is significant heterogeneity across physicians in their rates of learning about the quality of new drugs. We also find that there are asymmetries in the temporal evolution of responsiveness of physicians to detailing—physicians who are more responsive to detailing in early periods are less responsive later on and vice versa. These findings have interesting implications for the targeting of detailing across physicians and over time. We find that firms could increase their revenue if they took these temporal and cross-sectional differences in responsiveness into account while deciding on allocations of detailing.","container-title":"Marketing Science","DOI":"10.1287/mksc.1080.0410","ISSN":"0732-2399","issue":"3","page":"424-441","publisher":"INFORMS","source":"pubsonline.informs.org (Atypon)","title":"Heterogeneous Learning and the Targeting of Marketing Communication for New Products","volume":"28","author":[{"family":"Narayanan","given":"Sridhar"},{"family":"Manchanda","given":"Puneet"}],"issued":{"date-parts":[["2009",5]]}}}],"schema":"https://github.com/citation-style-language/schema/raw/master/csl-citation.json"} </w:instrText>
      </w:r>
      <w:r w:rsidRPr="00AB6670">
        <w:rPr>
          <w:rFonts w:ascii="Times New Roman" w:eastAsia="Times New Roman" w:hAnsi="Times New Roman" w:cs="Times New Roman"/>
        </w:rPr>
        <w:fldChar w:fldCharType="separate"/>
      </w:r>
      <w:r w:rsidRPr="00AB6670">
        <w:rPr>
          <w:rFonts w:ascii="Times New Roman" w:hAnsi="Times New Roman" w:cs="Times New Roman"/>
        </w:rPr>
        <w:t>Narayanan &amp; Manchanda, 2009)</w:t>
      </w:r>
      <w:r w:rsidRPr="00AB6670">
        <w:rPr>
          <w:rFonts w:ascii="Times New Roman" w:eastAsia="Times New Roman" w:hAnsi="Times New Roman" w:cs="Times New Roman"/>
        </w:rPr>
        <w:fldChar w:fldCharType="end"/>
      </w:r>
      <w:r w:rsidRPr="00AB6670">
        <w:rPr>
          <w:rFonts w:ascii="Times New Roman" w:eastAsia="Times New Roman" w:hAnsi="Times New Roman" w:cs="Times New Roman"/>
        </w:rPr>
        <w:t xml:space="preserve">. These findings support an upward adjustment of </w:t>
      </w:r>
      <m:oMath>
        <m:r>
          <w:rPr>
            <w:rFonts w:ascii="Cambria Math" w:eastAsia="Times New Roman" w:hAnsi="Cambria Math" w:cs="Times New Roman"/>
          </w:rPr>
          <m:t>q</m:t>
        </m:r>
      </m:oMath>
      <w:r w:rsidRPr="00AB6670">
        <w:rPr>
          <w:rFonts w:ascii="Times New Roman" w:eastAsia="Times New Roman" w:hAnsi="Times New Roman" w:cs="Times New Roman"/>
        </w:rPr>
        <w:t xml:space="preserve"> for GLP-1 therapies in our analysis.</w:t>
      </w:r>
    </w:p>
    <w:p w14:paraId="7AA590EA" w14:textId="5EE2694F" w:rsidR="001F60B6" w:rsidRPr="001F60B6" w:rsidRDefault="00F94DD8" w:rsidP="00293E36">
      <w:pPr>
        <w:pStyle w:val="Heading1"/>
        <w:numPr>
          <w:ilvl w:val="1"/>
          <w:numId w:val="8"/>
        </w:numPr>
        <w:spacing w:line="480" w:lineRule="auto"/>
        <w:rPr>
          <w:rFonts w:ascii="Times New Roman" w:hAnsi="Times New Roman" w:cs="Times New Roman"/>
          <w:b/>
          <w:bCs/>
          <w:color w:val="auto"/>
          <w:sz w:val="24"/>
          <w:szCs w:val="24"/>
        </w:rPr>
      </w:pPr>
      <w:bookmarkStart w:id="11" w:name="_Toc237678760"/>
      <w:r w:rsidRPr="00F94DD8">
        <w:rPr>
          <w:rFonts w:ascii="Times New Roman" w:hAnsi="Times New Roman" w:cs="Times New Roman"/>
          <w:b/>
          <w:bCs/>
          <w:color w:val="auto"/>
          <w:sz w:val="24"/>
          <w:szCs w:val="24"/>
        </w:rPr>
        <w:t xml:space="preserve">Markov </w:t>
      </w:r>
      <w:r w:rsidR="00587FDA">
        <w:rPr>
          <w:rFonts w:ascii="Times New Roman" w:hAnsi="Times New Roman" w:cs="Times New Roman"/>
          <w:b/>
          <w:bCs/>
          <w:color w:val="auto"/>
          <w:sz w:val="24"/>
          <w:szCs w:val="24"/>
        </w:rPr>
        <w:t>C</w:t>
      </w:r>
      <w:r w:rsidRPr="00F94DD8">
        <w:rPr>
          <w:rFonts w:ascii="Times New Roman" w:hAnsi="Times New Roman" w:cs="Times New Roman"/>
          <w:b/>
          <w:bCs/>
          <w:color w:val="auto"/>
          <w:sz w:val="24"/>
          <w:szCs w:val="24"/>
        </w:rPr>
        <w:t>hain Monte Carlo Estimation</w:t>
      </w:r>
      <w:bookmarkEnd w:id="11"/>
    </w:p>
    <w:p w14:paraId="5ECE9C38" w14:textId="46264B1E" w:rsidR="00963B35" w:rsidRPr="00963B35" w:rsidRDefault="00963B35" w:rsidP="00C64017">
      <w:pPr>
        <w:spacing w:line="480" w:lineRule="auto"/>
        <w:rPr>
          <w:rFonts w:ascii="Times New Roman" w:hAnsi="Times New Roman" w:cs="Times New Roman"/>
        </w:rPr>
      </w:pPr>
      <w:r w:rsidRPr="00963B35">
        <w:rPr>
          <w:rFonts w:ascii="Times New Roman" w:hAnsi="Times New Roman" w:cs="Times New Roman"/>
        </w:rPr>
        <w:t xml:space="preserve">Because the generalized Bass model is nonlinear and the posterior distribution does not have a closed-form solution, we estimate the U.S. model using Markov chain Monte Carlo (MCMC) simulation implemented in JAGS through the R2jags interface in R. The observed annual first-time adoption flows are modeled using the Gaussian likelihood described in Section 5.4, conditional on the time-varying market-potential path and market-effort variables. The parameters sampled from the posterior include the innovation coefficient </w:t>
      </w:r>
      <m:oMath>
        <m:r>
          <w:rPr>
            <w:rFonts w:ascii="Cambria Math" w:hAnsi="Cambria Math" w:cs="Times New Roman"/>
          </w:rPr>
          <m:t>p</m:t>
        </m:r>
      </m:oMath>
      <w:r w:rsidRPr="00963B35">
        <w:rPr>
          <w:rFonts w:ascii="Times New Roman" w:hAnsi="Times New Roman" w:cs="Times New Roman"/>
        </w:rPr>
        <w:t xml:space="preserve">, imitation coefficient </w:t>
      </w:r>
      <m:oMath>
        <m:r>
          <w:rPr>
            <w:rFonts w:ascii="Cambria Math" w:hAnsi="Cambria Math" w:cs="Times New Roman"/>
          </w:rPr>
          <m:t>q</m:t>
        </m:r>
      </m:oMath>
      <w:r w:rsidRPr="00963B35">
        <w:rPr>
          <w:rFonts w:ascii="Times New Roman" w:hAnsi="Times New Roman" w:cs="Times New Roman"/>
        </w:rPr>
        <w:t xml:space="preserve">, the affordability and awareness coefficients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C64017">
        <w:rPr>
          <w:rFonts w:ascii="Times New Roman" w:hAnsi="Times New Roman" w:cs="Times New Roman"/>
        </w:rPr>
        <w:t xml:space="preserve"> </w:t>
      </w:r>
      <w:r w:rsidRPr="00963B35">
        <w:rPr>
          <w:rFonts w:ascii="Times New Roman" w:hAnsi="Times New Roman" w:cs="Times New Roman"/>
        </w:rPr>
        <w:t xml:space="preserve">and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Pr="00963B35">
        <w:rPr>
          <w:rFonts w:ascii="Times New Roman" w:hAnsi="Times New Roman" w:cs="Times New Roman"/>
        </w:rPr>
        <w:t xml:space="preserve">, and the error-variance component. </w:t>
      </w:r>
    </w:p>
    <w:p w14:paraId="374C029C" w14:textId="77777777" w:rsidR="00963B35" w:rsidRPr="00963B35" w:rsidRDefault="00963B35" w:rsidP="007E3183">
      <w:pPr>
        <w:spacing w:line="480" w:lineRule="auto"/>
        <w:ind w:firstLine="720"/>
        <w:rPr>
          <w:rFonts w:ascii="Times New Roman" w:hAnsi="Times New Roman" w:cs="Times New Roman"/>
        </w:rPr>
      </w:pPr>
      <w:r w:rsidRPr="00963B35">
        <w:rPr>
          <w:rFonts w:ascii="Times New Roman" w:hAnsi="Times New Roman" w:cs="Times New Roman"/>
        </w:rPr>
        <w:t xml:space="preserve">We run three parallel MCMC chains of 100,000 iterations each. The first 50,000 iterations of each chain are discarded as burn-in, and every twentieth draw from the remaining iterations is retained. This procedure yields 2,500 retained draws per chain and 7,500 posterior draws in total. The chains are initialized from dispersed values within the support of the prior distributions to facilitate assessment of convergence from different starting points. A fixed random seed is used to ensure reproducibility. For subsequent scenario simulations, we randomly select up to 5,000 draws from the retained U.S. posterior distribution. </w:t>
      </w:r>
    </w:p>
    <w:p w14:paraId="1AB1843C" w14:textId="30299E2A" w:rsidR="00C94105" w:rsidRPr="00963B35" w:rsidRDefault="00963B35" w:rsidP="00612215">
      <w:pPr>
        <w:spacing w:line="480" w:lineRule="auto"/>
        <w:ind w:firstLine="720"/>
        <w:rPr>
          <w:rFonts w:ascii="Times New Roman" w:hAnsi="Times New Roman" w:cs="Times New Roman"/>
        </w:rPr>
      </w:pPr>
      <w:r w:rsidRPr="00963B35">
        <w:rPr>
          <w:rFonts w:ascii="Times New Roman" w:hAnsi="Times New Roman" w:cs="Times New Roman"/>
        </w:rPr>
        <w:t>For each retained parameter draw, the model evaluates cumulative market effort,</w:t>
      </w:r>
      <w:r w:rsidR="00612215">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1t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2t</m:t>
            </m:r>
          </m:sub>
        </m:sSub>
        <m:r>
          <w:rPr>
            <w:rFonts w:ascii="Cambria Math" w:hAnsi="Cambria Math" w:cs="Times New Roman"/>
          </w:rPr>
          <m:t>​,</m:t>
        </m:r>
      </m:oMath>
      <w:r w:rsidR="00612215">
        <w:rPr>
          <w:rFonts w:ascii="Times New Roman" w:hAnsi="Times New Roman" w:cs="Times New Roman"/>
        </w:rPr>
        <w:t xml:space="preserve"> </w:t>
      </w:r>
      <w:r w:rsidRPr="00963B35">
        <w:rPr>
          <w:rFonts w:ascii="Times New Roman" w:hAnsi="Times New Roman" w:cs="Times New Roman"/>
        </w:rPr>
        <w:t>and uses the generalized Bass cumulative adoption function to obtain the corresponding annual first-time adoption flow. Future adoption scenarios are therefore generated by combining posterior uncertainty in the estimated diffusion parameters with alternative exogenous paths for market potential, affordability, and awareness. The posterior draws are subsequently passed to the active-use module to account for discontinuation and reinitiation.</w:t>
      </w:r>
    </w:p>
    <w:p w14:paraId="272AB53C" w14:textId="35FCBCE9" w:rsidR="00C94105" w:rsidRPr="00C94105" w:rsidRDefault="00C94105" w:rsidP="00293E36">
      <w:pPr>
        <w:pStyle w:val="Heading1"/>
        <w:numPr>
          <w:ilvl w:val="1"/>
          <w:numId w:val="8"/>
        </w:numPr>
        <w:spacing w:line="480" w:lineRule="auto"/>
        <w:rPr>
          <w:rFonts w:ascii="Times New Roman" w:hAnsi="Times New Roman" w:cs="Times New Roman"/>
          <w:b/>
          <w:bCs/>
          <w:color w:val="auto"/>
          <w:sz w:val="24"/>
          <w:szCs w:val="24"/>
        </w:rPr>
      </w:pPr>
      <w:bookmarkStart w:id="12" w:name="_Toc237678761"/>
      <w:r w:rsidRPr="00C94105">
        <w:rPr>
          <w:rFonts w:ascii="Times New Roman" w:hAnsi="Times New Roman" w:cs="Times New Roman"/>
          <w:b/>
          <w:bCs/>
          <w:color w:val="auto"/>
          <w:sz w:val="24"/>
          <w:szCs w:val="24"/>
        </w:rPr>
        <w:t xml:space="preserve">Convergence </w:t>
      </w:r>
      <w:r w:rsidR="002D02EE">
        <w:rPr>
          <w:rFonts w:ascii="Times New Roman" w:hAnsi="Times New Roman" w:cs="Times New Roman"/>
          <w:b/>
          <w:bCs/>
          <w:color w:val="auto"/>
          <w:sz w:val="24"/>
          <w:szCs w:val="24"/>
        </w:rPr>
        <w:t>D</w:t>
      </w:r>
      <w:r w:rsidRPr="00C94105">
        <w:rPr>
          <w:rFonts w:ascii="Times New Roman" w:hAnsi="Times New Roman" w:cs="Times New Roman"/>
          <w:b/>
          <w:bCs/>
          <w:color w:val="auto"/>
          <w:sz w:val="24"/>
          <w:szCs w:val="24"/>
        </w:rPr>
        <w:t xml:space="preserve">iagnostics and </w:t>
      </w:r>
      <w:r w:rsidR="002D02EE">
        <w:rPr>
          <w:rFonts w:ascii="Times New Roman" w:hAnsi="Times New Roman" w:cs="Times New Roman"/>
          <w:b/>
          <w:bCs/>
          <w:color w:val="auto"/>
          <w:sz w:val="24"/>
          <w:szCs w:val="24"/>
        </w:rPr>
        <w:t>P</w:t>
      </w:r>
      <w:r w:rsidRPr="00C94105">
        <w:rPr>
          <w:rFonts w:ascii="Times New Roman" w:hAnsi="Times New Roman" w:cs="Times New Roman"/>
          <w:b/>
          <w:bCs/>
          <w:color w:val="auto"/>
          <w:sz w:val="24"/>
          <w:szCs w:val="24"/>
        </w:rPr>
        <w:t xml:space="preserve">osterior </w:t>
      </w:r>
      <w:r w:rsidR="002D02EE">
        <w:rPr>
          <w:rFonts w:ascii="Times New Roman" w:hAnsi="Times New Roman" w:cs="Times New Roman"/>
          <w:b/>
          <w:bCs/>
          <w:color w:val="auto"/>
          <w:sz w:val="24"/>
          <w:szCs w:val="24"/>
        </w:rPr>
        <w:t>S</w:t>
      </w:r>
      <w:r w:rsidRPr="00C94105">
        <w:rPr>
          <w:rFonts w:ascii="Times New Roman" w:hAnsi="Times New Roman" w:cs="Times New Roman"/>
          <w:b/>
          <w:bCs/>
          <w:color w:val="auto"/>
          <w:sz w:val="24"/>
          <w:szCs w:val="24"/>
        </w:rPr>
        <w:t>ummaries</w:t>
      </w:r>
      <w:bookmarkEnd w:id="12"/>
    </w:p>
    <w:p w14:paraId="26558A74" w14:textId="572F90FB" w:rsidR="00B77711" w:rsidRPr="00B77711" w:rsidRDefault="00B77711" w:rsidP="00B77711">
      <w:pPr>
        <w:spacing w:line="480" w:lineRule="auto"/>
        <w:rPr>
          <w:rFonts w:ascii="Times New Roman" w:hAnsi="Times New Roman" w:cs="Times New Roman"/>
        </w:rPr>
      </w:pPr>
      <w:r w:rsidRPr="00B77711">
        <w:rPr>
          <w:rFonts w:ascii="Times New Roman" w:hAnsi="Times New Roman" w:cs="Times New Roman"/>
        </w:rPr>
        <w:t>Posterior sampling performance is assessed using the diagnostic information returned by JAGS for the three MCMC chains. For each estimated parameter, we examine the Gelman–Rubin potential scale reduction factor (</w:t>
      </w:r>
      <m:oMath>
        <m:acc>
          <m:accPr>
            <m:ctrlPr>
              <w:rPr>
                <w:rFonts w:ascii="Cambria Math" w:hAnsi="Cambria Math" w:cs="Times New Roman"/>
                <w:i/>
              </w:rPr>
            </m:ctrlPr>
          </m:accPr>
          <m:e>
            <m:r>
              <w:rPr>
                <w:rFonts w:ascii="Cambria Math" w:hAnsi="Cambria Math" w:cs="Times New Roman"/>
              </w:rPr>
              <m:t>R</m:t>
            </m:r>
          </m:e>
        </m:acc>
      </m:oMath>
      <w:r w:rsidRPr="00B77711">
        <w:rPr>
          <w:rFonts w:ascii="Times New Roman" w:hAnsi="Times New Roman" w:cs="Times New Roman"/>
        </w:rPr>
        <w:t>) and the effective sample size reported by the JAGS output. Values of</w:t>
      </w:r>
      <w:r w:rsidR="007E3183">
        <w:rPr>
          <w:rFonts w:ascii="Times New Roman" w:hAnsi="Times New Roman" w:cs="Times New Roman"/>
        </w:rPr>
        <w:t xml:space="preserve"> </w:t>
      </w:r>
      <m:oMath>
        <m:acc>
          <m:accPr>
            <m:ctrlPr>
              <w:rPr>
                <w:rFonts w:ascii="Cambria Math" w:hAnsi="Cambria Math" w:cs="Times New Roman"/>
                <w:i/>
              </w:rPr>
            </m:ctrlPr>
          </m:accPr>
          <m:e>
            <m:r>
              <w:rPr>
                <w:rFonts w:ascii="Cambria Math" w:hAnsi="Cambria Math" w:cs="Times New Roman"/>
              </w:rPr>
              <m:t>R</m:t>
            </m:r>
          </m:e>
        </m:acc>
      </m:oMath>
      <w:r w:rsidRPr="00B77711">
        <w:rPr>
          <w:rFonts w:ascii="Times New Roman" w:hAnsi="Times New Roman" w:cs="Times New Roman"/>
        </w:rPr>
        <w:t xml:space="preserve"> close to one indicate that the parallel chains have converged to a common stationary distribution, while sufficiently large effective sample sizes indicate that posterior summaries are based on an adequate number of effectively independent draws.</w:t>
      </w:r>
    </w:p>
    <w:p w14:paraId="2C77848E" w14:textId="2AA29177" w:rsidR="00C94105" w:rsidRPr="00C94105" w:rsidRDefault="00B77711" w:rsidP="006F3690">
      <w:pPr>
        <w:spacing w:line="480" w:lineRule="auto"/>
        <w:ind w:firstLine="720"/>
        <w:rPr>
          <w:rFonts w:ascii="Times New Roman" w:hAnsi="Times New Roman" w:cs="Times New Roman"/>
        </w:rPr>
      </w:pPr>
      <w:r w:rsidRPr="00B77711">
        <w:rPr>
          <w:rFonts w:ascii="Times New Roman" w:hAnsi="Times New Roman" w:cs="Times New Roman"/>
        </w:rPr>
        <w:t xml:space="preserve">After discarding burn-in and applying thinning, posterior draws of the innovation coefficient </w:t>
      </w:r>
      <m:oMath>
        <m:r>
          <w:rPr>
            <w:rFonts w:ascii="Cambria Math" w:hAnsi="Cambria Math" w:cs="Times New Roman"/>
          </w:rPr>
          <m:t>p</m:t>
        </m:r>
      </m:oMath>
      <w:r w:rsidRPr="00B77711">
        <w:rPr>
          <w:rFonts w:ascii="Times New Roman" w:hAnsi="Times New Roman" w:cs="Times New Roman"/>
        </w:rPr>
        <w:t xml:space="preserve">, imitation coefficient </w:t>
      </w:r>
      <m:oMath>
        <m:r>
          <w:rPr>
            <w:rFonts w:ascii="Cambria Math" w:hAnsi="Cambria Math" w:cs="Times New Roman"/>
          </w:rPr>
          <m:t>q</m:t>
        </m:r>
      </m:oMath>
      <w:r w:rsidRPr="00B77711">
        <w:rPr>
          <w:rFonts w:ascii="Times New Roman" w:hAnsi="Times New Roman" w:cs="Times New Roman"/>
        </w:rPr>
        <w:t xml:space="preserve">, and the market-effort coefficients for affordability and awareness are extracted from the JAGS output. The retained draws are used directly for subsequent scenario simulations. For descriptive reporting, posterior summaries are calculated from these retained draws, including measures of central tendency and posterior uncertainty. In particular, posterior medians of </w:t>
      </w:r>
      <m:oMath>
        <m:r>
          <w:rPr>
            <w:rFonts w:ascii="Cambria Math" w:hAnsi="Cambria Math" w:cs="Times New Roman"/>
          </w:rPr>
          <m:t>p</m:t>
        </m:r>
      </m:oMath>
      <w:r w:rsidRPr="00B77711">
        <w:rPr>
          <w:rFonts w:ascii="Times New Roman" w:hAnsi="Times New Roman" w:cs="Times New Roman"/>
        </w:rPr>
        <w:t xml:space="preserve">, </w:t>
      </w:r>
      <m:oMath>
        <m:r>
          <w:rPr>
            <w:rFonts w:ascii="Cambria Math" w:hAnsi="Cambria Math" w:cs="Times New Roman"/>
          </w:rPr>
          <m:t>q</m:t>
        </m:r>
      </m:oMath>
      <w:r w:rsidRPr="00B7771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B77711">
        <w:rPr>
          <w:rFonts w:ascii="Times New Roman" w:hAnsi="Times New Roman" w:cs="Times New Roman"/>
        </w:rPr>
        <w:t>,</w:t>
      </w:r>
      <w:r w:rsidR="009922FF">
        <w:rPr>
          <w:rFonts w:ascii="Times New Roman" w:hAnsi="Times New Roman" w:cs="Times New Roman"/>
        </w:rPr>
        <w:t xml:space="preserve"> and</w:t>
      </w:r>
      <w:r w:rsidRPr="00B7771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oMath>
      <w:r w:rsidR="009922FF">
        <w:rPr>
          <w:rFonts w:ascii="Times New Roman" w:eastAsiaTheme="minorEastAsia" w:hAnsi="Times New Roman" w:cs="Times New Roman"/>
        </w:rPr>
        <w:t xml:space="preserve"> </w:t>
      </w:r>
      <w:r w:rsidRPr="00B77711">
        <w:rPr>
          <w:rFonts w:ascii="Times New Roman" w:hAnsi="Times New Roman" w:cs="Times New Roman"/>
        </w:rPr>
        <w:t>are also calculated for parameter interpretation and for transferring the market-effort coefficients to the Canada and Mexico simulations.</w:t>
      </w:r>
    </w:p>
    <w:p w14:paraId="0025198D" w14:textId="34D5E619" w:rsidR="00C94105" w:rsidRPr="00C94105" w:rsidRDefault="00153245" w:rsidP="00293E36">
      <w:pPr>
        <w:pStyle w:val="Heading1"/>
        <w:numPr>
          <w:ilvl w:val="1"/>
          <w:numId w:val="8"/>
        </w:numPr>
        <w:spacing w:line="480" w:lineRule="auto"/>
        <w:rPr>
          <w:rFonts w:ascii="Times New Roman" w:hAnsi="Times New Roman" w:cs="Times New Roman"/>
          <w:b/>
          <w:bCs/>
          <w:color w:val="auto"/>
          <w:sz w:val="24"/>
          <w:szCs w:val="24"/>
        </w:rPr>
      </w:pPr>
      <w:bookmarkStart w:id="13" w:name="_Toc237678762"/>
      <w:r w:rsidRPr="00153245">
        <w:rPr>
          <w:rFonts w:ascii="Times New Roman" w:hAnsi="Times New Roman" w:cs="Times New Roman"/>
          <w:b/>
          <w:bCs/>
          <w:color w:val="auto"/>
          <w:sz w:val="24"/>
          <w:szCs w:val="24"/>
        </w:rPr>
        <w:t>Scenario Forecasting and Propagation of Parameter Uncertainty</w:t>
      </w:r>
      <w:bookmarkEnd w:id="13"/>
    </w:p>
    <w:p w14:paraId="53E4BFC1" w14:textId="12C99B1A" w:rsidR="00C44D2F" w:rsidRPr="00C44D2F" w:rsidRDefault="00C44D2F" w:rsidP="00C44D2F">
      <w:pPr>
        <w:spacing w:line="480" w:lineRule="auto"/>
        <w:rPr>
          <w:rFonts w:ascii="Times New Roman" w:hAnsi="Times New Roman" w:cs="Times New Roman"/>
        </w:rPr>
      </w:pPr>
      <w:r w:rsidRPr="00C44D2F">
        <w:rPr>
          <w:rFonts w:ascii="Times New Roman" w:hAnsi="Times New Roman" w:cs="Times New Roman"/>
        </w:rPr>
        <w:t xml:space="preserve">Scenario projections are generated by evaluating the generalized Bass model for each retained parameter </w:t>
      </w:r>
      <w:proofErr w:type="gramStart"/>
      <w:r w:rsidRPr="00C44D2F">
        <w:rPr>
          <w:rFonts w:ascii="Times New Roman" w:hAnsi="Times New Roman" w:cs="Times New Roman"/>
        </w:rPr>
        <w:t>draw</w:t>
      </w:r>
      <w:proofErr w:type="gramEnd"/>
      <w:r w:rsidRPr="00C44D2F">
        <w:rPr>
          <w:rFonts w:ascii="Times New Roman" w:hAnsi="Times New Roman" w:cs="Times New Roman"/>
        </w:rPr>
        <w:t xml:space="preserve"> under alternative future paths of market potential, affordability, and awareness. We consider two </w:t>
      </w:r>
      <w:proofErr w:type="gramStart"/>
      <w:r w:rsidRPr="00C44D2F">
        <w:rPr>
          <w:rFonts w:ascii="Times New Roman" w:hAnsi="Times New Roman" w:cs="Times New Roman"/>
        </w:rPr>
        <w:t>market-potential</w:t>
      </w:r>
      <w:proofErr w:type="gramEnd"/>
      <w:r w:rsidRPr="00C44D2F">
        <w:rPr>
          <w:rFonts w:ascii="Times New Roman" w:hAnsi="Times New Roman" w:cs="Times New Roman"/>
        </w:rPr>
        <w:t xml:space="preserve"> scenarios. Current clinical coverage represents continued access under the existing clinical eligibility framework and is operationalized using adults with obesity (</w:t>
      </w:r>
      <w:r>
        <w:rPr>
          <w:rFonts w:ascii="Times New Roman" w:hAnsi="Times New Roman" w:cs="Times New Roman"/>
        </w:rPr>
        <w:t xml:space="preserve">BMI </w:t>
      </w:r>
      <w:r w:rsidRPr="00C44D2F">
        <w:rPr>
          <w:rFonts w:ascii="Times New Roman" w:hAnsi="Times New Roman" w:cs="Times New Roman"/>
        </w:rPr>
        <w:t>≥</w:t>
      </w:r>
      <w:r>
        <w:rPr>
          <w:rFonts w:ascii="Times New Roman" w:hAnsi="Times New Roman" w:cs="Times New Roman"/>
        </w:rPr>
        <w:t xml:space="preserve"> </w:t>
      </w:r>
      <w:r w:rsidRPr="00C44D2F">
        <w:rPr>
          <w:rFonts w:ascii="Times New Roman" w:hAnsi="Times New Roman" w:cs="Times New Roman"/>
        </w:rPr>
        <w:t>30) as the potentially eligible population, multiplied by the country- and year-specific practical-access rate. Expanded weight-management access represents a broader treatment environment in which weight-management eligibility and access extend to the larger population with overweight (BMI</w:t>
      </w:r>
      <w:r>
        <w:rPr>
          <w:rFonts w:ascii="Times New Roman" w:hAnsi="Times New Roman" w:cs="Times New Roman"/>
        </w:rPr>
        <w:t xml:space="preserve"> </w:t>
      </w:r>
      <w:r w:rsidRPr="00C44D2F">
        <w:rPr>
          <w:rFonts w:ascii="Times New Roman" w:hAnsi="Times New Roman" w:cs="Times New Roman"/>
        </w:rPr>
        <w:t>≥</w:t>
      </w:r>
      <w:r>
        <w:rPr>
          <w:rFonts w:ascii="Times New Roman" w:hAnsi="Times New Roman" w:cs="Times New Roman"/>
        </w:rPr>
        <w:t xml:space="preserve"> </w:t>
      </w:r>
      <w:r w:rsidRPr="00C44D2F">
        <w:rPr>
          <w:rFonts w:ascii="Times New Roman" w:hAnsi="Times New Roman" w:cs="Times New Roman"/>
        </w:rPr>
        <w:t xml:space="preserve">25, including adults with obesity), combined with a scenario-specific practical-access path reflecting broader regulatory availability, insurance or reimbursement coverage, prescribing access, and market availability. Thus, the expanded-access scenario increases the potential treatment population as well as the share of eligible adults who can realistically obtain treatment. </w:t>
      </w:r>
    </w:p>
    <w:p w14:paraId="4306D4C3" w14:textId="206ACFF1" w:rsidR="00612215" w:rsidRPr="00612215" w:rsidRDefault="00C44D2F" w:rsidP="00C44D2F">
      <w:pPr>
        <w:spacing w:line="480" w:lineRule="auto"/>
        <w:ind w:firstLine="720"/>
        <w:rPr>
          <w:rFonts w:ascii="Times New Roman" w:hAnsi="Times New Roman" w:cs="Times New Roman"/>
        </w:rPr>
      </w:pPr>
      <w:r w:rsidRPr="00C44D2F">
        <w:rPr>
          <w:rFonts w:ascii="Times New Roman" w:hAnsi="Times New Roman" w:cs="Times New Roman"/>
        </w:rPr>
        <w:t>Within each market-potential scenario, three market-effort pathways</w:t>
      </w:r>
      <w:r>
        <w:rPr>
          <w:rFonts w:ascii="Times New Roman" w:hAnsi="Times New Roman" w:cs="Times New Roman"/>
        </w:rPr>
        <w:t xml:space="preserve"> (</w:t>
      </w:r>
      <w:r w:rsidRPr="00C44D2F">
        <w:rPr>
          <w:rFonts w:ascii="Times New Roman" w:hAnsi="Times New Roman" w:cs="Times New Roman"/>
        </w:rPr>
        <w:t>low, middle, and high adoption</w:t>
      </w:r>
      <w:r>
        <w:rPr>
          <w:rFonts w:ascii="Times New Roman" w:hAnsi="Times New Roman" w:cs="Times New Roman"/>
        </w:rPr>
        <w:t xml:space="preserve">) </w:t>
      </w:r>
      <w:r w:rsidRPr="00C44D2F">
        <w:rPr>
          <w:rFonts w:ascii="Times New Roman" w:hAnsi="Times New Roman" w:cs="Times New Roman"/>
        </w:rPr>
        <w:t xml:space="preserve">represent alternative trajectories for affordability and awareness. These pathways affect the speed of diffusion toward the scenario-specific market potential but do not change the market-potential ceiling itself. The combination of two market-potential scenarios and three market-effort pathways therefore produces six adoption scenarios for each country. </w:t>
      </w:r>
      <w:r w:rsidR="00612215" w:rsidRPr="00612215">
        <w:rPr>
          <w:rFonts w:ascii="Times New Roman" w:hAnsi="Times New Roman" w:cs="Times New Roman"/>
        </w:rPr>
        <w:t xml:space="preserve"> </w:t>
      </w:r>
    </w:p>
    <w:p w14:paraId="0C6C805F" w14:textId="7528A3BD" w:rsidR="00612215" w:rsidRPr="00612215" w:rsidRDefault="00612215" w:rsidP="006F3690">
      <w:pPr>
        <w:spacing w:line="480" w:lineRule="auto"/>
        <w:ind w:firstLine="720"/>
        <w:rPr>
          <w:rFonts w:ascii="Times New Roman" w:hAnsi="Times New Roman" w:cs="Times New Roman"/>
        </w:rPr>
      </w:pPr>
      <w:r w:rsidRPr="00612215">
        <w:rPr>
          <w:rFonts w:ascii="Times New Roman" w:hAnsi="Times New Roman" w:cs="Times New Roman"/>
        </w:rPr>
        <w:t xml:space="preserve">For the United States, we randomly select up to 5,000 draws from the retained MCMC posterior distribution. For each </w:t>
      </w:r>
      <w:proofErr w:type="gramStart"/>
      <w:r w:rsidRPr="00612215">
        <w:rPr>
          <w:rFonts w:ascii="Times New Roman" w:hAnsi="Times New Roman" w:cs="Times New Roman"/>
        </w:rPr>
        <w:t>draw ,</w:t>
      </w:r>
      <w:proofErr w:type="gramEnd"/>
      <w:r w:rsidRPr="00612215">
        <w:rPr>
          <w:rFonts w:ascii="Times New Roman" w:hAnsi="Times New Roman" w:cs="Times New Roman"/>
        </w:rPr>
        <w:t xml:space="preserve"> the model computes cumulative market effort,</w:t>
      </w:r>
      <w:r>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t</m:t>
            </m:r>
          </m:sub>
          <m:sup>
            <m:r>
              <w:rPr>
                <w:rFonts w:ascii="Cambria Math" w:hAnsi="Cambria Math" w:cs="Times New Roman"/>
              </w:rPr>
              <m:t>(d)</m:t>
            </m:r>
          </m:sup>
        </m:sSubSup>
        <m:r>
          <w:rPr>
            <w:rFonts w:ascii="Cambria Math" w:hAnsi="Cambria Math" w:cs="Times New Roman"/>
          </w:rPr>
          <m:t>​=t+</m:t>
        </m:r>
        <m:sSubSup>
          <m:sSubSupPr>
            <m:ctrlPr>
              <w:rPr>
                <w:rFonts w:ascii="Cambria Math" w:hAnsi="Cambria Math" w:cs="Times New Roman"/>
                <w:i/>
              </w:rPr>
            </m:ctrlPr>
          </m:sSubSupPr>
          <m:e>
            <m:r>
              <w:rPr>
                <w:rFonts w:ascii="Cambria Math" w:hAnsi="Cambria Math" w:cs="Times New Roman"/>
              </w:rPr>
              <m:t>β</m:t>
            </m:r>
          </m:e>
          <m:sub>
            <m:r>
              <w:rPr>
                <w:rFonts w:ascii="Cambria Math" w:hAnsi="Cambria Math" w:cs="Times New Roman"/>
              </w:rPr>
              <m:t>1</m:t>
            </m:r>
          </m:sub>
          <m:sup>
            <m:r>
              <w:rPr>
                <w:rFonts w:ascii="Cambria Math" w:hAnsi="Cambria Math" w:cs="Times New Roman"/>
              </w:rPr>
              <m:t>(d)</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1t</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β</m:t>
            </m:r>
          </m:e>
          <m:sub>
            <m:r>
              <w:rPr>
                <w:rFonts w:ascii="Cambria Math" w:hAnsi="Cambria Math" w:cs="Times New Roman"/>
              </w:rPr>
              <m:t>1</m:t>
            </m:r>
          </m:sub>
          <m:sup>
            <m:r>
              <w:rPr>
                <w:rFonts w:ascii="Cambria Math" w:hAnsi="Cambria Math" w:cs="Times New Roman"/>
              </w:rPr>
              <m:t>(d)</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2t</m:t>
            </m:r>
          </m:sub>
        </m:sSub>
      </m:oMath>
      <w:r>
        <w:rPr>
          <w:rFonts w:ascii="Times New Roman" w:hAnsi="Times New Roman" w:cs="Times New Roman"/>
        </w:rPr>
        <w:t xml:space="preserve">, </w:t>
      </w:r>
      <w:r w:rsidRPr="00612215">
        <w:rPr>
          <w:rFonts w:ascii="Times New Roman" w:hAnsi="Times New Roman" w:cs="Times New Roman"/>
        </w:rPr>
        <w:t xml:space="preserve">and evaluates the generalized Bass cumulative adoption function using </w:t>
      </w:r>
      <m:oMath>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(d)</m:t>
            </m:r>
          </m:sup>
        </m:sSup>
      </m:oMath>
      <w:r w:rsidRPr="00612215">
        <w:rPr>
          <w:rFonts w:ascii="Times New Roman" w:hAnsi="Times New Roman" w:cs="Times New Roman"/>
        </w:rPr>
        <w:t xml:space="preserve">, </w:t>
      </w:r>
      <m:oMath>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(d)</m:t>
            </m:r>
          </m:sup>
        </m:sSup>
      </m:oMath>
      <w:r w:rsidRPr="00612215">
        <w:rPr>
          <w:rFonts w:ascii="Times New Roman" w:hAnsi="Times New Roman" w:cs="Times New Roman"/>
        </w:rPr>
        <w:t xml:space="preserve">, and the scenario-specific market-potential path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m:t>
            </m:r>
          </m:sub>
        </m:sSub>
      </m:oMath>
      <w:r w:rsidRPr="00612215">
        <w:rPr>
          <w:rFonts w:ascii="Times New Roman" w:hAnsi="Times New Roman" w:cs="Times New Roman"/>
        </w:rPr>
        <w:t xml:space="preserve">. Annual first-time adoption is calculated as the change in cumulative adoption implied by adjacent periods. This procedure generates a distribution of projected adoption trajectories that </w:t>
      </w:r>
      <w:proofErr w:type="gramStart"/>
      <w:r w:rsidRPr="00612215">
        <w:rPr>
          <w:rFonts w:ascii="Times New Roman" w:hAnsi="Times New Roman" w:cs="Times New Roman"/>
        </w:rPr>
        <w:t>reflects</w:t>
      </w:r>
      <w:proofErr w:type="gramEnd"/>
      <w:r w:rsidRPr="00612215">
        <w:rPr>
          <w:rFonts w:ascii="Times New Roman" w:hAnsi="Times New Roman" w:cs="Times New Roman"/>
        </w:rPr>
        <w:t xml:space="preserve"> uncertainty in the estimated diffusion parameters. </w:t>
      </w:r>
    </w:p>
    <w:p w14:paraId="39858292" w14:textId="2B0E47A8" w:rsidR="00612215" w:rsidRPr="00612215" w:rsidRDefault="00612215" w:rsidP="001F39CB">
      <w:pPr>
        <w:spacing w:line="480" w:lineRule="auto"/>
        <w:ind w:firstLine="720"/>
        <w:rPr>
          <w:rFonts w:ascii="Times New Roman" w:hAnsi="Times New Roman" w:cs="Times New Roman"/>
        </w:rPr>
      </w:pPr>
      <w:r w:rsidRPr="00612215">
        <w:rPr>
          <w:rFonts w:ascii="Times New Roman" w:hAnsi="Times New Roman" w:cs="Times New Roman"/>
        </w:rPr>
        <w:t xml:space="preserve">The projected first-time adoption flow from each parameter draw is then passed through the active-use module. Current active adoption accounts for treatment discontinuation and reinitiation through the calibrated discontinuation rate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t</m:t>
            </m:r>
          </m:sub>
        </m:sSub>
      </m:oMath>
      <w:r w:rsidRPr="00612215">
        <w:rPr>
          <w:rFonts w:ascii="Times New Roman" w:hAnsi="Times New Roman" w:cs="Times New Roman"/>
        </w:rPr>
        <w:t xml:space="preserve">, the annual reinitiation rate </w:t>
      </w:r>
      <m:oMath>
        <m:r>
          <w:rPr>
            <w:rFonts w:ascii="Cambria Math" w:hAnsi="Cambria Math" w:cs="Times New Roman"/>
          </w:rPr>
          <m:t>ρ</m:t>
        </m:r>
      </m:oMath>
      <w:r w:rsidRPr="00612215">
        <w:rPr>
          <w:rFonts w:ascii="Times New Roman" w:hAnsi="Times New Roman" w:cs="Times New Roman"/>
        </w:rPr>
        <w:t xml:space="preserve">, and the returnable share </w:t>
      </w:r>
      <m:oMath>
        <m:r>
          <w:rPr>
            <w:rFonts w:ascii="Cambria Math" w:hAnsi="Cambria Math" w:cs="Times New Roman"/>
          </w:rPr>
          <m:t>λ</m:t>
        </m:r>
      </m:oMath>
      <w:r w:rsidRPr="00612215">
        <w:rPr>
          <w:rFonts w:ascii="Times New Roman" w:hAnsi="Times New Roman" w:cs="Times New Roman"/>
        </w:rPr>
        <w:t xml:space="preserve">. These parameters are held fixed at their calibrated values while uncertainty in the diffusion parameters is propagated draw by </w:t>
      </w:r>
      <w:proofErr w:type="gramStart"/>
      <w:r w:rsidRPr="00612215">
        <w:rPr>
          <w:rFonts w:ascii="Times New Roman" w:hAnsi="Times New Roman" w:cs="Times New Roman"/>
        </w:rPr>
        <w:t>draw</w:t>
      </w:r>
      <w:proofErr w:type="gramEnd"/>
      <w:r w:rsidRPr="00612215">
        <w:rPr>
          <w:rFonts w:ascii="Times New Roman" w:hAnsi="Times New Roman" w:cs="Times New Roman"/>
        </w:rPr>
        <w:t xml:space="preserve"> through the active-adoption recursion. </w:t>
      </w:r>
    </w:p>
    <w:p w14:paraId="51EEEE82" w14:textId="77777777" w:rsidR="00612215" w:rsidRPr="00612215" w:rsidRDefault="00612215" w:rsidP="001F39CB">
      <w:pPr>
        <w:spacing w:line="480" w:lineRule="auto"/>
        <w:ind w:firstLine="720"/>
        <w:rPr>
          <w:rFonts w:ascii="Times New Roman" w:hAnsi="Times New Roman" w:cs="Times New Roman"/>
        </w:rPr>
      </w:pPr>
      <w:r w:rsidRPr="00612215">
        <w:rPr>
          <w:rFonts w:ascii="Times New Roman" w:hAnsi="Times New Roman" w:cs="Times New Roman"/>
        </w:rPr>
        <w:t xml:space="preserve">For each country, coverage scenario, adoption pathway, and year, the simulated distributions are summarized using the mean, median, and the 2.5th and 97.5th percentiles. Figures use the median trajectory as the central estimate, with the 2.5th and 97.5th percentiles representing simulation uncertainty. </w:t>
      </w:r>
    </w:p>
    <w:p w14:paraId="49E01844" w14:textId="2C25401C" w:rsidR="00C94105" w:rsidRPr="00C94105" w:rsidRDefault="00612215" w:rsidP="001F39CB">
      <w:pPr>
        <w:spacing w:line="480" w:lineRule="auto"/>
        <w:ind w:firstLine="720"/>
        <w:rPr>
          <w:rFonts w:ascii="Times New Roman" w:hAnsi="Times New Roman" w:cs="Times New Roman"/>
        </w:rPr>
      </w:pPr>
      <w:r w:rsidRPr="00612215">
        <w:rPr>
          <w:rFonts w:ascii="Times New Roman" w:hAnsi="Times New Roman" w:cs="Times New Roman"/>
        </w:rPr>
        <w:t xml:space="preserve">For Canada and Mexico, comparable historical adoption data are unavailable for estimating country-specific GBMs. We therefore conduct prior-predictive scenario simulations rather than posterior estimation. Country-specific </w:t>
      </w:r>
      <m:oMath>
        <m:r>
          <w:rPr>
            <w:rFonts w:ascii="Cambria Math" w:hAnsi="Cambria Math" w:cs="Times New Roman"/>
          </w:rPr>
          <m:t>p</m:t>
        </m:r>
      </m:oMath>
      <w:r w:rsidR="001F39CB">
        <w:rPr>
          <w:rFonts w:ascii="Times New Roman" w:hAnsi="Times New Roman" w:cs="Times New Roman"/>
        </w:rPr>
        <w:t xml:space="preserve"> and </w:t>
      </w:r>
      <m:oMath>
        <m:r>
          <w:rPr>
            <w:rFonts w:ascii="Cambria Math" w:hAnsi="Cambria Math" w:cs="Times New Roman"/>
          </w:rPr>
          <m:t>q</m:t>
        </m:r>
      </m:oMath>
      <w:r w:rsidR="001F39CB">
        <w:rPr>
          <w:rFonts w:ascii="Times New Roman" w:hAnsi="Times New Roman" w:cs="Times New Roman"/>
        </w:rPr>
        <w:t xml:space="preserve"> </w:t>
      </w:r>
      <w:r w:rsidRPr="00612215">
        <w:rPr>
          <w:rFonts w:ascii="Times New Roman" w:hAnsi="Times New Roman" w:cs="Times New Roman"/>
        </w:rPr>
        <w:t>values are drawn from the specified truncated-normal distributions, while the affordability and awareness coefficients are fixed at their U.S. posterior median estimates. Five thousand parameter draws are used for each country, and the same scenario and active-use procedures are applied.</w:t>
      </w:r>
    </w:p>
    <w:p w14:paraId="4E5F213D" w14:textId="640E1999" w:rsidR="00C94105" w:rsidRPr="00C94105" w:rsidRDefault="00C94105" w:rsidP="00293E36">
      <w:pPr>
        <w:pStyle w:val="Heading1"/>
        <w:numPr>
          <w:ilvl w:val="1"/>
          <w:numId w:val="8"/>
        </w:numPr>
        <w:spacing w:line="480" w:lineRule="auto"/>
        <w:rPr>
          <w:rFonts w:ascii="Times New Roman" w:hAnsi="Times New Roman" w:cs="Times New Roman"/>
          <w:b/>
          <w:bCs/>
          <w:color w:val="auto"/>
          <w:sz w:val="24"/>
          <w:szCs w:val="24"/>
        </w:rPr>
      </w:pPr>
      <w:bookmarkStart w:id="14" w:name="_Toc237678763"/>
      <w:r w:rsidRPr="00C94105">
        <w:rPr>
          <w:rFonts w:ascii="Times New Roman" w:hAnsi="Times New Roman" w:cs="Times New Roman"/>
          <w:b/>
          <w:bCs/>
          <w:color w:val="auto"/>
          <w:sz w:val="24"/>
          <w:szCs w:val="24"/>
        </w:rPr>
        <w:t xml:space="preserve">Calibration of </w:t>
      </w:r>
      <w:r w:rsidR="00F07968" w:rsidRPr="00C94105">
        <w:rPr>
          <w:rFonts w:ascii="Times New Roman" w:hAnsi="Times New Roman" w:cs="Times New Roman"/>
          <w:b/>
          <w:bCs/>
          <w:color w:val="auto"/>
          <w:sz w:val="24"/>
          <w:szCs w:val="24"/>
        </w:rPr>
        <w:t>Discontinuation</w:t>
      </w:r>
      <w:r w:rsidR="00875287" w:rsidRPr="00875287">
        <w:rPr>
          <w:rFonts w:ascii="Times New Roman" w:hAnsi="Times New Roman" w:cs="Times New Roman"/>
          <w:b/>
          <w:bCs/>
          <w:color w:val="auto"/>
          <w:sz w:val="24"/>
          <w:szCs w:val="24"/>
        </w:rPr>
        <w:t xml:space="preserve"> and Reinitiation</w:t>
      </w:r>
      <w:bookmarkEnd w:id="14"/>
    </w:p>
    <w:p w14:paraId="0DEB8894" w14:textId="7E5C2758" w:rsidR="00C94105" w:rsidRPr="00C94105" w:rsidRDefault="00C94105" w:rsidP="00C94105">
      <w:pPr>
        <w:spacing w:line="480" w:lineRule="auto"/>
        <w:rPr>
          <w:rFonts w:ascii="Times New Roman" w:hAnsi="Times New Roman" w:cs="Times New Roman"/>
        </w:rPr>
      </w:pPr>
      <w:r w:rsidRPr="00C94105">
        <w:rPr>
          <w:rFonts w:ascii="Times New Roman" w:hAnsi="Times New Roman" w:cs="Times New Roman"/>
        </w:rPr>
        <w:t>The active-use adjustment of Equations (12)</w:t>
      </w:r>
      <w:proofErr w:type="gramStart"/>
      <w:r w:rsidRPr="00C94105">
        <w:rPr>
          <w:rFonts w:ascii="Times New Roman" w:hAnsi="Times New Roman" w:cs="Times New Roman"/>
        </w:rPr>
        <w:t>–(</w:t>
      </w:r>
      <w:proofErr w:type="gramEnd"/>
      <w:r w:rsidRPr="00C94105">
        <w:rPr>
          <w:rFonts w:ascii="Times New Roman" w:hAnsi="Times New Roman" w:cs="Times New Roman"/>
        </w:rPr>
        <w:t xml:space="preserve">16) distinguishes cumulative first-time GLP-1 adoption from current active treatment use. This distinction is important because some individuals discontinue treatment, while some prior users restart treatment after discontinuation. In the main model, the Generalized Bass Model projects annual new first-time adoption, while the active-use adjustment accounts for discontinuation and reinitiation after initial adoption. This appendix calibrates the two reinitiation parameters: </w:t>
      </w:r>
      <m:oMath>
        <m:r>
          <w:rPr>
            <w:rFonts w:ascii="Cambria Math" w:hAnsi="Cambria Math" w:cs="Times New Roman"/>
          </w:rPr>
          <m:t>λ</m:t>
        </m:r>
      </m:oMath>
      <w:r w:rsidRPr="00C94105">
        <w:rPr>
          <w:rFonts w:ascii="Times New Roman" w:hAnsi="Times New Roman" w:cs="Times New Roman"/>
        </w:rPr>
        <w:t xml:space="preserve">, the share of discontinuers who enter the returnable inactive-user pool, and </w:t>
      </w:r>
      <m:oMath>
        <m:r>
          <w:rPr>
            <w:rFonts w:ascii="Cambria Math" w:hAnsi="Cambria Math" w:cs="Times New Roman"/>
          </w:rPr>
          <m:t>ρ</m:t>
        </m:r>
      </m:oMath>
      <w:r w:rsidRPr="00C94105">
        <w:rPr>
          <w:rFonts w:ascii="Times New Roman" w:hAnsi="Times New Roman" w:cs="Times New Roman"/>
        </w:rPr>
        <w:t>, the annual reinitiation rate among returnable inactive prior users.</w:t>
      </w:r>
    </w:p>
    <w:p w14:paraId="4568FE2D" w14:textId="3F191D2B" w:rsidR="006F7DD9" w:rsidRPr="00A8044A" w:rsidRDefault="006F7DD9" w:rsidP="006F3690">
      <w:pPr>
        <w:spacing w:line="480" w:lineRule="auto"/>
        <w:ind w:firstLine="720"/>
        <w:rPr>
          <w:rFonts w:ascii="Times New Roman" w:eastAsiaTheme="minorEastAsia" w:hAnsi="Times New Roman" w:cs="Times New Roman"/>
          <w:iCs/>
        </w:rPr>
      </w:pPr>
      <w:r w:rsidRPr="00A8044A">
        <w:rPr>
          <w:rFonts w:ascii="Times New Roman" w:eastAsiaTheme="minorEastAsia" w:hAnsi="Times New Roman" w:cs="Times New Roman"/>
          <w:iCs/>
        </w:rPr>
        <w:t xml:space="preserve">We calibrate the reinitiation component using two pieces of evidence. First, </w:t>
      </w:r>
      <w:r w:rsidR="00AF39EE" w:rsidRPr="00A8044A">
        <w:rPr>
          <w:rFonts w:ascii="Times New Roman" w:eastAsiaTheme="minorEastAsia" w:hAnsi="Times New Roman" w:cs="Times New Roman"/>
          <w:iCs/>
        </w:rPr>
        <w:t>a study shows</w:t>
      </w:r>
      <w:r w:rsidRPr="00A8044A">
        <w:rPr>
          <w:rFonts w:ascii="Times New Roman" w:eastAsiaTheme="minorEastAsia" w:hAnsi="Times New Roman" w:cs="Times New Roman"/>
          <w:iCs/>
        </w:rPr>
        <w:t xml:space="preserve"> discontinuation and reinitiation of GLP-1 receptor agonists among U.S. adults with overweight or obesity</w:t>
      </w:r>
      <w:r w:rsidR="003C5595"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36.3% of discontinuers reinitiated GLP-1 treatment within one year, and 46.4% reinitiated within two years after discontinuation</w:t>
      </w:r>
      <w:r w:rsidR="00AF39EE" w:rsidRPr="00A8044A">
        <w:rPr>
          <w:rFonts w:ascii="Times New Roman" w:eastAsiaTheme="minorEastAsia" w:hAnsi="Times New Roman" w:cs="Times New Roman"/>
          <w:iCs/>
        </w:rPr>
        <w:t xml:space="preserve"> </w:t>
      </w:r>
      <w:r w:rsidR="00AF39EE" w:rsidRPr="00A8044A">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{"citationID":"4Rfl4Wpa","properties":{"unsorted":false,"formattedCitation":"\\super 57\\nosupersub{}","plainCitation":"57","noteIndex":0},"citationItems":[{"id":452,"uris":["http://zotero.org/users/12629452/items/L5HJRZPT"],"itemData":{"id":452,"type":"article-journal","abstract":"Adherence to glucagon-like peptide-1 receptor agonists (GLP-1 RAs) is important for their effectiveness. Discontinuation and reinitiation patterns are not well understood.To describe rates of and factors associated with discontinuation and subsequent reinitiation of GLP-1 RAs among adults with overweight or obesity.In this retrospective cohort study, 125 474 adults with overweight or obesity newly initiated treatment with a dual-labeled GLP-1 RA (liraglutide, semaglutide, or tirzepatide) between January 1, 2018, and December 31, 2023, with a baseline body mass index of 27 or more, an available weight measurement within 60 days before initiation, and regular care in the year before initiation were identified using electronic health record data from a collective of US health care systems. Patients were followed up for up to 2 years to assess discontinuation and for 2 additional years to assess reinitiation.Patients were stratified by presence of type 2 diabetes at baseline.Proportions of patients discontinuing and reinitiating GLP-1 RA were estimated from Kaplan-Meier models. Associations of sociodemographic characteristics, health factors, weight changes, and gastrointestinal adverse events with discontinuation and reinitiation outcomes were modeled using time-varying Cox proportional hazards regression models. All analyses were conducted separately for patients with and patients without type 2 diabetes.In this cohort study of 125 474 adults (mean [SD] age, 54.4 [13.1] years; 82 063 women [65.4%]), 76 524 (61.0%) had type 2 diabetes. One-year discontinuation was significantly higher for patients without type 2 diabetes (64.8% [95% CI, 64.4%-65.2%]) compared with those with type 2 diabetes (46.5% [95% CI, 46.2%-46.9%]). Higher weight loss (1% reduction in weight from baseline was associated with a 3.1% [95% CI, 2.9%-3.2%] lower hazard of discontinuation for patients with type 2 diabetes and a 3.3% [95% CI, 3.2%-3.5%] lower hazard of discontinuation for patients without type 2 diabetes) and higher income (type 2 diabetes only; &amp;gt;$80 000: hazard ratio [HR], 0.72 [95% CI, 0.69-0.76]) were significantly associated with lower rates of discontinuation, while moderate or severe incident gastrointestinal adverse events were associated with a higher hazard of discontinuation (with type 2 diabetes: HR, 1.38 [95% CI, 1.31-1.45]; without type 2 diabetes: HR, 1.19 [95% CI, 1.12-1.27]). Of 41 792 patients who discontinued and had a discontinuation weight measurement available, 1-year reinitiation was lower for those without type 2 diabetes (36.3% [95% CI, 35.6%-37.0%]) compared with those with type 2 diabetes (47.3% [95% CI, 46.6%-48.0%]). Weight regain of 1% from discontinuation was significantly associated with increased hazards of reinitiation of 2.3% (95% CI, 1.9%-2.8%) for patients with type 2 diabetes and 2.8% (95% CI, 2.4%-3.2%) for patients without type 2 diabetes.In this cohort study, most patients with overweight or obesity discontinued GLP-1 RA therapy within 1 year, but those without type 2 diabetes had higher discontinuation rates and lower reinitiation rates. Inequities in access and adherence to effective treatments have the potential to exacerbate disparities in obesity.","container-title":"JAMA Network Open","DOI":"10.1001/jamanetworkopen.2024.57349","ISSN":"2574-3805","issue":"1","journalAbbreviation":"JAMA Netw Open","page":"e2457349","source":"Silverchair","title":"Discontinuation and Reinitiation of Dual-Labeled GLP-1 Receptor Agonists Among US Adults With Overweight or Obesity","volume":"8","author":[{"family":"Rodriguez","given":"Patricia J."},{"family":"Zhang","given":"Vincent"},{"family":"Gratzl","given":"Samuel"},{"family":"Do","given":"Duy"},{"family":"Goodwin Cartwright","given":"Brianna"},{"family":"Baker","given":"Charlotte"},{"family":"Gluckman","given":"Ty J."},{"family":"Stucky","given":"Nicholas"},{"family":"Emanuel","given":"Ezekiel J."}],"issued":{"date-parts":[["2025",1,31]]}}}],"schema":"https://github.com/citation-style-language/schema/raw/master/csl-citation.json"} </w:instrText>
      </w:r>
      <w:r w:rsidR="00AF39EE" w:rsidRPr="00A8044A">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57</w:t>
      </w:r>
      <w:r w:rsidR="00AF39EE" w:rsidRPr="00A8044A">
        <w:rPr>
          <w:rFonts w:ascii="Times New Roman" w:eastAsiaTheme="minorEastAsia" w:hAnsi="Times New Roman" w:cs="Times New Roman"/>
          <w:iCs/>
        </w:rPr>
        <w:fldChar w:fldCharType="end"/>
      </w:r>
      <w:r w:rsidRPr="00A8044A">
        <w:rPr>
          <w:rFonts w:ascii="Times New Roman" w:eastAsiaTheme="minorEastAsia" w:hAnsi="Times New Roman" w:cs="Times New Roman"/>
          <w:iCs/>
        </w:rPr>
        <w:t xml:space="preserve">. Second, </w:t>
      </w:r>
      <w:r w:rsidR="00DB5E99" w:rsidRPr="00A8044A">
        <w:rPr>
          <w:rFonts w:ascii="Times New Roman" w:eastAsiaTheme="minorEastAsia" w:hAnsi="Times New Roman" w:cs="Times New Roman"/>
          <w:iCs/>
        </w:rPr>
        <w:t xml:space="preserve">a study </w:t>
      </w:r>
      <w:r w:rsidRPr="00A8044A">
        <w:rPr>
          <w:rFonts w:ascii="Times New Roman" w:eastAsiaTheme="minorEastAsia" w:hAnsi="Times New Roman" w:cs="Times New Roman"/>
          <w:iCs/>
        </w:rPr>
        <w:t>reports that approximately 50% of previous GLP-1 users are likely to use these medications again in the future</w:t>
      </w:r>
      <w:r w:rsidR="00DB5E99" w:rsidRPr="00A8044A">
        <w:rPr>
          <w:rFonts w:ascii="Times New Roman" w:eastAsiaTheme="minorEastAsia" w:hAnsi="Times New Roman" w:cs="Times New Roman"/>
          <w:iCs/>
        </w:rPr>
        <w:t xml:space="preserve"> </w:t>
      </w:r>
      <w:r w:rsidR="00DB5E99" w:rsidRPr="00A8044A">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{"citationID":"viZ6oZdH","properties":{"unsorted":false,"formattedCitation":"\\super 58\\nosupersub{}","plainCitation":"58","noteIndex":0},"citationItems":[{"id":455,"uris":["http://zotero.org/users/12629452/items/ADTG45VW"],"itemData":{"id":455,"type":"webpage","abstract":"Our research shows shopper priorities are evolving quickly and dramatically. It’s vital for retailers and manufacturers to pay close attention to these trends. The key to future success will be adapting product selections and marketing to line up with the new health-focused mindset of this growing group of shoppers...","language":"en","title":"GLP-1 Users Will Represent 35% of U.S. Food and Beverage Sales by 2030","URL":"https://www.circana.com/post/glp-1-medication-users-to-represent-35-percent-of-u-s-food-and-beverage-sales-by-2030","author":[{"family":"Circana","given":""}],"accessed":{"date-parts":[["2026",6,12]]},"issued":{"date-parts":[["2025",11,18]]}}}],"schema":"https://github.com/citation-style-language/schema/raw/master/csl-citation.json"} </w:instrText>
      </w:r>
      <w:r w:rsidR="00DB5E99" w:rsidRPr="00A8044A">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58</w:t>
      </w:r>
      <w:r w:rsidR="00DB5E99" w:rsidRPr="00A8044A">
        <w:rPr>
          <w:rFonts w:ascii="Times New Roman" w:eastAsiaTheme="minorEastAsia" w:hAnsi="Times New Roman" w:cs="Times New Roman"/>
          <w:iCs/>
        </w:rPr>
        <w:fldChar w:fldCharType="end"/>
      </w:r>
      <w:r w:rsidRPr="00A8044A">
        <w:rPr>
          <w:rFonts w:ascii="Times New Roman" w:eastAsiaTheme="minorEastAsia" w:hAnsi="Times New Roman" w:cs="Times New Roman"/>
          <w:iCs/>
        </w:rPr>
        <w:t xml:space="preserve">. We interpret this value as the long-run share of discontinuers who enter the returnable inactive-user pool. Therefore, we set </w:t>
      </w:r>
      <w:r w:rsidR="00B90607" w:rsidRPr="00B90607">
        <w:rPr>
          <w:rFonts w:ascii="Times New Roman" w:eastAsiaTheme="minorEastAsia" w:hAnsi="Times New Roman" w:cs="Times New Roman"/>
        </w:rPr>
        <w:t>λ</w:t>
      </w:r>
      <w:r w:rsidR="00DB5E99" w:rsidRPr="00B90607">
        <w:rPr>
          <w:rFonts w:ascii="Times New Roman" w:eastAsiaTheme="minorEastAsia" w:hAnsi="Times New Roman" w:cs="Times New Roman"/>
          <w:iCs/>
        </w:rPr>
        <w:t xml:space="preserve"> </w:t>
      </w:r>
      <w:r w:rsidRPr="00B90607">
        <w:rPr>
          <w:rFonts w:ascii="Times New Roman" w:eastAsiaTheme="minorEastAsia" w:hAnsi="Times New Roman" w:cs="Times New Roman"/>
          <w:iCs/>
        </w:rPr>
        <w:t>=0.50</w:t>
      </w:r>
      <w:r w:rsidRPr="00A8044A">
        <w:rPr>
          <w:rFonts w:ascii="Times New Roman" w:eastAsiaTheme="minorEastAsia" w:hAnsi="Times New Roman" w:cs="Times New Roman"/>
          <w:iCs/>
        </w:rPr>
        <w:t xml:space="preserve">, where </w:t>
      </w:r>
      <m:oMath>
        <m:r>
          <w:rPr>
            <w:rFonts w:ascii="Cambria Math" w:eastAsiaTheme="minorEastAsia" w:hAnsi="Cambria Math" w:cs="Times New Roman"/>
          </w:rPr>
          <m:t>λ</m:t>
        </m:r>
      </m:oMath>
      <w:r w:rsidR="00DB5E99"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represents the share of discontinuers who are likely to reinitiate treatment in the future.</w:t>
      </w:r>
    </w:p>
    <w:p w14:paraId="16F453F8" w14:textId="77777777" w:rsidR="00EC10A9" w:rsidRPr="00A8044A" w:rsidRDefault="006F7DD9" w:rsidP="003F2DD8">
      <w:pPr>
        <w:spacing w:line="480" w:lineRule="auto"/>
        <w:ind w:firstLine="720"/>
        <w:rPr>
          <w:rFonts w:ascii="Times New Roman" w:eastAsiaTheme="minorEastAsia" w:hAnsi="Times New Roman" w:cs="Times New Roman"/>
          <w:iCs/>
        </w:rPr>
      </w:pPr>
      <w:r w:rsidRPr="00A8044A">
        <w:rPr>
          <w:rFonts w:ascii="Times New Roman" w:eastAsiaTheme="minorEastAsia" w:hAnsi="Times New Roman" w:cs="Times New Roman"/>
          <w:iCs/>
        </w:rPr>
        <w:t xml:space="preserve">Let </w:t>
      </w:r>
      <m:oMath>
        <m:r>
          <w:rPr>
            <w:rFonts w:ascii="Cambria Math" w:hAnsi="Cambria Math" w:cs="Times New Roman"/>
          </w:rPr>
          <m:t>ρ</m:t>
        </m:r>
      </m:oMath>
      <w:r w:rsidR="00DB5E99"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 xml:space="preserve">denote the annual reinitiation rate among returnable inactive prior users. For a cohort of discontinuers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t</m:t>
            </m:r>
          </m:sub>
        </m:sSub>
      </m:oMath>
      <w:r w:rsidR="00DB5E99"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 xml:space="preserve">the returnable inactive stock is </w:t>
      </w:r>
      <m:oMath>
        <m:r>
          <w:rPr>
            <w:rFonts w:ascii="Cambria Math" w:eastAsiaTheme="minorEastAsia" w:hAnsi="Cambria Math" w:cs="Times New Roman"/>
          </w:rPr>
          <m:t>λ</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t</m:t>
            </m:r>
          </m:sub>
        </m:sSub>
      </m:oMath>
      <w:r w:rsidR="00DB5E99"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 xml:space="preserve">If a constant annual reinitiation rate </w:t>
      </w:r>
      <m:oMath>
        <m:r>
          <w:rPr>
            <w:rFonts w:ascii="Cambria Math" w:hAnsi="Cambria Math" w:cs="Times New Roman"/>
          </w:rPr>
          <m:t>ρ</m:t>
        </m:r>
      </m:oMath>
      <w:r w:rsidR="00DB5E99"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 xml:space="preserve">is applied to this stock, cumulative reinitiation within </w:t>
      </w:r>
      <m:oMath>
        <m:r>
          <w:rPr>
            <w:rFonts w:ascii="Cambria Math" w:eastAsiaTheme="minorEastAsia" w:hAnsi="Cambria Math" w:cs="Times New Roman"/>
          </w:rPr>
          <m:t>k</m:t>
        </m:r>
      </m:oMath>
      <w:r w:rsidR="00DB5E99"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years is:</w:t>
      </w:r>
    </w:p>
    <w:p w14:paraId="5EE5A70A" w14:textId="67185A1A" w:rsidR="006F7DD9" w:rsidRPr="00A8044A" w:rsidRDefault="001371D5" w:rsidP="00AF54C0">
      <w:pPr>
        <w:spacing w:line="480" w:lineRule="auto"/>
        <w:jc w:val="center"/>
        <w:rPr>
          <w:rFonts w:ascii="Times New Roman" w:eastAsiaTheme="minorEastAsia" w:hAnsi="Times New Roman" w:cs="Times New Roman"/>
          <w:iCs/>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k</m:t>
            </m:r>
          </m:sub>
        </m:sSub>
        <m:r>
          <w:rPr>
            <w:rFonts w:ascii="Cambria Math" w:eastAsiaTheme="minorEastAsia" w:hAnsi="Cambria Math" w:cs="Times New Roman"/>
          </w:rPr>
          <m:t>=</m:t>
        </m:r>
        <m:r>
          <w:rPr>
            <w:rFonts w:ascii="Cambria Math" w:eastAsiaTheme="minorEastAsia" w:hAnsi="Cambria Math" w:cs="Times New Roman"/>
          </w:rPr>
          <m:t>λ</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t</m:t>
            </m:r>
          </m:sub>
        </m:sSub>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m:t>
                </m:r>
                <m:r>
                  <w:rPr>
                    <w:rFonts w:ascii="Cambria Math" w:hAnsi="Cambria Math" w:cs="Times New Roman"/>
                  </w:rPr>
                  <m:t>ρ</m:t>
                </m:r>
              </m:e>
            </m:d>
          </m:e>
          <m:sup>
            <m:r>
              <w:rPr>
                <w:rFonts w:ascii="Cambria Math" w:hAnsi="Cambria Math" w:cs="Times New Roman"/>
              </w:rPr>
              <m:t>k</m:t>
            </m:r>
          </m:sup>
        </m:sSup>
        <m:r>
          <w:rPr>
            <w:rFonts w:ascii="Cambria Math" w:hAnsi="Cambria Math" w:cs="Times New Roman"/>
          </w:rPr>
          <m:t>]</m:t>
        </m:r>
      </m:oMath>
      <w:r w:rsidR="00EC10A9" w:rsidRPr="00A8044A">
        <w:rPr>
          <w:rFonts w:ascii="Times New Roman" w:eastAsiaTheme="minorEastAsia" w:hAnsi="Times New Roman" w:cs="Times New Roman"/>
          <w:iCs/>
        </w:rPr>
        <w:t xml:space="preserve">              (</w:t>
      </w:r>
      <w:r w:rsidR="001F60B6" w:rsidRPr="00A8044A">
        <w:rPr>
          <w:rFonts w:ascii="Times New Roman" w:eastAsiaTheme="minorEastAsia" w:hAnsi="Times New Roman" w:cs="Times New Roman"/>
          <w:iCs/>
        </w:rPr>
        <w:t>19</w:t>
      </w:r>
      <w:r w:rsidR="00EC10A9" w:rsidRPr="00A8044A">
        <w:rPr>
          <w:rFonts w:ascii="Times New Roman" w:eastAsiaTheme="minorEastAsia" w:hAnsi="Times New Roman" w:cs="Times New Roman"/>
          <w:iCs/>
        </w:rPr>
        <w:t>)</w:t>
      </w:r>
    </w:p>
    <w:p w14:paraId="2B460ED0" w14:textId="24C1A738" w:rsidR="006F7DD9" w:rsidRPr="00A8044A" w:rsidRDefault="006F7DD9" w:rsidP="00AF54C0">
      <w:pPr>
        <w:spacing w:line="480" w:lineRule="auto"/>
        <w:rPr>
          <w:rFonts w:ascii="Times New Roman" w:eastAsiaTheme="minorEastAsia" w:hAnsi="Times New Roman" w:cs="Times New Roman"/>
          <w:iCs/>
        </w:rPr>
      </w:pPr>
      <w:r w:rsidRPr="00A8044A">
        <w:rPr>
          <w:rFonts w:ascii="Times New Roman" w:eastAsiaTheme="minorEastAsia" w:hAnsi="Times New Roman" w:cs="Times New Roman"/>
          <w:iCs/>
        </w:rPr>
        <w:t xml:space="preserve">Dividing both sides by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t</m:t>
            </m:r>
          </m:sub>
        </m:sSub>
      </m:oMath>
      <w:r w:rsidRPr="00A8044A">
        <w:rPr>
          <w:rFonts w:ascii="Times New Roman" w:eastAsiaTheme="minorEastAsia" w:hAnsi="Times New Roman" w:cs="Times New Roman"/>
          <w:iCs/>
        </w:rPr>
        <w:t>, the cumulative reinitiation share among all discontinuers is:</w:t>
      </w:r>
    </w:p>
    <w:p w14:paraId="09C47557" w14:textId="2F2CD44B" w:rsidR="007B1E7B" w:rsidRPr="00A8044A" w:rsidRDefault="001371D5" w:rsidP="00AF54C0">
      <w:pPr>
        <w:spacing w:line="480" w:lineRule="auto"/>
        <w:jc w:val="center"/>
        <w:rPr>
          <w:rFonts w:ascii="Times New Roman" w:eastAsiaTheme="minorEastAsia" w:hAnsi="Times New Roman" w:cs="Times New Roman"/>
          <w:iCs/>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k</m:t>
            </m:r>
          </m:sub>
        </m:sSub>
        <m:r>
          <w:rPr>
            <w:rFonts w:ascii="Cambria Math" w:eastAsiaTheme="minorEastAsia" w:hAnsi="Cambria Math" w:cs="Times New Roman"/>
          </w:rPr>
          <m:t>=</m:t>
        </m:r>
        <m:r>
          <w:rPr>
            <w:rFonts w:ascii="Cambria Math" w:eastAsiaTheme="minorEastAsia" w:hAnsi="Cambria Math" w:cs="Times New Roman"/>
          </w:rPr>
          <m:t>λ</m:t>
        </m:r>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m:t>
                </m:r>
                <m:r>
                  <w:rPr>
                    <w:rFonts w:ascii="Cambria Math" w:hAnsi="Cambria Math" w:cs="Times New Roman"/>
                  </w:rPr>
                  <m:t>ρ</m:t>
                </m:r>
              </m:e>
            </m:d>
          </m:e>
          <m:sup>
            <m:r>
              <w:rPr>
                <w:rFonts w:ascii="Cambria Math" w:hAnsi="Cambria Math" w:cs="Times New Roman"/>
              </w:rPr>
              <m:t>k</m:t>
            </m:r>
          </m:sup>
        </m:sSup>
        <m:r>
          <w:rPr>
            <w:rFonts w:ascii="Cambria Math" w:hAnsi="Cambria Math" w:cs="Times New Roman"/>
          </w:rPr>
          <m:t>]</m:t>
        </m:r>
      </m:oMath>
      <w:r w:rsidR="007B1E7B" w:rsidRPr="00A8044A">
        <w:rPr>
          <w:rFonts w:ascii="Times New Roman" w:eastAsiaTheme="minorEastAsia" w:hAnsi="Times New Roman" w:cs="Times New Roman"/>
          <w:iCs/>
        </w:rPr>
        <w:t xml:space="preserve">              (</w:t>
      </w:r>
      <w:r w:rsidR="001F60B6" w:rsidRPr="00A8044A">
        <w:rPr>
          <w:rFonts w:ascii="Times New Roman" w:eastAsiaTheme="minorEastAsia" w:hAnsi="Times New Roman" w:cs="Times New Roman"/>
          <w:iCs/>
        </w:rPr>
        <w:t>20</w:t>
      </w:r>
      <w:r w:rsidR="007B1E7B" w:rsidRPr="00A8044A">
        <w:rPr>
          <w:rFonts w:ascii="Times New Roman" w:eastAsiaTheme="minorEastAsia" w:hAnsi="Times New Roman" w:cs="Times New Roman"/>
          <w:iCs/>
        </w:rPr>
        <w:t>)</w:t>
      </w:r>
    </w:p>
    <w:p w14:paraId="52646B71" w14:textId="5A560CB9" w:rsidR="006F7DD9" w:rsidRPr="00A8044A" w:rsidRDefault="006F7DD9" w:rsidP="00AF54C0">
      <w:pPr>
        <w:spacing w:line="480" w:lineRule="auto"/>
        <w:rPr>
          <w:rFonts w:ascii="Times New Roman" w:eastAsiaTheme="minorEastAsia" w:hAnsi="Times New Roman" w:cs="Times New Roman"/>
          <w:iCs/>
        </w:rPr>
      </w:pPr>
      <w:r w:rsidRPr="00A8044A">
        <w:rPr>
          <w:rFonts w:ascii="Times New Roman" w:eastAsiaTheme="minorEastAsia" w:hAnsi="Times New Roman" w:cs="Times New Roman"/>
          <w:iCs/>
        </w:rPr>
        <w:t>Using the one-year reinitiation rate for adults without type 2 diabetes, the calibration</w:t>
      </w:r>
      <w:r w:rsidR="001B6C0D" w:rsidRPr="00A8044A">
        <w:rPr>
          <w:rFonts w:ascii="Times New Roman" w:eastAsiaTheme="minorEastAsia" w:hAnsi="Times New Roman" w:cs="Times New Roman"/>
          <w:iCs/>
        </w:rPr>
        <w:t xml:space="preserve"> of 1</w:t>
      </w:r>
      <w:r w:rsidR="001B6C0D" w:rsidRPr="00A8044A">
        <w:rPr>
          <w:rFonts w:ascii="Times New Roman" w:eastAsiaTheme="minorEastAsia" w:hAnsi="Times New Roman" w:cs="Times New Roman"/>
          <w:iCs/>
          <w:vertAlign w:val="superscript"/>
        </w:rPr>
        <w:t>st</w:t>
      </w:r>
      <w:r w:rsidR="001B6C0D" w:rsidRPr="00A8044A">
        <w:rPr>
          <w:rFonts w:ascii="Times New Roman" w:eastAsiaTheme="minorEastAsia" w:hAnsi="Times New Roman" w:cs="Times New Roman"/>
          <w:iCs/>
        </w:rPr>
        <w:t xml:space="preserve"> year</w:t>
      </w:r>
      <w:r w:rsidRPr="00A8044A">
        <w:rPr>
          <w:rFonts w:ascii="Times New Roman" w:eastAsiaTheme="minorEastAsia" w:hAnsi="Times New Roman" w:cs="Times New Roman"/>
          <w:iCs/>
        </w:rPr>
        <w:t xml:space="preserve"> is</w:t>
      </w:r>
      <w:r w:rsidR="007B1E7B" w:rsidRPr="00A8044A">
        <w:rPr>
          <w:rFonts w:ascii="Times New Roman" w:eastAsiaTheme="minorEastAsia" w:hAnsi="Times New Roman" w:cs="Times New Roman"/>
          <w:iCs/>
        </w:rPr>
        <w:t xml:space="preserve"> </w:t>
      </w:r>
      <m:oMath>
        <m:r>
          <w:rPr>
            <w:rFonts w:ascii="Cambria Math" w:hAnsi="Cambria Math" w:cs="Times New Roman"/>
          </w:rPr>
          <m:t>0.363=0.50ρ</m:t>
        </m:r>
      </m:oMath>
      <w:r w:rsidRPr="00A8044A">
        <w:rPr>
          <w:rFonts w:ascii="Times New Roman" w:eastAsiaTheme="minorEastAsia" w:hAnsi="Times New Roman" w:cs="Times New Roman"/>
          <w:iCs/>
        </w:rPr>
        <w:t>,</w:t>
      </w:r>
      <w:r w:rsidR="007B1E7B"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which gives</w:t>
      </w:r>
      <w:r w:rsidR="007B1E7B" w:rsidRPr="00A8044A">
        <w:rPr>
          <w:rFonts w:ascii="Times New Roman" w:eastAsiaTheme="minorEastAsia" w:hAnsi="Times New Roman" w:cs="Times New Roman"/>
          <w:iCs/>
        </w:rPr>
        <w:t xml:space="preserve"> </w:t>
      </w:r>
      <m:oMath>
        <m:r>
          <w:rPr>
            <w:rFonts w:ascii="Cambria Math" w:hAnsi="Cambria Math" w:cs="Times New Roman"/>
          </w:rPr>
          <m:t>ρ=0.726</m:t>
        </m:r>
      </m:oMath>
      <w:r w:rsidR="007B1E7B"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Using the two-year reinitiation rate gives a very similar value</w:t>
      </w:r>
      <w:r w:rsidR="007B1E7B" w:rsidRPr="00A8044A">
        <w:rPr>
          <w:rFonts w:ascii="Times New Roman" w:eastAsiaTheme="minorEastAsia" w:hAnsi="Times New Roman" w:cs="Times New Roman"/>
          <w:iCs/>
        </w:rPr>
        <w:t xml:space="preserve"> </w:t>
      </w:r>
      <m:oMath>
        <m:r>
          <m:rPr>
            <m:sty m:val="p"/>
          </m:rPr>
          <w:rPr>
            <w:rFonts w:ascii="Cambria Math" w:eastAsiaTheme="minorEastAsia" w:hAnsi="Cambria Math" w:cs="Times New Roman"/>
          </w:rPr>
          <m:t>0.464=0.50[1-</m:t>
        </m:r>
        <m:sSup>
          <m:sSupPr>
            <m:ctrlPr>
              <w:rPr>
                <w:rFonts w:ascii="Cambria Math" w:eastAsiaTheme="minorEastAsia" w:hAnsi="Cambria Math" w:cs="Times New Roman"/>
                <w:iCs/>
              </w:rPr>
            </m:ctrlPr>
          </m:sSupPr>
          <m:e>
            <m:d>
              <m:dPr>
                <m:ctrlPr>
                  <w:rPr>
                    <w:rFonts w:ascii="Cambria Math" w:eastAsiaTheme="minorEastAsia" w:hAnsi="Cambria Math" w:cs="Times New Roman"/>
                    <w:iCs/>
                  </w:rPr>
                </m:ctrlPr>
              </m:dPr>
              <m:e>
                <m:r>
                  <m:rPr>
                    <m:sty m:val="p"/>
                  </m:rPr>
                  <w:rPr>
                    <w:rFonts w:ascii="Cambria Math" w:eastAsiaTheme="minorEastAsia" w:hAnsi="Cambria Math" w:cs="Times New Roman"/>
                  </w:rPr>
                  <m:t>1-</m:t>
                </m:r>
                <m:r>
                  <w:rPr>
                    <w:rFonts w:ascii="Cambria Math" w:hAnsi="Cambria Math" w:cs="Times New Roman"/>
                  </w:rPr>
                  <m:t>ρ</m:t>
                </m:r>
                <m:ctrlPr>
                  <w:rPr>
                    <w:rFonts w:ascii="Cambria Math" w:hAnsi="Cambria Math" w:cs="Times New Roman"/>
                    <w:i/>
                  </w:rPr>
                </m:ctrlPr>
              </m:e>
            </m:d>
          </m:e>
          <m:sup>
            <m:r>
              <w:rPr>
                <w:rFonts w:ascii="Cambria Math" w:eastAsiaTheme="minorEastAsia" w:hAnsi="Cambria Math" w:cs="Times New Roman"/>
              </w:rPr>
              <m:t>2</m:t>
            </m:r>
          </m:sup>
        </m:sSup>
        <m:r>
          <w:rPr>
            <w:rFonts w:ascii="Cambria Math" w:eastAsiaTheme="minorEastAsia" w:hAnsi="Cambria Math" w:cs="Times New Roman"/>
          </w:rPr>
          <m:t>]</m:t>
        </m:r>
      </m:oMath>
      <w:r w:rsidR="007B1E7B"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so</w:t>
      </w:r>
      <w:r w:rsidR="007B1E7B" w:rsidRPr="00A8044A">
        <w:rPr>
          <w:rFonts w:ascii="Times New Roman" w:eastAsiaTheme="minorEastAsia" w:hAnsi="Times New Roman" w:cs="Times New Roman"/>
          <w:iCs/>
        </w:rPr>
        <w:t xml:space="preserve"> </w:t>
      </w:r>
      <m:oMath>
        <m:r>
          <w:rPr>
            <w:rFonts w:ascii="Cambria Math" w:hAnsi="Cambria Math" w:cs="Times New Roman"/>
          </w:rPr>
          <m:t>ρ=0.732</m:t>
        </m:r>
      </m:oMath>
      <w:r w:rsidR="007B1E7B"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Because the one-year and two-year calibrations are nearly identical, we use</w:t>
      </w:r>
      <w:r w:rsidR="007B1E7B" w:rsidRPr="00A8044A">
        <w:rPr>
          <w:rFonts w:ascii="Cambria Math" w:hAnsi="Cambria Math" w:cs="Times New Roman"/>
          <w:i/>
        </w:rPr>
        <w:t xml:space="preserve"> </w:t>
      </w:r>
      <m:oMath>
        <m:r>
          <w:rPr>
            <w:rFonts w:ascii="Cambria Math" w:hAnsi="Cambria Math" w:cs="Times New Roman"/>
          </w:rPr>
          <m:t>ρ=0.73</m:t>
        </m:r>
      </m:oMath>
      <w:r w:rsidR="007B1E7B" w:rsidRPr="00A8044A">
        <w:rPr>
          <w:rFonts w:ascii="Times New Roman" w:eastAsiaTheme="minorEastAsia" w:hAnsi="Times New Roman" w:cs="Times New Roman"/>
          <w:iCs/>
        </w:rPr>
        <w:t xml:space="preserve"> </w:t>
      </w:r>
      <w:r w:rsidRPr="00A8044A">
        <w:rPr>
          <w:rFonts w:ascii="Times New Roman" w:eastAsiaTheme="minorEastAsia" w:hAnsi="Times New Roman" w:cs="Times New Roman"/>
          <w:iCs/>
        </w:rPr>
        <w:t>as the annual reinitiation rate among returnable inactive prior users.</w:t>
      </w:r>
    </w:p>
    <w:p w14:paraId="52AE3717" w14:textId="41B3FDB3" w:rsidR="008F3251" w:rsidRDefault="006F7DD9" w:rsidP="00E04DC9">
      <w:pPr>
        <w:spacing w:line="480" w:lineRule="auto"/>
        <w:ind w:firstLine="720"/>
        <w:rPr>
          <w:rFonts w:ascii="Times New Roman" w:eastAsiaTheme="minorEastAsia" w:hAnsi="Times New Roman" w:cs="Times New Roman"/>
          <w:iCs/>
        </w:rPr>
      </w:pPr>
      <w:r w:rsidRPr="00A8044A">
        <w:rPr>
          <w:rFonts w:ascii="Times New Roman" w:eastAsiaTheme="minorEastAsia" w:hAnsi="Times New Roman" w:cs="Times New Roman"/>
          <w:iCs/>
        </w:rPr>
        <w:t xml:space="preserve">This structure allows the model to capture reinitiation beyond the first year. The reason is that users who do not reinitiate in year </w:t>
      </w:r>
      <m:oMath>
        <m:r>
          <w:rPr>
            <w:rFonts w:ascii="Cambria Math" w:eastAsiaTheme="minorEastAsia" w:hAnsi="Cambria Math" w:cs="Times New Roman"/>
          </w:rPr>
          <m:t>t</m:t>
        </m:r>
      </m:oMath>
      <w:r w:rsidRPr="00A8044A">
        <w:rPr>
          <w:rFonts w:ascii="Times New Roman" w:eastAsiaTheme="minorEastAsia" w:hAnsi="Times New Roman" w:cs="Times New Roman"/>
          <w:iCs/>
        </w:rPr>
        <w:t xml:space="preserve"> remain in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t</m:t>
            </m:r>
          </m:sub>
        </m:sSub>
      </m:oMath>
      <w:r w:rsidRPr="00A8044A">
        <w:rPr>
          <w:rFonts w:ascii="Times New Roman" w:eastAsiaTheme="minorEastAsia" w:hAnsi="Times New Roman" w:cs="Times New Roman"/>
          <w:iCs/>
        </w:rPr>
        <w:t xml:space="preserve">, and a fraction </w:t>
      </w: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t</m:t>
            </m:r>
          </m:sub>
        </m:sSub>
      </m:oMath>
      <w:r w:rsidR="007B1E7B" w:rsidRPr="00A8044A">
        <w:rPr>
          <w:rFonts w:ascii="Times New Roman" w:eastAsiaTheme="minorEastAsia" w:hAnsi="Times New Roman" w:cs="Times New Roman"/>
        </w:rPr>
        <w:t xml:space="preserve"> </w:t>
      </w:r>
      <w:r w:rsidRPr="00A8044A">
        <w:rPr>
          <w:rFonts w:ascii="Times New Roman" w:eastAsiaTheme="minorEastAsia" w:hAnsi="Times New Roman" w:cs="Times New Roman"/>
          <w:iCs/>
        </w:rPr>
        <w:t xml:space="preserve">of the remaining stock can reinitiate in later years. For example, if 100 users discontinue and </w:t>
      </w:r>
      <m:oMath>
        <m:r>
          <w:rPr>
            <w:rFonts w:ascii="Cambria Math" w:eastAsiaTheme="minorEastAsia" w:hAnsi="Cambria Math" w:cs="Times New Roman"/>
          </w:rPr>
          <m:t>λ=0.50</m:t>
        </m:r>
      </m:oMath>
      <w:r w:rsidRPr="00A8044A">
        <w:rPr>
          <w:rFonts w:ascii="Times New Roman" w:eastAsiaTheme="minorEastAsia" w:hAnsi="Times New Roman" w:cs="Times New Roman"/>
          <w:iCs/>
        </w:rPr>
        <w:t xml:space="preserve">, then 50 users enter the returnable inactive-user stock. With </w:t>
      </w:r>
      <m:oMath>
        <m:r>
          <w:rPr>
            <w:rFonts w:ascii="Cambria Math" w:hAnsi="Cambria Math" w:cs="Times New Roman"/>
          </w:rPr>
          <m:t>ρ=0.73</m:t>
        </m:r>
      </m:oMath>
      <w:r w:rsidRPr="00A8044A">
        <w:rPr>
          <w:rFonts w:ascii="Times New Roman" w:eastAsiaTheme="minorEastAsia" w:hAnsi="Times New Roman" w:cs="Times New Roman"/>
          <w:iCs/>
        </w:rPr>
        <w:t xml:space="preserve">, 36.5 users reinitiate within one year. The remaining 13.5 users stay in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t</m:t>
            </m:r>
          </m:sub>
        </m:sSub>
      </m:oMath>
      <w:r w:rsidRPr="00A8044A">
        <w:rPr>
          <w:rFonts w:ascii="Times New Roman" w:eastAsiaTheme="minorEastAsia" w:hAnsi="Times New Roman" w:cs="Times New Roman"/>
          <w:iCs/>
        </w:rPr>
        <w:t xml:space="preserve">, and 0.73 of them reinitiate in the second year, giving an additional 9.86 users. Therefore, cumulative two-year reinitiation is approximately 46.4 users, matching the observed two-year reinitiation rate. This stock-flow structure shows that the model does not only capture first-year reinitiation; it also captures later reinitiation because the remaining returnable inactive users continue to be carried forward in </w:t>
      </w:r>
      <m:oMath>
        <m:sSub>
          <m:sSubPr>
            <m:ctrlPr>
              <w:rPr>
                <w:rFonts w:ascii="Cambria Math" w:eastAsiaTheme="minorEastAsia" w:hAnsi="Cambria Math" w:cs="Times New Roman"/>
                <w:iCs/>
              </w:rPr>
            </m:ctrlPr>
          </m:sSubPr>
          <m:e>
            <m:r>
              <w:rPr>
                <w:rFonts w:ascii="Cambria Math" w:eastAsiaTheme="minorEastAsia" w:hAnsi="Cambria Math" w:cs="Times New Roman"/>
              </w:rPr>
              <m:t>B</m:t>
            </m:r>
          </m:e>
          <m:sub>
            <m:r>
              <w:rPr>
                <w:rFonts w:ascii="Cambria Math" w:eastAsiaTheme="minorEastAsia" w:hAnsi="Cambria Math" w:cs="Times New Roman"/>
              </w:rPr>
              <m:t>t</m:t>
            </m:r>
          </m:sub>
        </m:sSub>
      </m:oMath>
      <w:r w:rsidR="008F3251" w:rsidRPr="00A8044A">
        <w:rPr>
          <w:rFonts w:ascii="Times New Roman" w:eastAsiaTheme="minorEastAsia" w:hAnsi="Times New Roman" w:cs="Times New Roman"/>
          <w:iCs/>
        </w:rPr>
        <w:t xml:space="preserve"> (Equation 16 of the main text). The calibration assumes a constant </w:t>
      </w:r>
      <m:oMath>
        <m:r>
          <w:rPr>
            <w:rFonts w:ascii="Cambria Math" w:hAnsi="Cambria Math" w:cs="Times New Roman"/>
          </w:rPr>
          <m:t>ρ</m:t>
        </m:r>
      </m:oMath>
      <w:r w:rsidR="008F3251" w:rsidRPr="00A8044A">
        <w:rPr>
          <w:rFonts w:ascii="Times New Roman" w:eastAsiaTheme="minorEastAsia" w:hAnsi="Times New Roman" w:cs="Times New Roman"/>
          <w:iCs/>
        </w:rPr>
        <w:t>; in the recursions of Equations (13)</w:t>
      </w:r>
      <w:proofErr w:type="gramStart"/>
      <w:r w:rsidR="008F3251" w:rsidRPr="00A8044A">
        <w:rPr>
          <w:rFonts w:ascii="Times New Roman" w:eastAsiaTheme="minorEastAsia" w:hAnsi="Times New Roman" w:cs="Times New Roman"/>
          <w:iCs/>
        </w:rPr>
        <w:t>–(</w:t>
      </w:r>
      <w:proofErr w:type="gramEnd"/>
      <w:r w:rsidR="008F3251" w:rsidRPr="00A8044A">
        <w:rPr>
          <w:rFonts w:ascii="Times New Roman" w:eastAsiaTheme="minorEastAsia" w:hAnsi="Times New Roman" w:cs="Times New Roman"/>
          <w:iCs/>
        </w:rPr>
        <w:t xml:space="preserve">16) this corresponds to setting </w:t>
      </w: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t</m:t>
            </m:r>
          </m:sub>
        </m:sSub>
        <m:r>
          <w:rPr>
            <w:rFonts w:ascii="Cambria Math" w:hAnsi="Cambria Math" w:cs="Times New Roman"/>
          </w:rPr>
          <m:t>=ρ=0.73</m:t>
        </m:r>
      </m:oMath>
      <w:r w:rsidR="008F3251" w:rsidRPr="00A8044A">
        <w:rPr>
          <w:rFonts w:ascii="Times New Roman" w:eastAsiaTheme="minorEastAsia" w:hAnsi="Times New Roman" w:cs="Times New Roman"/>
          <w:iCs/>
        </w:rPr>
        <w:t xml:space="preserve"> in all years of the baseline scenario.</w:t>
      </w:r>
    </w:p>
    <w:tbl>
      <w:tblPr>
        <w:tblStyle w:val="TableGrid"/>
        <w:tblW w:w="0" w:type="auto"/>
        <w:tblInd w:w="0" w:type="dxa"/>
        <w:tblLook w:val="04A0" w:firstRow="1" w:lastRow="0" w:firstColumn="1" w:lastColumn="0" w:noHBand="0" w:noVBand="1"/>
      </w:tblPr>
      <w:tblGrid>
        <w:gridCol w:w="9350"/>
      </w:tblGrid>
      <w:tr w:rsidR="007F219E" w14:paraId="560747D9" w14:textId="77777777" w:rsidTr="007F219E">
        <w:trPr>
          <w:trHeight w:val="5507"/>
        </w:trPr>
        <w:tc>
          <w:tcPr>
            <w:tcW w:w="9350" w:type="dxa"/>
          </w:tcPr>
          <w:p w14:paraId="23999574" w14:textId="5BFB92D7" w:rsidR="007F219E" w:rsidRDefault="007F219E" w:rsidP="00AF54C0">
            <w:pPr>
              <w:spacing w:line="480" w:lineRule="auto"/>
              <w:rPr>
                <w:rFonts w:ascii="Times New Roman" w:eastAsiaTheme="minorEastAsia" w:hAnsi="Times New Roman" w:cs="Times New Roman"/>
                <w:iCs/>
              </w:rPr>
            </w:pPr>
            <w:r w:rsidRPr="007F219E">
              <w:rPr>
                <w:rFonts w:ascii="Times New Roman" w:eastAsiaTheme="minorEastAsia" w:hAnsi="Times New Roman" w:cs="Times New Roman"/>
                <w:iCs/>
                <w:noProof/>
              </w:rPr>
              <w:drawing>
                <wp:inline distT="0" distB="0" distL="0" distR="0" wp14:anchorId="5D3D3917" wp14:editId="1FFD69DB">
                  <wp:extent cx="5799908" cy="3439668"/>
                  <wp:effectExtent l="0" t="0" r="0" b="8890"/>
                  <wp:docPr id="1139223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223728" name=""/>
                          <pic:cNvPicPr/>
                        </pic:nvPicPr>
                        <pic:blipFill>
                          <a:blip r:embed="rId18"/>
                          <a:stretch>
                            <a:fillRect/>
                          </a:stretch>
                        </pic:blipFill>
                        <pic:spPr>
                          <a:xfrm>
                            <a:off x="0" y="0"/>
                            <a:ext cx="5810764" cy="3446106"/>
                          </a:xfrm>
                          <a:prstGeom prst="rect">
                            <a:avLst/>
                          </a:prstGeom>
                        </pic:spPr>
                      </pic:pic>
                    </a:graphicData>
                  </a:graphic>
                </wp:inline>
              </w:drawing>
            </w:r>
          </w:p>
        </w:tc>
      </w:tr>
      <w:tr w:rsidR="007F219E" w14:paraId="1DF637C9" w14:textId="77777777" w:rsidTr="007F219E">
        <w:tc>
          <w:tcPr>
            <w:tcW w:w="9350" w:type="dxa"/>
          </w:tcPr>
          <w:p w14:paraId="705C3F53" w14:textId="1A8D724E" w:rsidR="007F219E" w:rsidRDefault="00DA65AC" w:rsidP="00682743">
            <w:pPr>
              <w:spacing w:line="240" w:lineRule="auto"/>
              <w:rPr>
                <w:rFonts w:ascii="Times New Roman" w:eastAsiaTheme="minorEastAsia" w:hAnsi="Times New Roman" w:cs="Times New Roman"/>
                <w:iCs/>
              </w:rPr>
            </w:pPr>
            <w:r w:rsidRPr="005F6E37">
              <w:rPr>
                <w:rFonts w:ascii="Times New Roman" w:eastAsiaTheme="minorEastAsia" w:hAnsi="Times New Roman" w:cs="Times New Roman"/>
                <w:b/>
                <w:bCs/>
                <w:iCs/>
              </w:rPr>
              <w:t>Fig. S</w:t>
            </w:r>
            <w:r w:rsidR="00C220E3">
              <w:rPr>
                <w:rFonts w:ascii="Times New Roman" w:eastAsiaTheme="minorEastAsia" w:hAnsi="Times New Roman" w:cs="Times New Roman"/>
                <w:b/>
                <w:bCs/>
                <w:iCs/>
              </w:rPr>
              <w:t>6</w:t>
            </w:r>
            <w:r w:rsidRPr="005F6E37">
              <w:rPr>
                <w:rFonts w:ascii="Times New Roman" w:eastAsiaTheme="minorEastAsia" w:hAnsi="Times New Roman" w:cs="Times New Roman"/>
                <w:b/>
                <w:bCs/>
                <w:iCs/>
              </w:rPr>
              <w:t xml:space="preserve"> |</w:t>
            </w:r>
            <w:r w:rsidR="00682743">
              <w:rPr>
                <w:rFonts w:ascii="Times New Roman" w:eastAsiaTheme="minorEastAsia" w:hAnsi="Times New Roman" w:cs="Times New Roman"/>
                <w:b/>
                <w:bCs/>
                <w:iCs/>
              </w:rPr>
              <w:t xml:space="preserve"> </w:t>
            </w:r>
            <w:r w:rsidR="00682743" w:rsidRPr="00682743">
              <w:rPr>
                <w:rFonts w:ascii="Times New Roman" w:eastAsiaTheme="minorEastAsia" w:hAnsi="Times New Roman" w:cs="Times New Roman"/>
                <w:b/>
                <w:bCs/>
                <w:iCs/>
              </w:rPr>
              <w:t>Observed versus fitted U.S. cumulative adult GLP-1 adoption, 2014–2025.</w:t>
            </w:r>
            <w:r w:rsidR="00682743" w:rsidRPr="00682743">
              <w:rPr>
                <w:rFonts w:ascii="Times New Roman" w:eastAsiaTheme="minorEastAsia" w:hAnsi="Times New Roman" w:cs="Times New Roman"/>
                <w:iCs/>
              </w:rPr>
              <w:t xml:space="preserve"> The dashed line and points show the historical adoption values used in the Bayesian generalized Bass model estimation. The solid line shows the posterior median fitted trajectory, and the shaded area represents the 95% credible interval.</w:t>
            </w:r>
          </w:p>
        </w:tc>
      </w:tr>
    </w:tbl>
    <w:p w14:paraId="0E7D32AC" w14:textId="77777777" w:rsidR="007F219E" w:rsidRDefault="007F219E" w:rsidP="00AF54C0">
      <w:pPr>
        <w:spacing w:line="480" w:lineRule="auto"/>
        <w:rPr>
          <w:rFonts w:ascii="Times New Roman" w:eastAsiaTheme="minorEastAsia" w:hAnsi="Times New Roman" w:cs="Times New Roman"/>
          <w:iCs/>
        </w:rPr>
      </w:pPr>
    </w:p>
    <w:tbl>
      <w:tblPr>
        <w:tblStyle w:val="TableGrid"/>
        <w:tblW w:w="0" w:type="auto"/>
        <w:tblInd w:w="0" w:type="dxa"/>
        <w:tblLook w:val="04A0" w:firstRow="1" w:lastRow="0" w:firstColumn="1" w:lastColumn="0" w:noHBand="0" w:noVBand="1"/>
      </w:tblPr>
      <w:tblGrid>
        <w:gridCol w:w="9350"/>
      </w:tblGrid>
      <w:tr w:rsidR="007F219E" w14:paraId="08C81B2F" w14:textId="77777777" w:rsidTr="007F219E">
        <w:tc>
          <w:tcPr>
            <w:tcW w:w="9350" w:type="dxa"/>
          </w:tcPr>
          <w:p w14:paraId="157D7397" w14:textId="01D1905D" w:rsidR="007F219E" w:rsidRDefault="00020D91" w:rsidP="00AF54C0">
            <w:pPr>
              <w:spacing w:line="480" w:lineRule="auto"/>
              <w:rPr>
                <w:rFonts w:ascii="Times New Roman" w:eastAsiaTheme="minorEastAsia" w:hAnsi="Times New Roman" w:cs="Times New Roman"/>
                <w:iCs/>
              </w:rPr>
            </w:pPr>
            <w:r w:rsidRPr="00020D91">
              <w:rPr>
                <w:rFonts w:ascii="Times New Roman" w:eastAsiaTheme="minorEastAsia" w:hAnsi="Times New Roman" w:cs="Times New Roman"/>
                <w:iCs/>
                <w:noProof/>
              </w:rPr>
              <w:drawing>
                <wp:inline distT="0" distB="0" distL="0" distR="0" wp14:anchorId="5F9C0398" wp14:editId="22CC0791">
                  <wp:extent cx="5803640" cy="3441881"/>
                  <wp:effectExtent l="0" t="0" r="6985" b="6350"/>
                  <wp:docPr id="1688437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437531" name=""/>
                          <pic:cNvPicPr/>
                        </pic:nvPicPr>
                        <pic:blipFill>
                          <a:blip r:embed="rId19"/>
                          <a:stretch>
                            <a:fillRect/>
                          </a:stretch>
                        </pic:blipFill>
                        <pic:spPr>
                          <a:xfrm>
                            <a:off x="0" y="0"/>
                            <a:ext cx="5811765" cy="3446699"/>
                          </a:xfrm>
                          <a:prstGeom prst="rect">
                            <a:avLst/>
                          </a:prstGeom>
                        </pic:spPr>
                      </pic:pic>
                    </a:graphicData>
                  </a:graphic>
                </wp:inline>
              </w:drawing>
            </w:r>
          </w:p>
        </w:tc>
      </w:tr>
      <w:tr w:rsidR="007F219E" w14:paraId="27FDEFD5" w14:textId="77777777" w:rsidTr="007F219E">
        <w:tc>
          <w:tcPr>
            <w:tcW w:w="9350" w:type="dxa"/>
          </w:tcPr>
          <w:p w14:paraId="7FC79DCE" w14:textId="677684C6" w:rsidR="007F219E" w:rsidRDefault="00DA65AC" w:rsidP="007F219E">
            <w:pPr>
              <w:spacing w:line="240" w:lineRule="auto"/>
              <w:rPr>
                <w:rFonts w:ascii="Times New Roman" w:eastAsiaTheme="minorEastAsia" w:hAnsi="Times New Roman" w:cs="Times New Roman"/>
                <w:iCs/>
              </w:rPr>
            </w:pPr>
            <w:r w:rsidRPr="005F6E37">
              <w:rPr>
                <w:rFonts w:ascii="Times New Roman" w:eastAsiaTheme="minorEastAsia" w:hAnsi="Times New Roman" w:cs="Times New Roman"/>
                <w:b/>
                <w:bCs/>
                <w:iCs/>
              </w:rPr>
              <w:t>Fig. S</w:t>
            </w:r>
            <w:r w:rsidR="00C220E3">
              <w:rPr>
                <w:rFonts w:ascii="Times New Roman" w:eastAsiaTheme="minorEastAsia" w:hAnsi="Times New Roman" w:cs="Times New Roman"/>
                <w:b/>
                <w:bCs/>
                <w:iCs/>
              </w:rPr>
              <w:t>7</w:t>
            </w:r>
            <w:r w:rsidRPr="005F6E37">
              <w:rPr>
                <w:rFonts w:ascii="Times New Roman" w:eastAsiaTheme="minorEastAsia" w:hAnsi="Times New Roman" w:cs="Times New Roman"/>
                <w:b/>
                <w:bCs/>
                <w:iCs/>
              </w:rPr>
              <w:t xml:space="preserve"> |</w:t>
            </w:r>
            <w:r w:rsidR="007F219E" w:rsidRPr="007F219E">
              <w:rPr>
                <w:rStyle w:val="Strong"/>
                <w:rFonts w:ascii="Times New Roman" w:hAnsi="Times New Roman" w:cs="Times New Roman"/>
                <w:color w:val="EE0000"/>
              </w:rPr>
              <w:t xml:space="preserve"> </w:t>
            </w:r>
            <w:r w:rsidR="007F219E" w:rsidRPr="007F219E">
              <w:rPr>
                <w:rStyle w:val="Strong"/>
                <w:rFonts w:ascii="Times New Roman" w:hAnsi="Times New Roman" w:cs="Times New Roman"/>
              </w:rPr>
              <w:t>Prior and posterior distributions of U.S. Bayesian generalized Bass model parameters.</w:t>
            </w:r>
            <w:r w:rsidR="007F219E" w:rsidRPr="007F219E">
              <w:rPr>
                <w:rFonts w:ascii="Times New Roman" w:hAnsi="Times New Roman" w:cs="Times New Roman"/>
              </w:rPr>
              <w:t xml:space="preserve"> The figure compares the specified prior distributions with the posterior </w:t>
            </w:r>
            <w:r w:rsidR="007F219E" w:rsidRPr="00DA65AC">
              <w:rPr>
                <w:rFonts w:ascii="Times New Roman" w:hAnsi="Times New Roman" w:cs="Times New Roman"/>
              </w:rPr>
              <w:t xml:space="preserve">distributions estimated from the U.S. historical adoption data for the innovation parameter </w:t>
            </w:r>
            <m:oMath>
              <m:r>
                <w:rPr>
                  <w:rFonts w:ascii="Cambria Math" w:hAnsi="Cambria Math" w:cs="Times New Roman"/>
                </w:rPr>
                <m:t>p</m:t>
              </m:r>
            </m:oMath>
            <w:r w:rsidR="007F219E" w:rsidRPr="00DA65AC">
              <w:rPr>
                <w:rFonts w:ascii="Times New Roman" w:hAnsi="Times New Roman" w:cs="Times New Roman"/>
              </w:rPr>
              <w:t xml:space="preserve">, imitation parameter </w:t>
            </w:r>
            <m:oMath>
              <m:r>
                <w:rPr>
                  <w:rFonts w:ascii="Cambria Math" w:hAnsi="Cambria Math" w:cs="Times New Roman"/>
                </w:rPr>
                <m:t>q</m:t>
              </m:r>
            </m:oMath>
            <w:r w:rsidR="007F219E" w:rsidRPr="00DA65AC">
              <w:rPr>
                <w:rFonts w:ascii="Times New Roman" w:hAnsi="Times New Roman" w:cs="Times New Roman"/>
              </w:rPr>
              <w:t xml:space="preserve">, affordability effect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AF</m:t>
                  </m:r>
                </m:sub>
              </m:sSub>
            </m:oMath>
            <w:r w:rsidR="007F219E" w:rsidRPr="00DA65AC">
              <w:rPr>
                <w:rFonts w:ascii="Times New Roman" w:hAnsi="Times New Roman" w:cs="Times New Roman"/>
              </w:rPr>
              <w:t xml:space="preserve">, and awareness effect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AW</m:t>
                  </m:r>
                </m:sub>
              </m:sSub>
            </m:oMath>
            <w:r w:rsidR="007F219E" w:rsidRPr="00DA65AC">
              <w:rPr>
                <w:rFonts w:ascii="Times New Roman" w:hAnsi="Times New Roman" w:cs="Times New Roman"/>
              </w:rPr>
              <w:t xml:space="preserve">. </w:t>
            </w:r>
            <w:r w:rsidR="00D319C8" w:rsidRPr="00DA65AC">
              <w:rPr>
                <w:rFonts w:ascii="Times New Roman" w:hAnsi="Times New Roman" w:cs="Times New Roman"/>
              </w:rPr>
              <w:t>Differences between the prior and posterior distributions indicate how strongly the U.S. historical adoption data update the prior information. Larger shifts or increased concentration of the posterior relative to the prior indicate greater information contributed by the data, whereas substantial overlap indicates more limited updating</w:t>
            </w:r>
            <w:r w:rsidR="007F219E" w:rsidRPr="00DA65AC">
              <w:rPr>
                <w:rFonts w:ascii="Times New Roman" w:hAnsi="Times New Roman" w:cs="Times New Roman"/>
              </w:rPr>
              <w:t xml:space="preserve">. Canada and Mexico are not shown because their parameters are not independently estimated from country-specific historical adoption data. For Canada and </w:t>
            </w:r>
            <w:proofErr w:type="gramStart"/>
            <w:r w:rsidR="007F219E" w:rsidRPr="00DA65AC">
              <w:rPr>
                <w:rFonts w:ascii="Times New Roman" w:hAnsi="Times New Roman" w:cs="Times New Roman"/>
              </w:rPr>
              <w:t>Mexico, and</w:t>
            </w:r>
            <w:proofErr w:type="gramEnd"/>
            <w:r w:rsidR="007F219E" w:rsidRPr="00DA65AC">
              <w:rPr>
                <w:rFonts w:ascii="Times New Roman" w:hAnsi="Times New Roman" w:cs="Times New Roman"/>
              </w:rPr>
              <w:t xml:space="preserve"> are generated from country-specific prior-predictive distributions, while and are fixed at the corresponding U.S. posterior median estimates.</w:t>
            </w:r>
          </w:p>
        </w:tc>
      </w:tr>
    </w:tbl>
    <w:p w14:paraId="589453B1" w14:textId="77777777" w:rsidR="007F219E" w:rsidRDefault="007F219E" w:rsidP="00AF54C0">
      <w:pPr>
        <w:spacing w:line="480" w:lineRule="auto"/>
        <w:rPr>
          <w:rFonts w:ascii="Times New Roman" w:eastAsiaTheme="minorEastAsia" w:hAnsi="Times New Roman" w:cs="Times New Roman"/>
          <w:iCs/>
        </w:rPr>
      </w:pPr>
    </w:p>
    <w:tbl>
      <w:tblPr>
        <w:tblStyle w:val="TableGrid"/>
        <w:tblW w:w="0" w:type="auto"/>
        <w:tblInd w:w="-5" w:type="dxa"/>
        <w:tblLook w:val="04A0" w:firstRow="1" w:lastRow="0" w:firstColumn="1" w:lastColumn="0" w:noHBand="0" w:noVBand="1"/>
      </w:tblPr>
      <w:tblGrid>
        <w:gridCol w:w="2097"/>
        <w:gridCol w:w="763"/>
        <w:gridCol w:w="950"/>
        <w:gridCol w:w="1232"/>
        <w:gridCol w:w="1537"/>
        <w:gridCol w:w="845"/>
        <w:gridCol w:w="1931"/>
      </w:tblGrid>
      <w:tr w:rsidR="00B3572B" w:rsidRPr="00BD5412" w14:paraId="305119FD" w14:textId="77777777" w:rsidTr="009B7FCA">
        <w:trPr>
          <w:trHeight w:val="395"/>
        </w:trPr>
        <w:tc>
          <w:tcPr>
            <w:tcW w:w="9355" w:type="dxa"/>
            <w:gridSpan w:val="7"/>
            <w:noWrap/>
          </w:tcPr>
          <w:p w14:paraId="51C5E78E" w14:textId="0E9F910B" w:rsidR="00B3572B" w:rsidRPr="00744E93" w:rsidRDefault="00B3572B" w:rsidP="009B7FCA">
            <w:pPr>
              <w:spacing w:line="240" w:lineRule="auto"/>
              <w:rPr>
                <w:rFonts w:ascii="Times New Roman" w:eastAsiaTheme="minorEastAsia" w:hAnsi="Times New Roman" w:cs="Times New Roman"/>
                <w:b/>
                <w:bCs/>
                <w:iCs/>
              </w:rPr>
            </w:pPr>
            <w:r w:rsidRPr="00744E93">
              <w:rPr>
                <w:rFonts w:ascii="Times New Roman" w:eastAsiaTheme="minorEastAsia" w:hAnsi="Times New Roman" w:cs="Times New Roman"/>
                <w:b/>
                <w:bCs/>
                <w:iCs/>
              </w:rPr>
              <w:t>Table S1</w:t>
            </w:r>
            <w:r w:rsidR="00AB192C">
              <w:rPr>
                <w:rFonts w:ascii="Times New Roman" w:eastAsiaTheme="minorEastAsia" w:hAnsi="Times New Roman" w:cs="Times New Roman"/>
                <w:b/>
                <w:bCs/>
                <w:iCs/>
              </w:rPr>
              <w:t>1</w:t>
            </w:r>
            <w:r w:rsidRPr="00744E93">
              <w:rPr>
                <w:rFonts w:ascii="Times New Roman" w:eastAsiaTheme="minorEastAsia" w:hAnsi="Times New Roman" w:cs="Times New Roman"/>
                <w:b/>
                <w:bCs/>
                <w:iCs/>
              </w:rPr>
              <w:t>. Posterior estimates and convergence diagnostics.</w:t>
            </w:r>
          </w:p>
        </w:tc>
      </w:tr>
      <w:tr w:rsidR="00B3572B" w:rsidRPr="00BD5412" w14:paraId="159573C0" w14:textId="77777777" w:rsidTr="009B7FCA">
        <w:trPr>
          <w:trHeight w:val="395"/>
        </w:trPr>
        <w:tc>
          <w:tcPr>
            <w:tcW w:w="2099" w:type="dxa"/>
            <w:noWrap/>
            <w:hideMark/>
          </w:tcPr>
          <w:p w14:paraId="325ECBDD"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Parameter</w:t>
            </w:r>
          </w:p>
        </w:tc>
        <w:tc>
          <w:tcPr>
            <w:tcW w:w="761" w:type="dxa"/>
            <w:noWrap/>
            <w:hideMark/>
          </w:tcPr>
          <w:p w14:paraId="79BFA5AA"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Mean</w:t>
            </w:r>
          </w:p>
        </w:tc>
        <w:tc>
          <w:tcPr>
            <w:tcW w:w="947" w:type="dxa"/>
            <w:noWrap/>
            <w:hideMark/>
          </w:tcPr>
          <w:p w14:paraId="4843566E"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Median</w:t>
            </w:r>
          </w:p>
        </w:tc>
        <w:tc>
          <w:tcPr>
            <w:tcW w:w="1233" w:type="dxa"/>
            <w:noWrap/>
            <w:hideMark/>
          </w:tcPr>
          <w:p w14:paraId="5A57948C" w14:textId="77777777" w:rsidR="00B3572B" w:rsidRPr="00BD5412" w:rsidRDefault="00B3572B" w:rsidP="009B7FCA">
            <w:pPr>
              <w:spacing w:line="240" w:lineRule="auto"/>
              <w:rPr>
                <w:rFonts w:ascii="Times New Roman" w:eastAsiaTheme="minorEastAsia" w:hAnsi="Times New Roman" w:cs="Times New Roman"/>
                <w:iCs/>
              </w:rPr>
            </w:pPr>
            <w:r w:rsidRPr="00707FC9">
              <w:rPr>
                <w:rFonts w:ascii="Times New Roman" w:eastAsiaTheme="minorEastAsia" w:hAnsi="Times New Roman" w:cs="Times New Roman"/>
                <w:iCs/>
              </w:rPr>
              <w:t>2.5th percentile</w:t>
            </w:r>
          </w:p>
        </w:tc>
        <w:tc>
          <w:tcPr>
            <w:tcW w:w="1538" w:type="dxa"/>
            <w:noWrap/>
            <w:hideMark/>
          </w:tcPr>
          <w:p w14:paraId="6CEAAFD9" w14:textId="77777777" w:rsidR="00B3572B" w:rsidRPr="00BD5412" w:rsidRDefault="00B3572B" w:rsidP="009B7FCA">
            <w:pPr>
              <w:spacing w:line="240" w:lineRule="auto"/>
              <w:rPr>
                <w:rFonts w:ascii="Times New Roman" w:eastAsiaTheme="minorEastAsia" w:hAnsi="Times New Roman" w:cs="Times New Roman"/>
                <w:iCs/>
              </w:rPr>
            </w:pPr>
            <w:r w:rsidRPr="00707FC9">
              <w:rPr>
                <w:rFonts w:ascii="Times New Roman" w:eastAsiaTheme="minorEastAsia" w:hAnsi="Times New Roman" w:cs="Times New Roman"/>
                <w:iCs/>
              </w:rPr>
              <w:t>97.5th percentile</w:t>
            </w:r>
          </w:p>
        </w:tc>
        <w:tc>
          <w:tcPr>
            <w:tcW w:w="845" w:type="dxa"/>
            <w:noWrap/>
            <w:hideMark/>
          </w:tcPr>
          <w:p w14:paraId="026914BE" w14:textId="77777777" w:rsidR="00B3572B" w:rsidRPr="00BD5412" w:rsidRDefault="00B3572B" w:rsidP="009B7FCA">
            <w:pPr>
              <w:spacing w:line="240" w:lineRule="auto"/>
              <w:rPr>
                <w:rFonts w:ascii="Times New Roman" w:eastAsiaTheme="minorEastAsia" w:hAnsi="Times New Roman" w:cs="Times New Roman"/>
                <w:iCs/>
              </w:rPr>
            </w:pPr>
            <w:proofErr w:type="spellStart"/>
            <w:r w:rsidRPr="00BD5412">
              <w:rPr>
                <w:rFonts w:ascii="Times New Roman" w:eastAsiaTheme="minorEastAsia" w:hAnsi="Times New Roman" w:cs="Times New Roman"/>
                <w:iCs/>
              </w:rPr>
              <w:t>R_hat</w:t>
            </w:r>
            <w:proofErr w:type="spellEnd"/>
          </w:p>
        </w:tc>
        <w:tc>
          <w:tcPr>
            <w:tcW w:w="1932" w:type="dxa"/>
            <w:noWrap/>
            <w:hideMark/>
          </w:tcPr>
          <w:p w14:paraId="144D68B6" w14:textId="77777777" w:rsidR="00B3572B" w:rsidRDefault="00B3572B" w:rsidP="009B7FCA">
            <w:pPr>
              <w:spacing w:line="240" w:lineRule="auto"/>
              <w:rPr>
                <w:rFonts w:ascii="Times New Roman" w:eastAsiaTheme="minorEastAsia" w:hAnsi="Times New Roman" w:cs="Times New Roman"/>
                <w:iCs/>
              </w:rPr>
            </w:pPr>
            <w:proofErr w:type="spellStart"/>
            <w:r w:rsidRPr="00BD5412">
              <w:rPr>
                <w:rFonts w:ascii="Times New Roman" w:eastAsiaTheme="minorEastAsia" w:hAnsi="Times New Roman" w:cs="Times New Roman"/>
                <w:iCs/>
              </w:rPr>
              <w:t>Effective_sample</w:t>
            </w:r>
            <w:proofErr w:type="spellEnd"/>
          </w:p>
          <w:p w14:paraId="78B6BD9F"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_size</w:t>
            </w:r>
          </w:p>
        </w:tc>
      </w:tr>
      <w:tr w:rsidR="00B3572B" w:rsidRPr="00BD5412" w14:paraId="3704A465" w14:textId="77777777" w:rsidTr="009B7FCA">
        <w:trPr>
          <w:trHeight w:val="290"/>
        </w:trPr>
        <w:tc>
          <w:tcPr>
            <w:tcW w:w="2099" w:type="dxa"/>
            <w:noWrap/>
            <w:hideMark/>
          </w:tcPr>
          <w:p w14:paraId="21865150" w14:textId="46AF42FD" w:rsidR="00B3572B" w:rsidRPr="00BD5412" w:rsidRDefault="00F92E76"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P</w:t>
            </w:r>
          </w:p>
        </w:tc>
        <w:tc>
          <w:tcPr>
            <w:tcW w:w="761" w:type="dxa"/>
            <w:noWrap/>
            <w:hideMark/>
          </w:tcPr>
          <w:p w14:paraId="38EA2542"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0.01</w:t>
            </w:r>
          </w:p>
        </w:tc>
        <w:tc>
          <w:tcPr>
            <w:tcW w:w="947" w:type="dxa"/>
            <w:noWrap/>
            <w:hideMark/>
          </w:tcPr>
          <w:p w14:paraId="09A41B7D"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0.01</w:t>
            </w:r>
          </w:p>
        </w:tc>
        <w:tc>
          <w:tcPr>
            <w:tcW w:w="1233" w:type="dxa"/>
            <w:noWrap/>
            <w:hideMark/>
          </w:tcPr>
          <w:p w14:paraId="77BF3AF6"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0.00</w:t>
            </w:r>
          </w:p>
        </w:tc>
        <w:tc>
          <w:tcPr>
            <w:tcW w:w="1538" w:type="dxa"/>
            <w:noWrap/>
            <w:hideMark/>
          </w:tcPr>
          <w:p w14:paraId="7E45E42D"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0.01</w:t>
            </w:r>
          </w:p>
        </w:tc>
        <w:tc>
          <w:tcPr>
            <w:tcW w:w="845" w:type="dxa"/>
            <w:noWrap/>
            <w:hideMark/>
          </w:tcPr>
          <w:p w14:paraId="5A4F9971"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1.00</w:t>
            </w:r>
          </w:p>
        </w:tc>
        <w:tc>
          <w:tcPr>
            <w:tcW w:w="1932" w:type="dxa"/>
            <w:noWrap/>
            <w:hideMark/>
          </w:tcPr>
          <w:p w14:paraId="3ABE7112"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6758</w:t>
            </w:r>
          </w:p>
        </w:tc>
      </w:tr>
      <w:tr w:rsidR="00B3572B" w:rsidRPr="00BD5412" w14:paraId="786A06C8" w14:textId="77777777" w:rsidTr="009B7FCA">
        <w:trPr>
          <w:trHeight w:val="290"/>
        </w:trPr>
        <w:tc>
          <w:tcPr>
            <w:tcW w:w="2099" w:type="dxa"/>
            <w:noWrap/>
            <w:hideMark/>
          </w:tcPr>
          <w:p w14:paraId="48237CE6" w14:textId="0D6B79AE" w:rsidR="00B3572B" w:rsidRPr="00BD5412" w:rsidRDefault="00F92E76"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Q</w:t>
            </w:r>
          </w:p>
        </w:tc>
        <w:tc>
          <w:tcPr>
            <w:tcW w:w="761" w:type="dxa"/>
            <w:noWrap/>
            <w:hideMark/>
          </w:tcPr>
          <w:p w14:paraId="147B64F7"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0.43</w:t>
            </w:r>
          </w:p>
        </w:tc>
        <w:tc>
          <w:tcPr>
            <w:tcW w:w="947" w:type="dxa"/>
            <w:noWrap/>
            <w:hideMark/>
          </w:tcPr>
          <w:p w14:paraId="5CDD104D"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0.43</w:t>
            </w:r>
          </w:p>
        </w:tc>
        <w:tc>
          <w:tcPr>
            <w:tcW w:w="1233" w:type="dxa"/>
            <w:noWrap/>
            <w:hideMark/>
          </w:tcPr>
          <w:p w14:paraId="27C73922"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0.30</w:t>
            </w:r>
          </w:p>
        </w:tc>
        <w:tc>
          <w:tcPr>
            <w:tcW w:w="1538" w:type="dxa"/>
            <w:noWrap/>
            <w:hideMark/>
          </w:tcPr>
          <w:p w14:paraId="20E79B0E"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0.53</w:t>
            </w:r>
          </w:p>
        </w:tc>
        <w:tc>
          <w:tcPr>
            <w:tcW w:w="845" w:type="dxa"/>
            <w:noWrap/>
            <w:hideMark/>
          </w:tcPr>
          <w:p w14:paraId="7034296C"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1.00</w:t>
            </w:r>
          </w:p>
        </w:tc>
        <w:tc>
          <w:tcPr>
            <w:tcW w:w="1932" w:type="dxa"/>
            <w:noWrap/>
            <w:hideMark/>
          </w:tcPr>
          <w:p w14:paraId="1C25FD10"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7553</w:t>
            </w:r>
          </w:p>
        </w:tc>
      </w:tr>
      <w:tr w:rsidR="00B3572B" w:rsidRPr="00BD5412" w14:paraId="084E0125" w14:textId="77777777" w:rsidTr="009B7FCA">
        <w:trPr>
          <w:trHeight w:val="290"/>
        </w:trPr>
        <w:tc>
          <w:tcPr>
            <w:tcW w:w="2099" w:type="dxa"/>
            <w:noWrap/>
            <w:hideMark/>
          </w:tcPr>
          <w:p w14:paraId="16931ACC" w14:textId="77777777" w:rsidR="00B3572B" w:rsidRPr="00BD5412" w:rsidRDefault="00B3572B" w:rsidP="009B7FCA">
            <w:pPr>
              <w:spacing w:line="240" w:lineRule="auto"/>
              <w:rPr>
                <w:rFonts w:ascii="Times New Roman" w:eastAsiaTheme="minorEastAsia" w:hAnsi="Times New Roman" w:cs="Times New Roman"/>
                <w:iCs/>
              </w:rPr>
            </w:pPr>
            <w:proofErr w:type="spellStart"/>
            <w:r w:rsidRPr="00BD5412">
              <w:rPr>
                <w:rFonts w:ascii="Times New Roman" w:eastAsiaTheme="minorEastAsia" w:hAnsi="Times New Roman" w:cs="Times New Roman"/>
                <w:iCs/>
              </w:rPr>
              <w:t>beta_AF</w:t>
            </w:r>
            <w:proofErr w:type="spellEnd"/>
            <w:r w:rsidRPr="00BD5412">
              <w:rPr>
                <w:rFonts w:ascii="Times New Roman" w:eastAsiaTheme="minorEastAsia" w:hAnsi="Times New Roman" w:cs="Times New Roman"/>
                <w:iCs/>
              </w:rPr>
              <w:t xml:space="preserve"> (Affordability)</w:t>
            </w:r>
          </w:p>
        </w:tc>
        <w:tc>
          <w:tcPr>
            <w:tcW w:w="761" w:type="dxa"/>
            <w:noWrap/>
            <w:hideMark/>
          </w:tcPr>
          <w:p w14:paraId="2477CC91"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0.30</w:t>
            </w:r>
          </w:p>
        </w:tc>
        <w:tc>
          <w:tcPr>
            <w:tcW w:w="947" w:type="dxa"/>
            <w:noWrap/>
            <w:hideMark/>
          </w:tcPr>
          <w:p w14:paraId="22EFA2F4"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0.28</w:t>
            </w:r>
          </w:p>
        </w:tc>
        <w:tc>
          <w:tcPr>
            <w:tcW w:w="1233" w:type="dxa"/>
            <w:noWrap/>
            <w:hideMark/>
          </w:tcPr>
          <w:p w14:paraId="5E4B4108"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0.02</w:t>
            </w:r>
          </w:p>
        </w:tc>
        <w:tc>
          <w:tcPr>
            <w:tcW w:w="1538" w:type="dxa"/>
            <w:noWrap/>
            <w:hideMark/>
          </w:tcPr>
          <w:p w14:paraId="080ABA4F"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0.74</w:t>
            </w:r>
          </w:p>
        </w:tc>
        <w:tc>
          <w:tcPr>
            <w:tcW w:w="845" w:type="dxa"/>
            <w:noWrap/>
            <w:hideMark/>
          </w:tcPr>
          <w:p w14:paraId="1E9A197B"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1.00</w:t>
            </w:r>
          </w:p>
        </w:tc>
        <w:tc>
          <w:tcPr>
            <w:tcW w:w="1932" w:type="dxa"/>
            <w:noWrap/>
            <w:hideMark/>
          </w:tcPr>
          <w:p w14:paraId="18D040AE"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7996</w:t>
            </w:r>
          </w:p>
        </w:tc>
      </w:tr>
      <w:tr w:rsidR="00B3572B" w:rsidRPr="00BD5412" w14:paraId="099B3A53" w14:textId="77777777" w:rsidTr="009B7FCA">
        <w:trPr>
          <w:trHeight w:val="290"/>
        </w:trPr>
        <w:tc>
          <w:tcPr>
            <w:tcW w:w="2099" w:type="dxa"/>
            <w:noWrap/>
            <w:hideMark/>
          </w:tcPr>
          <w:p w14:paraId="338EA92E" w14:textId="77777777" w:rsidR="00B3572B" w:rsidRPr="00BD5412" w:rsidRDefault="00B3572B" w:rsidP="009B7FCA">
            <w:pPr>
              <w:spacing w:line="240" w:lineRule="auto"/>
              <w:rPr>
                <w:rFonts w:ascii="Times New Roman" w:eastAsiaTheme="minorEastAsia" w:hAnsi="Times New Roman" w:cs="Times New Roman"/>
                <w:iCs/>
              </w:rPr>
            </w:pPr>
            <w:proofErr w:type="spellStart"/>
            <w:r w:rsidRPr="00BD5412">
              <w:rPr>
                <w:rFonts w:ascii="Times New Roman" w:eastAsiaTheme="minorEastAsia" w:hAnsi="Times New Roman" w:cs="Times New Roman"/>
                <w:iCs/>
              </w:rPr>
              <w:t>beta_AW</w:t>
            </w:r>
            <w:proofErr w:type="spellEnd"/>
            <w:r w:rsidRPr="00BD5412">
              <w:rPr>
                <w:rFonts w:ascii="Times New Roman" w:eastAsiaTheme="minorEastAsia" w:hAnsi="Times New Roman" w:cs="Times New Roman"/>
                <w:iCs/>
              </w:rPr>
              <w:t xml:space="preserve"> (Awareness)</w:t>
            </w:r>
          </w:p>
        </w:tc>
        <w:tc>
          <w:tcPr>
            <w:tcW w:w="761" w:type="dxa"/>
            <w:noWrap/>
            <w:hideMark/>
          </w:tcPr>
          <w:p w14:paraId="02FD2128"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0.33</w:t>
            </w:r>
          </w:p>
        </w:tc>
        <w:tc>
          <w:tcPr>
            <w:tcW w:w="947" w:type="dxa"/>
            <w:noWrap/>
            <w:hideMark/>
          </w:tcPr>
          <w:p w14:paraId="43EDAE08"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0.31</w:t>
            </w:r>
          </w:p>
        </w:tc>
        <w:tc>
          <w:tcPr>
            <w:tcW w:w="1233" w:type="dxa"/>
            <w:noWrap/>
            <w:hideMark/>
          </w:tcPr>
          <w:p w14:paraId="103A5316"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0.02</w:t>
            </w:r>
          </w:p>
        </w:tc>
        <w:tc>
          <w:tcPr>
            <w:tcW w:w="1538" w:type="dxa"/>
            <w:noWrap/>
            <w:hideMark/>
          </w:tcPr>
          <w:p w14:paraId="289225DF"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0.75</w:t>
            </w:r>
          </w:p>
        </w:tc>
        <w:tc>
          <w:tcPr>
            <w:tcW w:w="845" w:type="dxa"/>
            <w:noWrap/>
            <w:hideMark/>
          </w:tcPr>
          <w:p w14:paraId="09C39C4E"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1.00</w:t>
            </w:r>
          </w:p>
        </w:tc>
        <w:tc>
          <w:tcPr>
            <w:tcW w:w="1932" w:type="dxa"/>
            <w:noWrap/>
            <w:hideMark/>
          </w:tcPr>
          <w:p w14:paraId="305009F8"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7317</w:t>
            </w:r>
          </w:p>
        </w:tc>
      </w:tr>
      <w:tr w:rsidR="00B3572B" w:rsidRPr="00BD5412" w14:paraId="4E5718AB" w14:textId="77777777" w:rsidTr="009B7FCA">
        <w:trPr>
          <w:trHeight w:val="290"/>
        </w:trPr>
        <w:tc>
          <w:tcPr>
            <w:tcW w:w="2099" w:type="dxa"/>
            <w:noWrap/>
            <w:hideMark/>
          </w:tcPr>
          <w:p w14:paraId="231943B7" w14:textId="77777777" w:rsidR="00B3572B"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Sigma</w:t>
            </w:r>
          </w:p>
          <w:p w14:paraId="1B479AD9"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(Residual SD)</w:t>
            </w:r>
          </w:p>
        </w:tc>
        <w:tc>
          <w:tcPr>
            <w:tcW w:w="761" w:type="dxa"/>
            <w:noWrap/>
            <w:hideMark/>
          </w:tcPr>
          <w:p w14:paraId="250C48BB"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0.01</w:t>
            </w:r>
          </w:p>
        </w:tc>
        <w:tc>
          <w:tcPr>
            <w:tcW w:w="947" w:type="dxa"/>
            <w:noWrap/>
            <w:hideMark/>
          </w:tcPr>
          <w:p w14:paraId="634EF5DD"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0.01</w:t>
            </w:r>
          </w:p>
        </w:tc>
        <w:tc>
          <w:tcPr>
            <w:tcW w:w="1233" w:type="dxa"/>
            <w:noWrap/>
            <w:hideMark/>
          </w:tcPr>
          <w:p w14:paraId="673B0782"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0.01</w:t>
            </w:r>
          </w:p>
        </w:tc>
        <w:tc>
          <w:tcPr>
            <w:tcW w:w="1538" w:type="dxa"/>
            <w:noWrap/>
            <w:hideMark/>
          </w:tcPr>
          <w:p w14:paraId="5E9BF977"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0.01</w:t>
            </w:r>
          </w:p>
        </w:tc>
        <w:tc>
          <w:tcPr>
            <w:tcW w:w="845" w:type="dxa"/>
            <w:noWrap/>
            <w:hideMark/>
          </w:tcPr>
          <w:p w14:paraId="20BE3202"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1.00</w:t>
            </w:r>
          </w:p>
        </w:tc>
        <w:tc>
          <w:tcPr>
            <w:tcW w:w="1932" w:type="dxa"/>
            <w:noWrap/>
            <w:hideMark/>
          </w:tcPr>
          <w:p w14:paraId="3B914028" w14:textId="77777777" w:rsidR="00B3572B" w:rsidRPr="00BD5412" w:rsidRDefault="00B3572B" w:rsidP="009B7FCA">
            <w:pPr>
              <w:spacing w:line="240" w:lineRule="auto"/>
              <w:rPr>
                <w:rFonts w:ascii="Times New Roman" w:eastAsiaTheme="minorEastAsia" w:hAnsi="Times New Roman" w:cs="Times New Roman"/>
                <w:iCs/>
              </w:rPr>
            </w:pPr>
            <w:r w:rsidRPr="00BD5412">
              <w:rPr>
                <w:rFonts w:ascii="Times New Roman" w:eastAsiaTheme="minorEastAsia" w:hAnsi="Times New Roman" w:cs="Times New Roman"/>
                <w:iCs/>
              </w:rPr>
              <w:t>7351</w:t>
            </w:r>
          </w:p>
        </w:tc>
      </w:tr>
    </w:tbl>
    <w:p w14:paraId="22F0038F" w14:textId="77777777" w:rsidR="00BD5412" w:rsidRDefault="00BD5412" w:rsidP="00BD5412">
      <w:pPr>
        <w:spacing w:line="240" w:lineRule="auto"/>
        <w:rPr>
          <w:rFonts w:ascii="Times New Roman" w:eastAsiaTheme="minorEastAsia" w:hAnsi="Times New Roman" w:cs="Times New Roman"/>
          <w:iCs/>
        </w:rPr>
      </w:pPr>
    </w:p>
    <w:tbl>
      <w:tblPr>
        <w:tblStyle w:val="TableGrid"/>
        <w:tblW w:w="9355" w:type="dxa"/>
        <w:tblInd w:w="0" w:type="dxa"/>
        <w:tblLook w:val="04A0" w:firstRow="1" w:lastRow="0" w:firstColumn="1" w:lastColumn="0" w:noHBand="0" w:noVBand="1"/>
      </w:tblPr>
      <w:tblGrid>
        <w:gridCol w:w="696"/>
        <w:gridCol w:w="2296"/>
        <w:gridCol w:w="6363"/>
      </w:tblGrid>
      <w:tr w:rsidR="00B3572B" w14:paraId="280EA0C9" w14:textId="77777777" w:rsidTr="009B7FCA">
        <w:tc>
          <w:tcPr>
            <w:tcW w:w="9355" w:type="dxa"/>
            <w:gridSpan w:val="3"/>
          </w:tcPr>
          <w:p w14:paraId="03031378" w14:textId="420A427B" w:rsidR="00B3572B" w:rsidRPr="00744E93" w:rsidRDefault="00B3572B" w:rsidP="009B7FCA">
            <w:pPr>
              <w:spacing w:line="240" w:lineRule="auto"/>
              <w:rPr>
                <w:rFonts w:ascii="Times New Roman" w:eastAsiaTheme="minorEastAsia" w:hAnsi="Times New Roman" w:cs="Times New Roman"/>
                <w:b/>
                <w:bCs/>
                <w:iCs/>
              </w:rPr>
            </w:pPr>
            <w:r w:rsidRPr="00744E93">
              <w:rPr>
                <w:rFonts w:ascii="Times New Roman" w:eastAsiaTheme="minorEastAsia" w:hAnsi="Times New Roman" w:cs="Times New Roman"/>
                <w:b/>
                <w:bCs/>
                <w:iCs/>
              </w:rPr>
              <w:t>Table S1</w:t>
            </w:r>
            <w:r w:rsidR="00AB192C">
              <w:rPr>
                <w:rFonts w:ascii="Times New Roman" w:eastAsiaTheme="minorEastAsia" w:hAnsi="Times New Roman" w:cs="Times New Roman"/>
                <w:b/>
                <w:bCs/>
                <w:iCs/>
              </w:rPr>
              <w:t>2</w:t>
            </w:r>
            <w:r w:rsidRPr="00744E93">
              <w:rPr>
                <w:rFonts w:ascii="Times New Roman" w:eastAsiaTheme="minorEastAsia" w:hAnsi="Times New Roman" w:cs="Times New Roman"/>
                <w:b/>
                <w:bCs/>
                <w:iCs/>
              </w:rPr>
              <w:t>. Historical U.S. adoption series and data provenance.</w:t>
            </w:r>
          </w:p>
        </w:tc>
      </w:tr>
      <w:tr w:rsidR="00B3572B" w14:paraId="20F76948" w14:textId="77777777" w:rsidTr="003B6159">
        <w:tc>
          <w:tcPr>
            <w:tcW w:w="696" w:type="dxa"/>
          </w:tcPr>
          <w:p w14:paraId="543B0FB8"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Year</w:t>
            </w:r>
          </w:p>
        </w:tc>
        <w:tc>
          <w:tcPr>
            <w:tcW w:w="2089" w:type="dxa"/>
            <w:tcBorders>
              <w:bottom w:val="single" w:sz="4" w:space="0" w:color="auto"/>
            </w:tcBorders>
          </w:tcPr>
          <w:p w14:paraId="78D6E85F" w14:textId="77777777" w:rsidR="00B3572B" w:rsidRDefault="00B3572B" w:rsidP="009B7FCA">
            <w:pPr>
              <w:spacing w:line="240" w:lineRule="auto"/>
              <w:rPr>
                <w:rFonts w:ascii="Times New Roman" w:eastAsiaTheme="minorEastAsia" w:hAnsi="Times New Roman" w:cs="Times New Roman"/>
                <w:iCs/>
              </w:rPr>
            </w:pPr>
            <w:proofErr w:type="spellStart"/>
            <w:r w:rsidRPr="00744E93">
              <w:rPr>
                <w:rFonts w:ascii="Times New Roman" w:eastAsiaTheme="minorEastAsia" w:hAnsi="Times New Roman" w:cs="Times New Roman"/>
                <w:iCs/>
              </w:rPr>
              <w:t>Cumulative_adoption</w:t>
            </w:r>
            <w:proofErr w:type="spellEnd"/>
          </w:p>
          <w:p w14:paraId="679D7F3E" w14:textId="77777777" w:rsidR="00B3572B" w:rsidRDefault="00B3572B" w:rsidP="009B7FCA">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_used</w:t>
            </w:r>
            <w:r>
              <w:rPr>
                <w:rFonts w:ascii="Times New Roman" w:eastAsiaTheme="minorEastAsia" w:hAnsi="Times New Roman" w:cs="Times New Roman"/>
                <w:iCs/>
              </w:rPr>
              <w:t xml:space="preserve"> (%)</w:t>
            </w:r>
          </w:p>
        </w:tc>
        <w:tc>
          <w:tcPr>
            <w:tcW w:w="6570" w:type="dxa"/>
          </w:tcPr>
          <w:p w14:paraId="20275BBF" w14:textId="77777777" w:rsidR="00B3572B" w:rsidRDefault="00B3572B" w:rsidP="009B7FCA">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Original_source</w:t>
            </w:r>
          </w:p>
        </w:tc>
      </w:tr>
      <w:tr w:rsidR="00B3572B" w14:paraId="04FE68A8" w14:textId="77777777" w:rsidTr="003B6159">
        <w:tc>
          <w:tcPr>
            <w:tcW w:w="696" w:type="dxa"/>
          </w:tcPr>
          <w:p w14:paraId="4E8EC027"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2014</w:t>
            </w:r>
          </w:p>
        </w:tc>
        <w:tc>
          <w:tcPr>
            <w:tcW w:w="2089" w:type="dxa"/>
            <w:tcBorders>
              <w:top w:val="single" w:sz="4" w:space="0" w:color="auto"/>
              <w:left w:val="nil"/>
              <w:bottom w:val="single" w:sz="4" w:space="0" w:color="auto"/>
              <w:right w:val="nil"/>
            </w:tcBorders>
          </w:tcPr>
          <w:p w14:paraId="556E7F91"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0.04</w:t>
            </w:r>
          </w:p>
        </w:tc>
        <w:tc>
          <w:tcPr>
            <w:tcW w:w="6570" w:type="dxa"/>
          </w:tcPr>
          <w:p w14:paraId="0B20D0FE" w14:textId="01BD9235"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Constructed/calibrated.</w:t>
            </w:r>
            <w:r w:rsidRPr="00D4649C">
              <w:rPr>
                <w:rFonts w:ascii="Times New Roman" w:eastAsiaTheme="minorEastAsia" w:hAnsi="Times New Roman" w:cs="Times New Roman"/>
                <w:iCs/>
              </w:rPr>
              <w:t xml:space="preserve"> No nationally representative cumulative ever-use estimate was identified for 2014. Watanabe et al. (2024) document very low early GLP-1 RA utilization in a large health-system cohort over 2014–2022; during 2014–2018, only Trulicity and Victoza exceeded 5,000 annual users. We therefore treat 0.04% as an early-diffusion baseline rather than a directly observed national prevalence estimate</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{"citationID":"0CpP6DMh","properties":{"unsorted":false,"formattedCitation":"\\super 59\\nosupersub{}","plainCitation":"59","noteIndex":0},"citationItems":[{"id":572,"uris":["http://zotero.org/groups/6414273/items/ISA9EIHB"],"itemData":{"id":572,"type":"article-journal","abstract":"BACKGROUND: Recent Food and Drug Administration approvals of glucagon-like peptide 1 (GLP-1) receptor agonists linked to substantial weight loss have generated interest in demand projections. However, a longitudinal analysis in a large, diverse, current, real-world database has not been published.\nOBJECTIVES: The study objective was to determine user frequency of GLP-1 receptor agonist products overall and by type 2 diabetes (T2D), cardiovascular disease (CVD), and overweight or obese status. Secondary objective was monthly growth rate estimation by product since first appearance in University of California Health.\nMETHODS: This retrospective cohort study included patients who were dispensed a GLP-1 receptor agonist from 2014 to 2022 in the University of California Health Data Warehouse. Exponential growth rates were estimated using a log-linear regression model.\nRESULTS: Between 2014 and 2018, only Trulicity and Victoza exceeded 5000 annual users. Ozempic users increased from 569 in 2019 to 7667 in 2020. Use accelerated with more than 13,310 users in 2021 to surpass Trulicity. Ozempic count was 22,891 in 2022. Wegovy rose from 989 in 2021 to 2992 in 2022. Mounjaro increased to 1508 users in 2022. Although generally similar trends were observed for T2D, CVD, and overweight or obese subgroups, the ascent of Ozempic as most frequently used was more apparent in the overweight or obese group. The monthly growth rates were 83.9% for Ozempic, 119.2% for Wegovy, 84.8% for Rybelsus, 53.3% for Saxenda, 12.9% for Adlyxin, 78.8% for Trulicity, and 254.3% for Mounjaro.\nCONCLUSION: This first cohort study of weight loss-associated GLP-1 receptor agonists in a large, diverse, state-wide health system demonstrated a rapid increased use that represents a clear and likely durable transition in utilization for this category. Informed decision making and longitudinal studies are needed to ensure evidence-concordant prescribing and supply stability.","container-title":"Journal of the American Pharmacists Association: JAPhA","DOI":"10.1016/j.japh.2023.10.002","ISSN":"1544-3450","issue":"1","journalAbbreviation":"J Am Pharm Assoc (2003)","language":"eng","page":"133-138","PMID":"37821008","source":"PubMed","title":"Trends in glucagon-like peptide 1 receptor agonist use, 2014 to 2022","volume":"64","author":[{"family":"Watanabe","given":"Jonathan H."},{"family":"Kwon","given":"Jimmy"},{"family":"Nan","given":"Bin"},{"family":"Reikes","given":"Andrew"}],"issued":{"date-parts":[["2024"]]}}}],"schema":"https://github.com/citation-style-language/schema/raw/master/csl-citation.json"}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59</w:t>
            </w:r>
            <w:r>
              <w:rPr>
                <w:rFonts w:ascii="Times New Roman" w:eastAsiaTheme="minorEastAsia" w:hAnsi="Times New Roman" w:cs="Times New Roman"/>
                <w:iCs/>
              </w:rPr>
              <w:fldChar w:fldCharType="end"/>
            </w:r>
            <w:r w:rsidRPr="00D4649C">
              <w:rPr>
                <w:rFonts w:ascii="Times New Roman" w:eastAsiaTheme="minorEastAsia" w:hAnsi="Times New Roman" w:cs="Times New Roman"/>
                <w:iCs/>
              </w:rPr>
              <w:t>.</w:t>
            </w:r>
          </w:p>
        </w:tc>
      </w:tr>
      <w:tr w:rsidR="00B3572B" w14:paraId="18F3A67A" w14:textId="77777777" w:rsidTr="003B6159">
        <w:tc>
          <w:tcPr>
            <w:tcW w:w="696" w:type="dxa"/>
          </w:tcPr>
          <w:p w14:paraId="2F01BA57"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2015</w:t>
            </w:r>
          </w:p>
        </w:tc>
        <w:tc>
          <w:tcPr>
            <w:tcW w:w="2089" w:type="dxa"/>
            <w:tcBorders>
              <w:top w:val="single" w:sz="4" w:space="0" w:color="auto"/>
              <w:left w:val="nil"/>
              <w:bottom w:val="single" w:sz="4" w:space="0" w:color="auto"/>
              <w:right w:val="nil"/>
            </w:tcBorders>
          </w:tcPr>
          <w:p w14:paraId="7056761E"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0.12</w:t>
            </w:r>
          </w:p>
        </w:tc>
        <w:tc>
          <w:tcPr>
            <w:tcW w:w="6570" w:type="dxa"/>
          </w:tcPr>
          <w:p w14:paraId="3FFE46EC" w14:textId="3F7EEFA1"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Constructed/calibrated.</w:t>
            </w:r>
            <w:r w:rsidRPr="00D4649C">
              <w:rPr>
                <w:rFonts w:ascii="Times New Roman" w:eastAsiaTheme="minorEastAsia" w:hAnsi="Times New Roman" w:cs="Times New Roman"/>
                <w:iCs/>
              </w:rPr>
              <w:t xml:space="preserve"> No national cumulative ever-use estimate was available. The 0.12% value is a manually calibrated point on the early diffusion path, informed by the low utilization documented during 2014–2018 by Watanabe et al. (2024); it is not directly reported by that study</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{"citationID":"XDImLY8g","properties":{"unsorted":false,"formattedCitation":"\\super 59\\nosupersub{}","plainCitation":"59","noteIndex":0},"citationItems":[{"id":572,"uris":["http://zotero.org/groups/6414273/items/ISA9EIHB"],"itemData":{"id":572,"type":"article-journal","abstract":"BACKGROUND: Recent Food and Drug Administration approvals of glucagon-like peptide 1 (GLP-1) receptor agonists linked to substantial weight loss have generated interest in demand projections. However, a longitudinal analysis in a large, diverse, current, real-world database has not been published.\nOBJECTIVES: The study objective was to determine user frequency of GLP-1 receptor agonist products overall and by type 2 diabetes (T2D), cardiovascular disease (CVD), and overweight or obese status. Secondary objective was monthly growth rate estimation by product since first appearance in University of California Health.\nMETHODS: This retrospective cohort study included patients who were dispensed a GLP-1 receptor agonist from 2014 to 2022 in the University of California Health Data Warehouse. Exponential growth rates were estimated using a log-linear regression model.\nRESULTS: Between 2014 and 2018, only Trulicity and Victoza exceeded 5000 annual users. Ozempic users increased from 569 in 2019 to 7667 in 2020. Use accelerated with more than 13,310 users in 2021 to surpass Trulicity. Ozempic count was 22,891 in 2022. Wegovy rose from 989 in 2021 to 2992 in 2022. Mounjaro increased to 1508 users in 2022. Although generally similar trends were observed for T2D, CVD, and overweight or obese subgroups, the ascent of Ozempic as most frequently used was more apparent in the overweight or obese group. The monthly growth rates were 83.9% for Ozempic, 119.2% for Wegovy, 84.8% for Rybelsus, 53.3% for Saxenda, 12.9% for Adlyxin, 78.8% for Trulicity, and 254.3% for Mounjaro.\nCONCLUSION: This first cohort study of weight loss-associated GLP-1 receptor agonists in a large, diverse, state-wide health system demonstrated a rapid increased use that represents a clear and likely durable transition in utilization for this category. Informed decision making and longitudinal studies are needed to ensure evidence-concordant prescribing and supply stability.","container-title":"Journal of the American Pharmacists Association: JAPhA","DOI":"10.1016/j.japh.2023.10.002","ISSN":"1544-3450","issue":"1","journalAbbreviation":"J Am Pharm Assoc (2003)","language":"eng","page":"133-138","PMID":"37821008","source":"PubMed","title":"Trends in glucagon-like peptide 1 receptor agonist use, 2014 to 2022","volume":"64","author":[{"family":"Watanabe","given":"Jonathan H."},{"family":"Kwon","given":"Jimmy"},{"family":"Nan","given":"Bin"},{"family":"Reikes","given":"Andrew"}],"issued":{"date-parts":[["2024"]]}}}],"schema":"https://github.com/citation-style-language/schema/raw/master/csl-citation.json"}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59</w:t>
            </w:r>
            <w:r>
              <w:rPr>
                <w:rFonts w:ascii="Times New Roman" w:eastAsiaTheme="minorEastAsia" w:hAnsi="Times New Roman" w:cs="Times New Roman"/>
                <w:iCs/>
              </w:rPr>
              <w:fldChar w:fldCharType="end"/>
            </w:r>
            <w:r w:rsidRPr="00D4649C">
              <w:rPr>
                <w:rFonts w:ascii="Times New Roman" w:eastAsiaTheme="minorEastAsia" w:hAnsi="Times New Roman" w:cs="Times New Roman"/>
                <w:iCs/>
              </w:rPr>
              <w:t>.</w:t>
            </w:r>
          </w:p>
        </w:tc>
      </w:tr>
      <w:tr w:rsidR="00B3572B" w14:paraId="1A46B924" w14:textId="77777777" w:rsidTr="003B6159">
        <w:tc>
          <w:tcPr>
            <w:tcW w:w="696" w:type="dxa"/>
          </w:tcPr>
          <w:p w14:paraId="56464885"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2016</w:t>
            </w:r>
          </w:p>
        </w:tc>
        <w:tc>
          <w:tcPr>
            <w:tcW w:w="2089" w:type="dxa"/>
            <w:tcBorders>
              <w:top w:val="single" w:sz="4" w:space="0" w:color="auto"/>
              <w:left w:val="nil"/>
              <w:bottom w:val="single" w:sz="4" w:space="0" w:color="auto"/>
              <w:right w:val="nil"/>
            </w:tcBorders>
          </w:tcPr>
          <w:p w14:paraId="61590AFA"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0.2</w:t>
            </w:r>
          </w:p>
        </w:tc>
        <w:tc>
          <w:tcPr>
            <w:tcW w:w="6570" w:type="dxa"/>
          </w:tcPr>
          <w:p w14:paraId="300711E8" w14:textId="54975157"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Constructed/calibrated.</w:t>
            </w:r>
            <w:r w:rsidRPr="00D4649C">
              <w:rPr>
                <w:rFonts w:ascii="Times New Roman" w:eastAsiaTheme="minorEastAsia" w:hAnsi="Times New Roman" w:cs="Times New Roman"/>
                <w:iCs/>
              </w:rPr>
              <w:t xml:space="preserve"> No national cumulative ever-use estimate was available. The 0.20% value continues the calibrated early-adoption trajectory consistent with the low level of GLP-1 RA utilization documented before 2018 by Watanabe et al. (2024)</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{"citationID":"5xqzjosE","properties":{"unsorted":false,"formattedCitation":"\\super 59\\nosupersub{}","plainCitation":"59","noteIndex":0},"citationItems":[{"id":572,"uris":["http://zotero.org/groups/6414273/items/ISA9EIHB"],"itemData":{"id":572,"type":"article-journal","abstract":"BACKGROUND: Recent Food and Drug Administration approvals of glucagon-like peptide 1 (GLP-1) receptor agonists linked to substantial weight loss have generated interest in demand projections. However, a longitudinal analysis in a large, diverse, current, real-world database has not been published.\nOBJECTIVES: The study objective was to determine user frequency of GLP-1 receptor agonist products overall and by type 2 diabetes (T2D), cardiovascular disease (CVD), and overweight or obese status. Secondary objective was monthly growth rate estimation by product since first appearance in University of California Health.\nMETHODS: This retrospective cohort study included patients who were dispensed a GLP-1 receptor agonist from 2014 to 2022 in the University of California Health Data Warehouse. Exponential growth rates were estimated using a log-linear regression model.\nRESULTS: Between 2014 and 2018, only Trulicity and Victoza exceeded 5000 annual users. Ozempic users increased from 569 in 2019 to 7667 in 2020. Use accelerated with more than 13,310 users in 2021 to surpass Trulicity. Ozempic count was 22,891 in 2022. Wegovy rose from 989 in 2021 to 2992 in 2022. Mounjaro increased to 1508 users in 2022. Although generally similar trends were observed for T2D, CVD, and overweight or obese subgroups, the ascent of Ozempic as most frequently used was more apparent in the overweight or obese group. The monthly growth rates were 83.9% for Ozempic, 119.2% for Wegovy, 84.8% for Rybelsus, 53.3% for Saxenda, 12.9% for Adlyxin, 78.8% for Trulicity, and 254.3% for Mounjaro.\nCONCLUSION: This first cohort study of weight loss-associated GLP-1 receptor agonists in a large, diverse, state-wide health system demonstrated a rapid increased use that represents a clear and likely durable transition in utilization for this category. Informed decision making and longitudinal studies are needed to ensure evidence-concordant prescribing and supply stability.","container-title":"Journal of the American Pharmacists Association: JAPhA","DOI":"10.1016/j.japh.2023.10.002","ISSN":"1544-3450","issue":"1","journalAbbreviation":"J Am Pharm Assoc (2003)","language":"eng","page":"133-138","PMID":"37821008","source":"PubMed","title":"Trends in glucagon-like peptide 1 receptor agonist use, 2014 to 2022","volume":"64","author":[{"family":"Watanabe","given":"Jonathan H."},{"family":"Kwon","given":"Jimmy"},{"family":"Nan","given":"Bin"},{"family":"Reikes","given":"Andrew"}],"issued":{"date-parts":[["2024"]]}}}],"schema":"https://github.com/citation-style-language/schema/raw/master/csl-citation.json"}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59</w:t>
            </w:r>
            <w:r>
              <w:rPr>
                <w:rFonts w:ascii="Times New Roman" w:eastAsiaTheme="minorEastAsia" w:hAnsi="Times New Roman" w:cs="Times New Roman"/>
                <w:iCs/>
              </w:rPr>
              <w:fldChar w:fldCharType="end"/>
            </w:r>
            <w:r w:rsidRPr="00D4649C">
              <w:rPr>
                <w:rFonts w:ascii="Times New Roman" w:eastAsiaTheme="minorEastAsia" w:hAnsi="Times New Roman" w:cs="Times New Roman"/>
                <w:iCs/>
              </w:rPr>
              <w:t>.</w:t>
            </w:r>
          </w:p>
        </w:tc>
      </w:tr>
      <w:tr w:rsidR="00B3572B" w14:paraId="346FB373" w14:textId="77777777" w:rsidTr="003B6159">
        <w:tc>
          <w:tcPr>
            <w:tcW w:w="696" w:type="dxa"/>
          </w:tcPr>
          <w:p w14:paraId="263954F9"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2017</w:t>
            </w:r>
          </w:p>
        </w:tc>
        <w:tc>
          <w:tcPr>
            <w:tcW w:w="2089" w:type="dxa"/>
            <w:tcBorders>
              <w:top w:val="single" w:sz="4" w:space="0" w:color="auto"/>
              <w:left w:val="nil"/>
              <w:bottom w:val="single" w:sz="4" w:space="0" w:color="auto"/>
              <w:right w:val="nil"/>
            </w:tcBorders>
          </w:tcPr>
          <w:p w14:paraId="007DA575"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0.3</w:t>
            </w:r>
          </w:p>
        </w:tc>
        <w:tc>
          <w:tcPr>
            <w:tcW w:w="6570" w:type="dxa"/>
          </w:tcPr>
          <w:p w14:paraId="6F413A8A" w14:textId="03E7A2CE"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Constructed/calibrated.</w:t>
            </w:r>
            <w:r w:rsidRPr="00D4649C">
              <w:rPr>
                <w:rFonts w:ascii="Times New Roman" w:eastAsiaTheme="minorEastAsia" w:hAnsi="Times New Roman" w:cs="Times New Roman"/>
                <w:iCs/>
              </w:rPr>
              <w:t xml:space="preserve"> No national cumulative ever-use estimate was available. The 0.30% value is a calibrated transition point between the early low-use period documented by Watanabe et al. (2024) and the claims-based 2018 benchmark; it is not a directly reported statistic</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{"citationID":"KRTpsehc","properties":{"unsorted":false,"formattedCitation":"\\super 59\\nosupersub{}","plainCitation":"59","noteIndex":0},"citationItems":[{"id":572,"uris":["http://zotero.org/groups/6414273/items/ISA9EIHB"],"itemData":{"id":572,"type":"article-journal","abstract":"BACKGROUND: Recent Food and Drug Administration approvals of glucagon-like peptide 1 (GLP-1) receptor agonists linked to substantial weight loss have generated interest in demand projections. However, a longitudinal analysis in a large, diverse, current, real-world database has not been published.\nOBJECTIVES: The study objective was to determine user frequency of GLP-1 receptor agonist products overall and by type 2 diabetes (T2D), cardiovascular disease (CVD), and overweight or obese status. Secondary objective was monthly growth rate estimation by product since first appearance in University of California Health.\nMETHODS: This retrospective cohort study included patients who were dispensed a GLP-1 receptor agonist from 2014 to 2022 in the University of California Health Data Warehouse. Exponential growth rates were estimated using a log-linear regression model.\nRESULTS: Between 2014 and 2018, only Trulicity and Victoza exceeded 5000 annual users. Ozempic users increased from 569 in 2019 to 7667 in 2020. Use accelerated with more than 13,310 users in 2021 to surpass Trulicity. Ozempic count was 22,891 in 2022. Wegovy rose from 989 in 2021 to 2992 in 2022. Mounjaro increased to 1508 users in 2022. Although generally similar trends were observed for T2D, CVD, and overweight or obese subgroups, the ascent of Ozempic as most frequently used was more apparent in the overweight or obese group. The monthly growth rates were 83.9% for Ozempic, 119.2% for Wegovy, 84.8% for Rybelsus, 53.3% for Saxenda, 12.9% for Adlyxin, 78.8% for Trulicity, and 254.3% for Mounjaro.\nCONCLUSION: This first cohort study of weight loss-associated GLP-1 receptor agonists in a large, diverse, state-wide health system demonstrated a rapid increased use that represents a clear and likely durable transition in utilization for this category. Informed decision making and longitudinal studies are needed to ensure evidence-concordant prescribing and supply stability.","container-title":"Journal of the American Pharmacists Association: JAPhA","DOI":"10.1016/j.japh.2023.10.002","ISSN":"1544-3450","issue":"1","journalAbbreviation":"J Am Pharm Assoc (2003)","language":"eng","page":"133-138","PMID":"37821008","source":"PubMed","title":"Trends in glucagon-like peptide 1 receptor agonist use, 2014 to 2022","volume":"64","author":[{"family":"Watanabe","given":"Jonathan H."},{"family":"Kwon","given":"Jimmy"},{"family":"Nan","given":"Bin"},{"family":"Reikes","given":"Andrew"}],"issued":{"date-parts":[["2024"]]}}}],"schema":"https://github.com/citation-style-language/schema/raw/master/csl-citation.json"}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59</w:t>
            </w:r>
            <w:r>
              <w:rPr>
                <w:rFonts w:ascii="Times New Roman" w:eastAsiaTheme="minorEastAsia" w:hAnsi="Times New Roman" w:cs="Times New Roman"/>
                <w:iCs/>
              </w:rPr>
              <w:fldChar w:fldCharType="end"/>
            </w:r>
            <w:r w:rsidRPr="00D4649C">
              <w:rPr>
                <w:rFonts w:ascii="Times New Roman" w:eastAsiaTheme="minorEastAsia" w:hAnsi="Times New Roman" w:cs="Times New Roman"/>
                <w:iCs/>
              </w:rPr>
              <w:t>.</w:t>
            </w:r>
          </w:p>
        </w:tc>
      </w:tr>
      <w:tr w:rsidR="00B3572B" w14:paraId="36D6CADF" w14:textId="77777777" w:rsidTr="003B6159">
        <w:tc>
          <w:tcPr>
            <w:tcW w:w="696" w:type="dxa"/>
          </w:tcPr>
          <w:p w14:paraId="3C4416C6"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2018</w:t>
            </w:r>
          </w:p>
        </w:tc>
        <w:tc>
          <w:tcPr>
            <w:tcW w:w="2089" w:type="dxa"/>
            <w:tcBorders>
              <w:top w:val="single" w:sz="4" w:space="0" w:color="auto"/>
              <w:left w:val="nil"/>
              <w:bottom w:val="single" w:sz="4" w:space="0" w:color="auto"/>
              <w:right w:val="nil"/>
            </w:tcBorders>
          </w:tcPr>
          <w:p w14:paraId="1B2A7529"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0.6</w:t>
            </w:r>
          </w:p>
        </w:tc>
        <w:tc>
          <w:tcPr>
            <w:tcW w:w="6570" w:type="dxa"/>
          </w:tcPr>
          <w:p w14:paraId="46DD6775" w14:textId="70BF1421"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Calibrated to claim evidence.</w:t>
            </w:r>
            <w:r w:rsidRPr="00D4649C">
              <w:rPr>
                <w:rFonts w:ascii="Times New Roman" w:eastAsiaTheme="minorEastAsia" w:hAnsi="Times New Roman" w:cs="Times New Roman"/>
                <w:iCs/>
              </w:rPr>
              <w:t xml:space="preserve"> </w:t>
            </w:r>
            <w:proofErr w:type="spellStart"/>
            <w:r w:rsidRPr="00D4649C">
              <w:rPr>
                <w:rFonts w:ascii="Times New Roman" w:eastAsiaTheme="minorEastAsia" w:hAnsi="Times New Roman" w:cs="Times New Roman"/>
                <w:iCs/>
              </w:rPr>
              <w:t>Ukhanova</w:t>
            </w:r>
            <w:proofErr w:type="spellEnd"/>
            <w:r w:rsidRPr="00D4649C">
              <w:rPr>
                <w:rFonts w:ascii="Times New Roman" w:eastAsiaTheme="minorEastAsia" w:hAnsi="Times New Roman" w:cs="Times New Roman"/>
                <w:iCs/>
              </w:rPr>
              <w:t xml:space="preserve"> et al</w:t>
            </w:r>
            <w:r w:rsidRPr="008975D5">
              <w:rPr>
                <w:rFonts w:ascii="Times New Roman" w:eastAsiaTheme="minorEastAsia" w:hAnsi="Times New Roman" w:cs="Times New Roman"/>
                <w:iCs/>
              </w:rPr>
              <w:t xml:space="preserve">. (2025) report 745 GLP-1 RA users per 100,000 </w:t>
            </w:r>
            <w:proofErr w:type="gramStart"/>
            <w:r w:rsidRPr="008975D5">
              <w:rPr>
                <w:rFonts w:ascii="Times New Roman" w:eastAsiaTheme="minorEastAsia" w:hAnsi="Times New Roman" w:cs="Times New Roman"/>
                <w:iCs/>
              </w:rPr>
              <w:t>enrollees</w:t>
            </w:r>
            <w:proofErr w:type="gramEnd"/>
            <w:r w:rsidRPr="008975D5">
              <w:rPr>
                <w:rFonts w:ascii="Times New Roman" w:eastAsiaTheme="minorEastAsia" w:hAnsi="Times New Roman" w:cs="Times New Roman"/>
                <w:iCs/>
              </w:rPr>
              <w:t xml:space="preserve"> (0.745%) in 2018</w:t>
            </w:r>
            <w:r w:rsidRPr="00D4649C">
              <w:rPr>
                <w:rFonts w:ascii="Times New Roman" w:eastAsiaTheme="minorEastAsia" w:hAnsi="Times New Roman" w:cs="Times New Roman"/>
                <w:iCs/>
              </w:rPr>
              <w:t xml:space="preserve"> using </w:t>
            </w:r>
            <w:proofErr w:type="spellStart"/>
            <w:r w:rsidRPr="00D4649C">
              <w:rPr>
                <w:rFonts w:ascii="Times New Roman" w:eastAsiaTheme="minorEastAsia" w:hAnsi="Times New Roman" w:cs="Times New Roman"/>
                <w:iCs/>
              </w:rPr>
              <w:t>MarketScan</w:t>
            </w:r>
            <w:proofErr w:type="spellEnd"/>
            <w:r w:rsidRPr="00D4649C">
              <w:rPr>
                <w:rFonts w:ascii="Times New Roman" w:eastAsiaTheme="minorEastAsia" w:hAnsi="Times New Roman" w:cs="Times New Roman"/>
                <w:iCs/>
              </w:rPr>
              <w:t xml:space="preserve"> commercial and Medicare Supplemental data. Because this is annual use among insured enrollees rather than cumulative ever-use among all U.S. adults, we use it as a magnitude benchmark rather than a direct observation; the model value was set at 0.60%</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{"citationID":"zEBFOizP","properties":{"unsorted":false,"formattedCitation":"\\super 60\\nosupersub{}","plainCitation":"60","noteIndex":0},"citationItems":[{"id":575,"uris":["http://zotero.org/groups/6414273/items/BTVF8FAN"],"itemData":{"id":575,"type":"article-journal","abstract":"OBJECTIVE: Obesity affects more than 40% of US adults, increasing risks for cardiovascular disease and type 2 diabetes. Glucagon-like peptide 1 receptor agonists (GLP-1 RAs), initially indicated for diabetes, show promise in weight loss but face coverage issues, high costs, and premature prescribing from physicians. Research is needed to assess prescribing patterns, especially in patients without diabetes.\nSTUDY DESIGN: We conducted a retrospective, population-based, observational study using the Merative MarketScan Commercial Database and the Merative MarketScan Medicare Supplemental Database, which capture person-specific clinical utilization and expenditures. We analyzed GLP-1 RA prescribing rates from 2018 to 2023, comparing semaglutide with other GLP-1 RAs and stratifying by diabetes and overweight/obesity indications.\nMETHODS: The study included individuals 18 years or older with 12 months of continuous enrollment from 2018 to 2023, categorizing GLP-1 RA users into 4 groups based on diabetes and obesity/overweight diagnosis codes within a year of their index date.\nRESULTS: Prescribing of GLP-1 RA medications, particularly semaglutides, increased notably over the years, whereas dulaglutide, liraglutide, and exenatide use declined. When investigating possible premature prescribing by examining users with no diabetes indication, the number of prediabetes or abnormal glucose diagnoses increased slightly before the index GLP-1 RA prescribing index date. However, less than 9% received a diabetes or prediabetes diagnosis 30 days after starting a GLP-1 RA.\nCONCLUSIONS: From 2018 to 2023, GLP-1 RA prescribing increased significantly, with semaglutide approved for weight loss rising to 60% share in the nondiabetic obese/overweight group. Trends showed a notable rise in prescriptions for nondiabetic and obese/overweight patients.","container-title":"The American Journal of Managed Care","DOI":"10.37765/ajmc.2025.89778","ISSN":"1936-2692","issue":"8","journalAbbreviation":"Am J Manag Care","language":"eng","page":"e228-e234","PMID":"40829097","source":"PubMed","title":"Trends in glucagon-like peptide 1 receptor agonist prescribing patterns","volume":"31","author":[{"family":"Ukhanova","given":"Maria"},{"family":"Wozny","given":"Joseph S."},{"family":"Truong","given":"Chau N."},{"family":"Ghosh","given":"Lopita"},{"family":"Krause","given":"Trudy M."}],"issued":{"date-parts":[["2025",8,1]]}}}],"schema":"https://github.com/citation-style-language/schema/raw/master/csl-citation.json"}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60</w:t>
            </w:r>
            <w:r>
              <w:rPr>
                <w:rFonts w:ascii="Times New Roman" w:eastAsiaTheme="minorEastAsia" w:hAnsi="Times New Roman" w:cs="Times New Roman"/>
                <w:iCs/>
              </w:rPr>
              <w:fldChar w:fldCharType="end"/>
            </w:r>
            <w:r w:rsidRPr="00D4649C">
              <w:rPr>
                <w:rFonts w:ascii="Times New Roman" w:eastAsiaTheme="minorEastAsia" w:hAnsi="Times New Roman" w:cs="Times New Roman"/>
                <w:iCs/>
              </w:rPr>
              <w:t>.</w:t>
            </w:r>
          </w:p>
        </w:tc>
      </w:tr>
      <w:tr w:rsidR="00B3572B" w14:paraId="0E94985E" w14:textId="77777777" w:rsidTr="003B6159">
        <w:tc>
          <w:tcPr>
            <w:tcW w:w="696" w:type="dxa"/>
          </w:tcPr>
          <w:p w14:paraId="69319EE8"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2019</w:t>
            </w:r>
          </w:p>
        </w:tc>
        <w:tc>
          <w:tcPr>
            <w:tcW w:w="2089" w:type="dxa"/>
            <w:tcBorders>
              <w:top w:val="single" w:sz="4" w:space="0" w:color="auto"/>
              <w:left w:val="nil"/>
              <w:bottom w:val="single" w:sz="4" w:space="0" w:color="auto"/>
              <w:right w:val="nil"/>
            </w:tcBorders>
          </w:tcPr>
          <w:p w14:paraId="2FAA1894"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1</w:t>
            </w:r>
          </w:p>
        </w:tc>
        <w:tc>
          <w:tcPr>
            <w:tcW w:w="6570" w:type="dxa"/>
          </w:tcPr>
          <w:p w14:paraId="2B7DA7A1" w14:textId="286E7C6F"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Calibrated/rounded.</w:t>
            </w:r>
            <w:r w:rsidRPr="00D4649C">
              <w:rPr>
                <w:rFonts w:ascii="Times New Roman" w:eastAsiaTheme="minorEastAsia" w:hAnsi="Times New Roman" w:cs="Times New Roman"/>
                <w:iCs/>
              </w:rPr>
              <w:t xml:space="preserve"> FAIR Health reports </w:t>
            </w:r>
            <w:r w:rsidRPr="008975D5">
              <w:rPr>
                <w:rFonts w:ascii="Times New Roman" w:eastAsiaTheme="minorEastAsia" w:hAnsi="Times New Roman" w:cs="Times New Roman"/>
                <w:iCs/>
              </w:rPr>
              <w:t>that 0.9% of commercially insured U.S. adults were prescribed any GLP-1 drug in 2019. Because prescription prevalence</w:t>
            </w:r>
            <w:r w:rsidRPr="00D4649C">
              <w:rPr>
                <w:rFonts w:ascii="Times New Roman" w:eastAsiaTheme="minorEastAsia" w:hAnsi="Times New Roman" w:cs="Times New Roman"/>
                <w:iCs/>
              </w:rPr>
              <w:t xml:space="preserve"> among commercially insured adults is not identical to cumulative ever-use among all adults, 0.9% was used as a benchmark and the model historical series uses 1.0%</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{"citationID":"LprFVTXt","properties":{"unsorted":false,"formattedCitation":"\\super 61\\nosupersub{}","plainCitation":"61","noteIndex":0},"citationItems":[{"id":577,"uris":["http://zotero.org/groups/6414273/items/WG4F2A5A"],"itemData":{"id":577,"type":"webpage","abstract":"White Paper on Obesity and GLP-1 Drugs Released by FAIR Health","language":"en","title":"White Paper on Obesity and GLP-1 Drugs Released by FAIR Health","URL":"http://www.fairhealth.org/article/white-paper-on-obesity-and-glp-1-drugs-released-by-fair-health","author":[{"family":"Fair Health","given":""}],"accessed":{"date-parts":[["2026",8,13]]},"issued":{"date-parts":[["2025"]]}}}],"schema":"https://github.com/citation-style-language/schema/raw/master/csl-citation.json"}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61</w:t>
            </w:r>
            <w:r>
              <w:rPr>
                <w:rFonts w:ascii="Times New Roman" w:eastAsiaTheme="minorEastAsia" w:hAnsi="Times New Roman" w:cs="Times New Roman"/>
                <w:iCs/>
              </w:rPr>
              <w:fldChar w:fldCharType="end"/>
            </w:r>
            <w:r w:rsidRPr="00D4649C">
              <w:rPr>
                <w:rFonts w:ascii="Times New Roman" w:eastAsiaTheme="minorEastAsia" w:hAnsi="Times New Roman" w:cs="Times New Roman"/>
                <w:iCs/>
              </w:rPr>
              <w:t>.</w:t>
            </w:r>
          </w:p>
        </w:tc>
      </w:tr>
      <w:tr w:rsidR="00B3572B" w14:paraId="10028985" w14:textId="77777777" w:rsidTr="003B6159">
        <w:tc>
          <w:tcPr>
            <w:tcW w:w="696" w:type="dxa"/>
          </w:tcPr>
          <w:p w14:paraId="75A60F8F"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2020</w:t>
            </w:r>
          </w:p>
        </w:tc>
        <w:tc>
          <w:tcPr>
            <w:tcW w:w="2089" w:type="dxa"/>
            <w:tcBorders>
              <w:top w:val="single" w:sz="4" w:space="0" w:color="auto"/>
              <w:left w:val="nil"/>
              <w:bottom w:val="single" w:sz="4" w:space="0" w:color="auto"/>
              <w:right w:val="nil"/>
            </w:tcBorders>
          </w:tcPr>
          <w:p w14:paraId="7EAFD0BD"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1.5</w:t>
            </w:r>
          </w:p>
        </w:tc>
        <w:tc>
          <w:tcPr>
            <w:tcW w:w="6570" w:type="dxa"/>
          </w:tcPr>
          <w:p w14:paraId="39E7E32A" w14:textId="20DAC797"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Interpolated/calibrated.</w:t>
            </w:r>
            <w:r w:rsidRPr="00D4649C">
              <w:rPr>
                <w:rFonts w:ascii="Times New Roman" w:eastAsiaTheme="minorEastAsia" w:hAnsi="Times New Roman" w:cs="Times New Roman"/>
                <w:iCs/>
              </w:rPr>
              <w:t xml:space="preserve"> Published EHR evidence indicates that GLP-1 prescribing was still approximately 1% around 2020 and subsequently accelerated. The model value of 1.50% is the midpoint between the calibrated 2019 value of 1.0% and 2021 value of </w:t>
            </w:r>
            <w:proofErr w:type="gramStart"/>
            <w:r w:rsidRPr="00D4649C">
              <w:rPr>
                <w:rFonts w:ascii="Times New Roman" w:eastAsiaTheme="minorEastAsia" w:hAnsi="Times New Roman" w:cs="Times New Roman"/>
                <w:iCs/>
              </w:rPr>
              <w:t>2.0%, and</w:t>
            </w:r>
            <w:proofErr w:type="gramEnd"/>
            <w:r w:rsidRPr="00D4649C">
              <w:rPr>
                <w:rFonts w:ascii="Times New Roman" w:eastAsiaTheme="minorEastAsia" w:hAnsi="Times New Roman" w:cs="Times New Roman"/>
                <w:iCs/>
              </w:rPr>
              <w:t xml:space="preserve"> is therefore treated as an interpolated cumulative-adoption value rather than a direct observation. Gratzl et al. (2024) provide the supporting prescribing trajectory</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{"citationID":"H6l3O14s","properties":{"unsorted":false,"formattedCitation":"\\super 62\\nosupersub{}","plainCitation":"62","noteIndex":0},"citationItems":[{"id":579,"uris":["http://zotero.org/groups/6414273/items/XLJ5BQIX"],"itemData":{"id":579,"type":"article","abstract":"Background Limited recent data exist on prescribing patterns and patient characteristics for glucagon-like peptide 1 receptor agonists (GLP-1 RAs), an important drug class used as anti-diabetic medication (ADM) for patients with type 2 diabetes mellitus (T2D) and/or anti-obesity medication (AOM) in patients with overweight or obesity.For brevity, we use the term GLP-1 RA to refer to both GLP-1 RA and dual GLP-1 RA/GIP medications.\nObjective To describe recent trends in prescribing and dispensing of GLP-1-based medications in the US.\nMethods Using a subset of real-world electronic health record (EHR) data from Truveta, a growing collective of health systems that provide more than 18% of all daily clinical care in the US, we identified patients who were prescribed a GLP-1-based medication between January 01, 2018 and March 31, 2024. We describe prescribing volumes and patient characteristics over time, by medication, and by FDA-labeled use. Among the subset of patients for whom post-prescription dispensing data are available, we describe the proportion and characteristics of patients who were and were not dispensed a GLP-1 RA following their prescription.\nResults 1,055,900 patients were prescribed a GLP-1 RA between January 2018 and March 2024, with 4,161,731 total prescriptions during this period. Among first-time prescriptions for which labeled use could be established, ADMs accounted for 85.0% and AOMs accounted for 15.0%. The most common first-time medication was semaglutide (n = 569,413). Among those with available data, 70.4% of first-time ADM prescriptions overall and 74.1% in December 2023 had a fill within 60 days. By comparison, 43.3% of first-time AOM prescriptions overall and 34.9% in December 2023 had a fill within 60 days.","DOI":"10.1101/2024.01.18.24301500","language":"en","license":"© 2024, Posted by Cold Spring Harbor Laboratory. This pre-print is available under a Creative Commons License (Attribution-NonCommercial-NoDerivs 4.0 International), CC BY-NC-ND 4.0, as described at http://creativecommons.org/licenses/by-nc-nd/4.0/","note":"page: 2024.01.18.24301500","publisher":"medRxiv","source":"medRxiv","title":"Monitoring Report: GLP-1 RA Prescribing Trends - March 2024 Data","title-short":"Monitoring Report","URL":"https://www.medrxiv.org/content/10.1101/2024.01.18.24301500v2","author":[{"family":"Gratzl","given":"Samuel"},{"family":"Rodriguez","given":"Patricia J."},{"family":"Cartwright","given":"Brianna M. Goodwin"},{"family":"Baker","given":"Charlotte"},{"family":"Do","given":"Duy"},{"family":"Stucky","given":"Nicholas L."}],"accessed":{"date-parts":[["2026",8,13]]},"issued":{"date-parts":[["2024",4,18]]}}}],"schema":"https://github.com/citation-style-language/schema/raw/master/csl-citation.json"}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62</w:t>
            </w:r>
            <w:r>
              <w:rPr>
                <w:rFonts w:ascii="Times New Roman" w:eastAsiaTheme="minorEastAsia" w:hAnsi="Times New Roman" w:cs="Times New Roman"/>
                <w:iCs/>
              </w:rPr>
              <w:fldChar w:fldCharType="end"/>
            </w:r>
            <w:r w:rsidRPr="00D4649C">
              <w:rPr>
                <w:rFonts w:ascii="Times New Roman" w:eastAsiaTheme="minorEastAsia" w:hAnsi="Times New Roman" w:cs="Times New Roman"/>
                <w:iCs/>
              </w:rPr>
              <w:t>.</w:t>
            </w:r>
          </w:p>
        </w:tc>
      </w:tr>
      <w:tr w:rsidR="00B3572B" w14:paraId="3B132A99" w14:textId="77777777" w:rsidTr="003B6159">
        <w:tc>
          <w:tcPr>
            <w:tcW w:w="696" w:type="dxa"/>
          </w:tcPr>
          <w:p w14:paraId="4C625CD4"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2021</w:t>
            </w:r>
          </w:p>
        </w:tc>
        <w:tc>
          <w:tcPr>
            <w:tcW w:w="2089" w:type="dxa"/>
            <w:tcBorders>
              <w:top w:val="single" w:sz="4" w:space="0" w:color="auto"/>
              <w:left w:val="nil"/>
              <w:bottom w:val="single" w:sz="4" w:space="0" w:color="auto"/>
              <w:right w:val="nil"/>
            </w:tcBorders>
          </w:tcPr>
          <w:p w14:paraId="748FFC9E"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2</w:t>
            </w:r>
          </w:p>
        </w:tc>
        <w:tc>
          <w:tcPr>
            <w:tcW w:w="6570" w:type="dxa"/>
          </w:tcPr>
          <w:p w14:paraId="52DB1DCD" w14:textId="4C02907C"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Calibrated/rounded.</w:t>
            </w:r>
            <w:r w:rsidRPr="00D4649C">
              <w:rPr>
                <w:rFonts w:ascii="Times New Roman" w:eastAsiaTheme="minorEastAsia" w:hAnsi="Times New Roman" w:cs="Times New Roman"/>
                <w:iCs/>
              </w:rPr>
              <w:t xml:space="preserve"> A retrospective </w:t>
            </w:r>
            <w:r w:rsidRPr="008975D5">
              <w:rPr>
                <w:rFonts w:ascii="Times New Roman" w:eastAsiaTheme="minorEastAsia" w:hAnsi="Times New Roman" w:cs="Times New Roman"/>
                <w:iCs/>
              </w:rPr>
              <w:t>Epic Research series reports 1,884 GLP-1 prescriptions per 100,000 U.S. adult patients (1.884%) in Q2 2021</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{"citationID":"Sr3Iiip1","properties":{"unsorted":false,"formattedCitation":"\\super 63\\nosupersub{}","plainCitation":"63","noteIndex":0},"citationItems":[{"id":581,"uris":["http://zotero.org/groups/6414273/items/QWI2DXQQ"],"itemData":{"id":581,"type":"webpage","abstract":"Two new data trackers from Epic Research now provide quarterly snapshots of GLP-1 use and BMI distribution in the U.S. adult population.","language":"en-us","title":"GLP-1 Use Has More Than Quadrupled Since 2021 as Obesity Rates Continue to Show Signs of Decline","URL":"https://www.epicresearch.org/articles/glp-1-use-has-more-than-quadrupled-since-2021-as-obesity-rates-continue-to-show-signs-of-decline/","author":[{"family":"Epic Research","given":""}],"accessed":{"date-parts":[["2026",8,13]]},"issued":{"date-parts":[["2026"]]}}}],"schema":"https://github.com/citation-style-language/schema/raw/master/csl-citation.json"}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63</w:t>
            </w:r>
            <w:r>
              <w:rPr>
                <w:rFonts w:ascii="Times New Roman" w:eastAsiaTheme="minorEastAsia" w:hAnsi="Times New Roman" w:cs="Times New Roman"/>
                <w:iCs/>
              </w:rPr>
              <w:fldChar w:fldCharType="end"/>
            </w:r>
            <w:r w:rsidRPr="008975D5">
              <w:rPr>
                <w:rFonts w:ascii="Times New Roman" w:eastAsiaTheme="minorEastAsia" w:hAnsi="Times New Roman" w:cs="Times New Roman"/>
                <w:iCs/>
              </w:rPr>
              <w:t xml:space="preserve">. We </w:t>
            </w:r>
            <w:r w:rsidRPr="00D4649C">
              <w:rPr>
                <w:rFonts w:ascii="Times New Roman" w:eastAsiaTheme="minorEastAsia" w:hAnsi="Times New Roman" w:cs="Times New Roman"/>
                <w:iCs/>
              </w:rPr>
              <w:t>use this as a contemporaneous utilization benchmark and round/calibrate the cumulative historical value to 2.0%. The source statistic is prescribing prevalence, not cumulative ever-use.</w:t>
            </w:r>
          </w:p>
        </w:tc>
      </w:tr>
      <w:tr w:rsidR="00B3572B" w14:paraId="65166A49" w14:textId="77777777" w:rsidTr="003B6159">
        <w:tc>
          <w:tcPr>
            <w:tcW w:w="696" w:type="dxa"/>
          </w:tcPr>
          <w:p w14:paraId="6956035A"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2022</w:t>
            </w:r>
          </w:p>
        </w:tc>
        <w:tc>
          <w:tcPr>
            <w:tcW w:w="2089" w:type="dxa"/>
            <w:tcBorders>
              <w:top w:val="single" w:sz="4" w:space="0" w:color="auto"/>
              <w:left w:val="nil"/>
              <w:bottom w:val="single" w:sz="4" w:space="0" w:color="auto"/>
              <w:right w:val="nil"/>
            </w:tcBorders>
          </w:tcPr>
          <w:p w14:paraId="23CB7062"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4</w:t>
            </w:r>
          </w:p>
        </w:tc>
        <w:tc>
          <w:tcPr>
            <w:tcW w:w="6570" w:type="dxa"/>
          </w:tcPr>
          <w:p w14:paraId="4EA32D87" w14:textId="6BF8553D"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Constructed/calibrated.</w:t>
            </w:r>
            <w:r w:rsidRPr="00D4649C">
              <w:rPr>
                <w:rFonts w:ascii="Times New Roman" w:eastAsiaTheme="minorEastAsia" w:hAnsi="Times New Roman" w:cs="Times New Roman"/>
                <w:iCs/>
              </w:rPr>
              <w:t xml:space="preserve"> No directly comparable national cumulative ever-use percentage was identified. Watanabe et al. (2024) document strong acceleration by 2022—for example, Ozempic users in their health-system data increased from 569 in 2019 to </w:t>
            </w:r>
            <w:r w:rsidRPr="00654FE2">
              <w:rPr>
                <w:rFonts w:ascii="Times New Roman" w:eastAsiaTheme="minorEastAsia" w:hAnsi="Times New Roman" w:cs="Times New Roman"/>
                <w:iCs/>
              </w:rPr>
              <w:t>22,891 in 2022, with Wegovy reaching 2,992 users in 2022</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{"citationID":"pVDAwiT4","properties":{"unsorted":false,"formattedCitation":"\\super 59\\nosupersub{}","plainCitation":"59","noteIndex":0},"citationItems":[{"id":572,"uris":["http://zotero.org/groups/6414273/items/ISA9EIHB"],"itemData":{"id":572,"type":"article-journal","abstract":"BACKGROUND: Recent Food and Drug Administration approvals of glucagon-like peptide 1 (GLP-1) receptor agonists linked to substantial weight loss have generated interest in demand projections. However, a longitudinal analysis in a large, diverse, current, real-world database has not been published.\nOBJECTIVES: The study objective was to determine user frequency of GLP-1 receptor agonist products overall and by type 2 diabetes (T2D), cardiovascular disease (CVD), and overweight or obese status. Secondary objective was monthly growth rate estimation by product since first appearance in University of California Health.\nMETHODS: This retrospective cohort study included patients who were dispensed a GLP-1 receptor agonist from 2014 to 2022 in the University of California Health Data Warehouse. Exponential growth rates were estimated using a log-linear regression model.\nRESULTS: Between 2014 and 2018, only Trulicity and Victoza exceeded 5000 annual users. Ozempic users increased from 569 in 2019 to 7667 in 2020. Use accelerated with more than 13,310 users in 2021 to surpass Trulicity. Ozempic count was 22,891 in 2022. Wegovy rose from 989 in 2021 to 2992 in 2022. Mounjaro increased to 1508 users in 2022. Although generally similar trends were observed for T2D, CVD, and overweight or obese subgroups, the ascent of Ozempic as most frequently used was more apparent in the overweight or obese group. The monthly growth rates were 83.9% for Ozempic, 119.2% for Wegovy, 84.8% for Rybelsus, 53.3% for Saxenda, 12.9% for Adlyxin, 78.8% for Trulicity, and 254.3% for Mounjaro.\nCONCLUSION: This first cohort study of weight loss-associated GLP-1 receptor agonists in a large, diverse, state-wide health system demonstrated a rapid increased use that represents a clear and likely durable transition in utilization for this category. Informed decision making and longitudinal studies are needed to ensure evidence-concordant prescribing and supply stability.","container-title":"Journal of the American Pharmacists Association: JAPhA","DOI":"10.1016/j.japh.2023.10.002","ISSN":"1544-3450","issue":"1","journalAbbreviation":"J Am Pharm Assoc (2003)","language":"eng","page":"133-138","PMID":"37821008","source":"PubMed","title":"Trends in glucagon-like peptide 1 receptor agonist use, 2014 to 2022","volume":"64","author":[{"family":"Watanabe","given":"Jonathan H."},{"family":"Kwon","given":"Jimmy"},{"family":"Nan","given":"Bin"},{"family":"Reikes","given":"Andrew"}],"issued":{"date-parts":[["2024"]]}}}],"schema":"https://github.com/citation-style-language/schema/raw/master/csl-citation.json"}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59</w:t>
            </w:r>
            <w:r>
              <w:rPr>
                <w:rFonts w:ascii="Times New Roman" w:eastAsiaTheme="minorEastAsia" w:hAnsi="Times New Roman" w:cs="Times New Roman"/>
                <w:iCs/>
              </w:rPr>
              <w:fldChar w:fldCharType="end"/>
            </w:r>
            <w:r w:rsidRPr="00654FE2">
              <w:rPr>
                <w:rFonts w:ascii="Times New Roman" w:eastAsiaTheme="minorEastAsia" w:hAnsi="Times New Roman" w:cs="Times New Roman"/>
                <w:iCs/>
              </w:rPr>
              <w:t>. The 4.0% model value</w:t>
            </w:r>
            <w:r w:rsidRPr="00D4649C">
              <w:rPr>
                <w:rFonts w:ascii="Times New Roman" w:eastAsiaTheme="minorEastAsia" w:hAnsi="Times New Roman" w:cs="Times New Roman"/>
                <w:iCs/>
              </w:rPr>
              <w:t xml:space="preserve"> is therefore a calibrated transition point capturing this acceleration, not a statistic directly reported in the study.</w:t>
            </w:r>
          </w:p>
        </w:tc>
      </w:tr>
      <w:tr w:rsidR="00B3572B" w14:paraId="4CF1907E" w14:textId="77777777" w:rsidTr="003B6159">
        <w:tc>
          <w:tcPr>
            <w:tcW w:w="696" w:type="dxa"/>
          </w:tcPr>
          <w:p w14:paraId="27F84EFC"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2023</w:t>
            </w:r>
          </w:p>
        </w:tc>
        <w:tc>
          <w:tcPr>
            <w:tcW w:w="2089" w:type="dxa"/>
            <w:tcBorders>
              <w:top w:val="single" w:sz="4" w:space="0" w:color="auto"/>
              <w:left w:val="nil"/>
              <w:bottom w:val="single" w:sz="4" w:space="0" w:color="auto"/>
              <w:right w:val="nil"/>
            </w:tcBorders>
          </w:tcPr>
          <w:p w14:paraId="7BFAD290"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7.5</w:t>
            </w:r>
          </w:p>
        </w:tc>
        <w:tc>
          <w:tcPr>
            <w:tcW w:w="6570" w:type="dxa"/>
          </w:tcPr>
          <w:p w14:paraId="606CE748" w14:textId="21316424"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Calibrated from population survey evidence.</w:t>
            </w:r>
            <w:r w:rsidRPr="00D4649C">
              <w:rPr>
                <w:rFonts w:ascii="Times New Roman" w:eastAsiaTheme="minorEastAsia" w:hAnsi="Times New Roman" w:cs="Times New Roman"/>
                <w:iCs/>
              </w:rPr>
              <w:t xml:space="preserve"> </w:t>
            </w:r>
            <w:proofErr w:type="spellStart"/>
            <w:r w:rsidRPr="00D4649C">
              <w:rPr>
                <w:rFonts w:ascii="Times New Roman" w:eastAsiaTheme="minorEastAsia" w:hAnsi="Times New Roman" w:cs="Times New Roman"/>
                <w:iCs/>
              </w:rPr>
              <w:t>Hristakeva</w:t>
            </w:r>
            <w:proofErr w:type="spellEnd"/>
            <w:r w:rsidRPr="00D4649C">
              <w:rPr>
                <w:rFonts w:ascii="Times New Roman" w:eastAsiaTheme="minorEastAsia" w:hAnsi="Times New Roman" w:cs="Times New Roman"/>
                <w:iCs/>
              </w:rPr>
              <w:t xml:space="preserve"> et al. report </w:t>
            </w:r>
            <w:r w:rsidRPr="008975D5">
              <w:rPr>
                <w:rFonts w:ascii="Times New Roman" w:eastAsiaTheme="minorEastAsia" w:hAnsi="Times New Roman" w:cs="Times New Roman"/>
                <w:iCs/>
              </w:rPr>
              <w:t>that 11.5% of U.S. households had at least one GLP-1 user in October 2023, corresponding to a population-level incidence of 5.5%; by July</w:t>
            </w:r>
            <w:r w:rsidRPr="00D4649C">
              <w:rPr>
                <w:rFonts w:ascii="Times New Roman" w:eastAsiaTheme="minorEastAsia" w:hAnsi="Times New Roman" w:cs="Times New Roman"/>
                <w:iCs/>
              </w:rPr>
              <w:t xml:space="preserve"> 2024 these measures increased to 16.3% and 8.3%, respectively. Because the reported population incidence is a contemporaneous-use measure rather than cumulative ever-use, 5.5% was used as a lower/current-use benchmark and the model uses a calibrated cumulative value of 7.5%, also constrained by the subsequent 12% ever-use estimate in 2024</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{"citationID":"Oyd6m8Er","properties":{"unsorted":false,"formattedCitation":"\\super 42\\nosupersub{}","plainCitation":"42","noteIndex":0},"citationItems":[{"id":"jVo37HTg/w8sonP0z","uris":["http://zotero.org/users/12629452/items/UMYHPC6W"],"itemData":{"id":"bcARj3ri/BRccHkSw","type":"article","abstract":"We examine how consumers modify their food purchases after adopting appetite-suppressing GLP-1 receptor agonists, such as Ozempic and Wegovy. Using survey responses on medication adoption linked to transaction data from a representative U.S. household panel, we document the prevalence, motivations, and demographic patterns of GLP-1 adoption. Households with at least one GLP-1 user reduce grocery spending by 5.3% within six months of adoption, with higher-income households reducing spending by 8.2%. While most food categories see spending declines, the largest reductions are concentrated in calorie-dense, processed categories, including a 10.1% decline in savory snacks. In contrast, a small set of categories show directionally positive changes, with yogurt experiencing the only statistically significant increase. We also find an 8.0% decline in spending at fast-food chains, coffee shops, and limited-service restaurants. These food demand adjustments persist through the first year of medication use, though with some attenuation after six months. Households discontinuing GLP-1s revert to their pre-adoption grocery spending and shift toward slightly less healthy grocery baskets compared to their original baseline. Our findings highlight the potential for GLP-1 medications to significantly change consumer food demand, a trend with increasingly important implications for the food industry as GLP-1 adoption continues to grow.","DOI":"10.2139/ssrn.5073929","genre":"SSRN Scholarly Paper","language":"en","number":"5073929","publisher":"Social Science Research Network","publisher-place":"Rochester, NY","source":"papers.ssrn.com","title":"The No-Hunger Games: How GLP-1 Medication Adoption is Changing Consumer Food Demand","title-short":"The No-Hunger Games","URL":"https://papers.ssrn.com/abstract=5073929","author":[{"family":"Hristakeva","given":"Sylvia"},{"family":"Liaukonyte","given":"Jura"},{"family":"Feler","given":"Leo"}],"accessed":{"date-parts":[["2025",12,18]]},"issued":{"date-parts":[["2024",12,27]]}}}],"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42</w:t>
            </w:r>
            <w:r>
              <w:rPr>
                <w:rFonts w:ascii="Times New Roman" w:eastAsiaTheme="minorEastAsia" w:hAnsi="Times New Roman" w:cs="Times New Roman"/>
                <w:iCs/>
              </w:rPr>
              <w:fldChar w:fldCharType="end"/>
            </w:r>
            <w:r w:rsidRPr="00D4649C">
              <w:rPr>
                <w:rFonts w:ascii="Times New Roman" w:eastAsiaTheme="minorEastAsia" w:hAnsi="Times New Roman" w:cs="Times New Roman"/>
                <w:iCs/>
              </w:rPr>
              <w:t xml:space="preserve">. </w:t>
            </w:r>
          </w:p>
        </w:tc>
      </w:tr>
      <w:tr w:rsidR="00B3572B" w14:paraId="6E037942" w14:textId="77777777" w:rsidTr="003B6159">
        <w:tc>
          <w:tcPr>
            <w:tcW w:w="696" w:type="dxa"/>
          </w:tcPr>
          <w:p w14:paraId="6A411BB8"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2024</w:t>
            </w:r>
          </w:p>
        </w:tc>
        <w:tc>
          <w:tcPr>
            <w:tcW w:w="2089" w:type="dxa"/>
            <w:tcBorders>
              <w:top w:val="single" w:sz="4" w:space="0" w:color="auto"/>
              <w:left w:val="nil"/>
              <w:bottom w:val="single" w:sz="4" w:space="0" w:color="auto"/>
              <w:right w:val="nil"/>
            </w:tcBorders>
          </w:tcPr>
          <w:p w14:paraId="5ED15BE6"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12</w:t>
            </w:r>
          </w:p>
        </w:tc>
        <w:tc>
          <w:tcPr>
            <w:tcW w:w="6570" w:type="dxa"/>
          </w:tcPr>
          <w:p w14:paraId="20BF82A3" w14:textId="2EBD206B"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Direct observation.</w:t>
            </w:r>
            <w:r w:rsidRPr="00D4649C">
              <w:rPr>
                <w:rFonts w:ascii="Times New Roman" w:eastAsiaTheme="minorEastAsia" w:hAnsi="Times New Roman" w:cs="Times New Roman"/>
                <w:iCs/>
              </w:rPr>
              <w:t xml:space="preserve"> In a nationally representative U.S. adult survey conducted April 23–May 1, 2024, KFF reports </w:t>
            </w:r>
            <w:r w:rsidRPr="008975D5">
              <w:rPr>
                <w:rFonts w:ascii="Times New Roman" w:eastAsiaTheme="minorEastAsia" w:hAnsi="Times New Roman" w:cs="Times New Roman"/>
                <w:iCs/>
                <w:color w:val="000000" w:themeColor="text1"/>
              </w:rPr>
              <w:t xml:space="preserve">that 12% of adults had ever used a GLP-1 drug, including 6% who </w:t>
            </w:r>
            <w:r w:rsidRPr="00D4649C">
              <w:rPr>
                <w:rFonts w:ascii="Times New Roman" w:eastAsiaTheme="minorEastAsia" w:hAnsi="Times New Roman" w:cs="Times New Roman"/>
                <w:iCs/>
              </w:rPr>
              <w:t>were currently using one. Because “ever used” corresponds directly to the cumulative-adoption concept, the reported 12% was used without adjustment</w:t>
            </w:r>
            <w:r>
              <w:rPr>
                <w:rFonts w:ascii="Times New Roman" w:eastAsiaTheme="minorEastAsia" w:hAnsi="Times New Roman" w:cs="Times New Roman"/>
                <w:iCs/>
              </w:rPr>
              <w:t xml:space="preserve">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{"citationID":"iziPkB8s","properties":{"unsorted":false,"formattedCitation":"\\super 41\\nosupersub{}","plainCitation":"41","noteIndex":0},"citationItems":[{"id":17,"uris":["http://zotero.org/users/12629452/items/4CQXR75G"],"itemData":{"id":17,"type":"post-weblog","abstract":"KFF’s latest Health Tracking Poll examines the public’s views and use of an an increasingly popular class of prescription drugs used for weight loss and to treat diabetes or prevent heart attacks or strokes. The poll finds 12% of adults report having taken one of these GLP-1 drugs, which include Ozempic, Webovy and Mounjaro. This includes 6% who say they are currently taking one of the drugs.","container-title":"KFF","language":"en-US","title":"KFF Health Tracking Poll May 2024: The Public’s Use and Views of GLP-1 Drugs","title-short":"KFF Health Tracking Poll May 2024","URL":"https://www.kff.org/health-costs/kff-health-tracking-poll-may-2024-the-publics-use-and-views-of-glp-1-drugs/","author":[{"family":"Montero","given":"Alex"},{"family":"Sparks","given":"Grace"},{"family":"Presiado","given":"Marley"},{"family":"Hamel","given":"Liz"}],"accessed":{"date-parts":[["2025",12,18]]},"issued":{"date-parts":[["2024",5,10]]}}}],"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41</w:t>
            </w:r>
            <w:r>
              <w:rPr>
                <w:rFonts w:ascii="Times New Roman" w:eastAsiaTheme="minorEastAsia" w:hAnsi="Times New Roman" w:cs="Times New Roman"/>
                <w:iCs/>
              </w:rPr>
              <w:fldChar w:fldCharType="end"/>
            </w:r>
            <w:r>
              <w:rPr>
                <w:rFonts w:ascii="Times New Roman" w:eastAsiaTheme="minorEastAsia" w:hAnsi="Times New Roman" w:cs="Times New Roman"/>
                <w:iCs/>
              </w:rPr>
              <w:t>.</w:t>
            </w:r>
          </w:p>
        </w:tc>
      </w:tr>
      <w:tr w:rsidR="00B3572B" w14:paraId="7E12A288" w14:textId="77777777" w:rsidTr="003B6159">
        <w:tc>
          <w:tcPr>
            <w:tcW w:w="696" w:type="dxa"/>
          </w:tcPr>
          <w:p w14:paraId="164FD536" w14:textId="77777777" w:rsidR="00B3572B" w:rsidRDefault="00B3572B" w:rsidP="009B7FCA">
            <w:pPr>
              <w:spacing w:line="240" w:lineRule="auto"/>
              <w:rPr>
                <w:rFonts w:ascii="Times New Roman" w:eastAsiaTheme="minorEastAsia" w:hAnsi="Times New Roman" w:cs="Times New Roman"/>
                <w:iCs/>
              </w:rPr>
            </w:pPr>
            <w:r>
              <w:rPr>
                <w:rFonts w:ascii="Times New Roman" w:eastAsiaTheme="minorEastAsia" w:hAnsi="Times New Roman" w:cs="Times New Roman"/>
                <w:iCs/>
              </w:rPr>
              <w:t>2025</w:t>
            </w:r>
          </w:p>
        </w:tc>
        <w:tc>
          <w:tcPr>
            <w:tcW w:w="2089" w:type="dxa"/>
            <w:tcBorders>
              <w:top w:val="single" w:sz="4" w:space="0" w:color="auto"/>
              <w:left w:val="nil"/>
              <w:bottom w:val="single" w:sz="4" w:space="0" w:color="auto"/>
              <w:right w:val="nil"/>
            </w:tcBorders>
          </w:tcPr>
          <w:p w14:paraId="0FB33264" w14:textId="77777777" w:rsidR="00B3572B" w:rsidRDefault="00B3572B" w:rsidP="003B6159">
            <w:pPr>
              <w:spacing w:line="240" w:lineRule="auto"/>
              <w:rPr>
                <w:rFonts w:ascii="Times New Roman" w:eastAsiaTheme="minorEastAsia" w:hAnsi="Times New Roman" w:cs="Times New Roman"/>
                <w:iCs/>
              </w:rPr>
            </w:pPr>
            <w:r w:rsidRPr="00744E93">
              <w:rPr>
                <w:rFonts w:ascii="Times New Roman" w:eastAsiaTheme="minorEastAsia" w:hAnsi="Times New Roman" w:cs="Times New Roman"/>
                <w:iCs/>
              </w:rPr>
              <w:t>18</w:t>
            </w:r>
          </w:p>
        </w:tc>
        <w:tc>
          <w:tcPr>
            <w:tcW w:w="6570" w:type="dxa"/>
          </w:tcPr>
          <w:p w14:paraId="68A0DB86" w14:textId="124D4C5B" w:rsidR="00B3572B" w:rsidRDefault="00B3572B" w:rsidP="009B7FCA">
            <w:pPr>
              <w:spacing w:line="240" w:lineRule="auto"/>
              <w:rPr>
                <w:rFonts w:ascii="Times New Roman" w:eastAsiaTheme="minorEastAsia" w:hAnsi="Times New Roman" w:cs="Times New Roman"/>
                <w:iCs/>
              </w:rPr>
            </w:pPr>
            <w:r w:rsidRPr="00D4649C">
              <w:rPr>
                <w:rFonts w:ascii="Times New Roman" w:eastAsiaTheme="minorEastAsia" w:hAnsi="Times New Roman" w:cs="Times New Roman"/>
                <w:b/>
                <w:bCs/>
                <w:iCs/>
              </w:rPr>
              <w:t>Direct late-year observation.</w:t>
            </w:r>
            <w:r w:rsidRPr="00D4649C">
              <w:rPr>
                <w:rFonts w:ascii="Times New Roman" w:eastAsiaTheme="minorEastAsia" w:hAnsi="Times New Roman" w:cs="Times New Roman"/>
                <w:iCs/>
              </w:rPr>
              <w:t xml:space="preserve"> In a nationally representative survey conducted October 27–November 2, 2025, KFF reports that </w:t>
            </w:r>
            <w:r w:rsidRPr="008975D5">
              <w:rPr>
                <w:rFonts w:ascii="Times New Roman" w:eastAsiaTheme="minorEastAsia" w:hAnsi="Times New Roman" w:cs="Times New Roman"/>
                <w:iCs/>
              </w:rPr>
              <w:t>18% of U.S. adults had ever taken a GLP-1 agonist,</w:t>
            </w:r>
            <w:r w:rsidRPr="00D4649C">
              <w:rPr>
                <w:rFonts w:ascii="Times New Roman" w:eastAsiaTheme="minorEastAsia" w:hAnsi="Times New Roman" w:cs="Times New Roman"/>
                <w:iCs/>
              </w:rPr>
              <w:t xml:space="preserve"> including 12% who were currently taking one. The 18% ever-use estimate was used directly as the 2025 cumulative-adoption value. A separate RAND survey conducted in April–May 2025 reported 11.8% having taken a GLP-1 at least once; because that observation was collected earlier in the year, we use it as a mid-year cross-check rather than the year-end model endpoint. </w:t>
            </w:r>
            <w:r>
              <w:rPr>
                <w:rFonts w:ascii="Times New Roman" w:eastAsiaTheme="minorEastAsia" w:hAnsi="Times New Roman" w:cs="Times New Roman"/>
                <w:iCs/>
              </w:rPr>
              <w:fldChar w:fldCharType="begin"/>
            </w:r>
            <w:r w:rsidR="005B14DE">
              <w:rPr>
                <w:rFonts w:ascii="Times New Roman" w:eastAsiaTheme="minorEastAsia" w:hAnsi="Times New Roman" w:cs="Times New Roman"/>
                <w:iCs/>
              </w:rPr>
              <w:instrText xml:space="preserve"> ADDIN ZOTERO_ITEM CSL_CITATION {"citationID":"IfPYn8w7","properties":{"unsorted":false,"formattedCitation":"\\super 64,65\\nosupersub{}","plainCitation":"64,65","noteIndex":0},"citationItems":[{"id":585,"uris":["http://zotero.org/groups/6414273/items/A47D6ETT"],"itemData":{"id":585,"type":"report","abstract":"Prescriptions made for GLP-1 agonists under various brand names (e.g., Ozempic, Wegovy) have more than tripled since 2020. However, research on their use and their side effects at the population level is in its infancy. This report presents descriptive findings from a 2025 survey fielded to a nationally representative sample of U.S. adults as part of RAND's American Life Panel that show prevalence rates of GLP-1 agonist use and side effects.","language":"en","source":"www.rand.org","title":"New Weight Loss Drugs: GLP-1 Agonist Use and Side Effects in the United States","title-short":"New Weight Loss Drugs","URL":"https://www.rand.org/pubs/research_reports/RRA4153-1.html","author":[{"family":"Bozick","given":"Robert"},{"family":"Donofry","given":"Shannon D."},{"family":"Rancaño","given":"Katherine M."}],"accessed":{"date-parts":[["2026",8,13]]},"issued":{"date-parts":[["2025",8,6]]}}},{"id":583,"uris":["http://zotero.org/groups/6414273/items/LI5SAKWH"],"itemData":{"id":583,"type":"post-weblog","abstract":"About one in eight adults say that they are currently taking a GLP-1 drug either to lose weight or treat a chronic condition, an increase from 18 months ago, though the high costs of the medications remain a concern. Few adults think it is likely their prescription costs will go down as a result of recently announced Trump administration policies.","container-title":"KFF","language":"en-US","title":"KFF Health Tracking Poll: Prescription Drug Costs, Views on Trump Administration Actions, and GLP-1 Use","title-short":"KFF Health Tracking Poll","URL":"https://www.kff.org/public-opinion/kff-health-tracking-poll-prescription-drug-costs-views-on-trump-administration-actions-and-glp-1-use/","author":[{"family":"KFF","given":""}],"accessed":{"date-parts":[["2026",8,13]]},"issued":{"date-parts":[["2025"]]}}}],"schema":"https://github.com/citation-style-language/schema/raw/master/csl-citation.json"} </w:instrText>
            </w:r>
            <w:r>
              <w:rPr>
                <w:rFonts w:ascii="Times New Roman" w:eastAsiaTheme="minorEastAsia" w:hAnsi="Times New Roman" w:cs="Times New Roman"/>
                <w:iCs/>
              </w:rPr>
              <w:fldChar w:fldCharType="separate"/>
            </w:r>
            <w:r w:rsidR="005B14DE" w:rsidRPr="005B14DE">
              <w:rPr>
                <w:rFonts w:ascii="Times New Roman" w:hAnsi="Times New Roman" w:cs="Times New Roman"/>
                <w:kern w:val="0"/>
                <w:vertAlign w:val="superscript"/>
              </w:rPr>
              <w:t>64,65</w:t>
            </w:r>
            <w:r>
              <w:rPr>
                <w:rFonts w:ascii="Times New Roman" w:eastAsiaTheme="minorEastAsia" w:hAnsi="Times New Roman" w:cs="Times New Roman"/>
                <w:iCs/>
              </w:rPr>
              <w:fldChar w:fldCharType="end"/>
            </w:r>
            <w:r>
              <w:rPr>
                <w:rFonts w:ascii="Times New Roman" w:eastAsiaTheme="minorEastAsia" w:hAnsi="Times New Roman" w:cs="Times New Roman"/>
                <w:iCs/>
              </w:rPr>
              <w:t>.</w:t>
            </w:r>
          </w:p>
        </w:tc>
      </w:tr>
    </w:tbl>
    <w:p w14:paraId="70095AAB" w14:textId="77777777" w:rsidR="00B3572B" w:rsidRDefault="00B3572B" w:rsidP="00BD5412">
      <w:pPr>
        <w:spacing w:line="240" w:lineRule="auto"/>
        <w:rPr>
          <w:rFonts w:ascii="Times New Roman" w:eastAsiaTheme="minorEastAsia" w:hAnsi="Times New Roman" w:cs="Times New Roman"/>
          <w:iCs/>
        </w:rPr>
      </w:pPr>
    </w:p>
    <w:p w14:paraId="7950DAF8" w14:textId="72EA6032" w:rsidR="00D7193D" w:rsidRDefault="00AE6DBA" w:rsidP="00293E36">
      <w:pPr>
        <w:pStyle w:val="Heading1"/>
        <w:numPr>
          <w:ilvl w:val="0"/>
          <w:numId w:val="8"/>
        </w:numPr>
        <w:spacing w:line="480" w:lineRule="auto"/>
        <w:rPr>
          <w:rFonts w:ascii="Times New Roman" w:hAnsi="Times New Roman" w:cs="Times New Roman"/>
          <w:b/>
          <w:bCs/>
          <w:color w:val="auto"/>
          <w:sz w:val="24"/>
          <w:szCs w:val="24"/>
        </w:rPr>
      </w:pPr>
      <w:bookmarkStart w:id="15" w:name="_Toc237678764"/>
      <w:r w:rsidRPr="00745E72">
        <w:rPr>
          <w:rFonts w:ascii="Times New Roman" w:hAnsi="Times New Roman" w:cs="Times New Roman"/>
          <w:b/>
          <w:bCs/>
          <w:color w:val="auto"/>
          <w:sz w:val="24"/>
          <w:szCs w:val="24"/>
        </w:rPr>
        <w:t>GTAP</w:t>
      </w:r>
      <w:r w:rsidR="00EA38C6" w:rsidRPr="00EA38C6">
        <w:rPr>
          <w:rFonts w:ascii="Times New Roman" w:hAnsi="Times New Roman" w:cs="Times New Roman"/>
          <w:b/>
          <w:bCs/>
          <w:color w:val="auto"/>
          <w:sz w:val="24"/>
          <w:szCs w:val="24"/>
        </w:rPr>
        <w:t xml:space="preserve">-RD </w:t>
      </w:r>
      <w:r w:rsidR="00B37A4D">
        <w:rPr>
          <w:rFonts w:ascii="Times New Roman" w:hAnsi="Times New Roman" w:cs="Times New Roman"/>
          <w:b/>
          <w:bCs/>
          <w:color w:val="auto"/>
          <w:sz w:val="24"/>
          <w:szCs w:val="24"/>
        </w:rPr>
        <w:t>M</w:t>
      </w:r>
      <w:r w:rsidR="00EA38C6" w:rsidRPr="00EA38C6">
        <w:rPr>
          <w:rFonts w:ascii="Times New Roman" w:hAnsi="Times New Roman" w:cs="Times New Roman"/>
          <w:b/>
          <w:bCs/>
          <w:color w:val="auto"/>
          <w:sz w:val="24"/>
          <w:szCs w:val="24"/>
        </w:rPr>
        <w:t xml:space="preserve">odel, </w:t>
      </w:r>
      <w:r w:rsidR="00B37A4D">
        <w:rPr>
          <w:rFonts w:ascii="Times New Roman" w:hAnsi="Times New Roman" w:cs="Times New Roman"/>
          <w:b/>
          <w:bCs/>
          <w:color w:val="auto"/>
          <w:sz w:val="24"/>
          <w:szCs w:val="24"/>
        </w:rPr>
        <w:t>D</w:t>
      </w:r>
      <w:r w:rsidR="00EA38C6" w:rsidRPr="00EA38C6">
        <w:rPr>
          <w:rFonts w:ascii="Times New Roman" w:hAnsi="Times New Roman" w:cs="Times New Roman"/>
          <w:b/>
          <w:bCs/>
          <w:color w:val="auto"/>
          <w:sz w:val="24"/>
          <w:szCs w:val="24"/>
        </w:rPr>
        <w:t xml:space="preserve">atabase, </w:t>
      </w:r>
      <w:r w:rsidR="00B37A4D">
        <w:rPr>
          <w:rFonts w:ascii="Times New Roman" w:hAnsi="Times New Roman" w:cs="Times New Roman"/>
          <w:b/>
          <w:bCs/>
          <w:color w:val="auto"/>
          <w:sz w:val="24"/>
          <w:szCs w:val="24"/>
        </w:rPr>
        <w:t>B</w:t>
      </w:r>
      <w:r w:rsidR="00EA38C6" w:rsidRPr="00EA38C6">
        <w:rPr>
          <w:rFonts w:ascii="Times New Roman" w:hAnsi="Times New Roman" w:cs="Times New Roman"/>
          <w:b/>
          <w:bCs/>
          <w:color w:val="auto"/>
          <w:sz w:val="24"/>
          <w:szCs w:val="24"/>
        </w:rPr>
        <w:t xml:space="preserve">aseline and </w:t>
      </w:r>
      <w:r w:rsidR="00B37A4D">
        <w:rPr>
          <w:rFonts w:ascii="Times New Roman" w:hAnsi="Times New Roman" w:cs="Times New Roman"/>
          <w:b/>
          <w:bCs/>
          <w:color w:val="auto"/>
          <w:sz w:val="24"/>
          <w:szCs w:val="24"/>
        </w:rPr>
        <w:t>C</w:t>
      </w:r>
      <w:r w:rsidR="00EA38C6" w:rsidRPr="00EA38C6">
        <w:rPr>
          <w:rFonts w:ascii="Times New Roman" w:hAnsi="Times New Roman" w:cs="Times New Roman"/>
          <w:b/>
          <w:bCs/>
          <w:color w:val="auto"/>
          <w:sz w:val="24"/>
          <w:szCs w:val="24"/>
        </w:rPr>
        <w:t xml:space="preserve">ounterfactual </w:t>
      </w:r>
      <w:r w:rsidR="00B37A4D">
        <w:rPr>
          <w:rFonts w:ascii="Times New Roman" w:hAnsi="Times New Roman" w:cs="Times New Roman"/>
          <w:b/>
          <w:bCs/>
          <w:color w:val="auto"/>
          <w:sz w:val="24"/>
          <w:szCs w:val="24"/>
        </w:rPr>
        <w:t>I</w:t>
      </w:r>
      <w:r w:rsidR="00EA38C6" w:rsidRPr="00EA38C6">
        <w:rPr>
          <w:rFonts w:ascii="Times New Roman" w:hAnsi="Times New Roman" w:cs="Times New Roman"/>
          <w:b/>
          <w:bCs/>
          <w:color w:val="auto"/>
          <w:sz w:val="24"/>
          <w:szCs w:val="24"/>
        </w:rPr>
        <w:t>mplementation</w:t>
      </w:r>
      <w:bookmarkEnd w:id="15"/>
    </w:p>
    <w:p w14:paraId="2B061827" w14:textId="1A042C61" w:rsidR="00025C0F" w:rsidRPr="00025C0F" w:rsidRDefault="00025C0F" w:rsidP="00293E36">
      <w:pPr>
        <w:pStyle w:val="Heading1"/>
        <w:numPr>
          <w:ilvl w:val="1"/>
          <w:numId w:val="8"/>
        </w:numPr>
        <w:spacing w:before="0" w:line="480" w:lineRule="auto"/>
        <w:rPr>
          <w:rFonts w:ascii="Times New Roman" w:hAnsi="Times New Roman" w:cs="Times New Roman"/>
          <w:b/>
          <w:bCs/>
          <w:color w:val="auto"/>
          <w:sz w:val="24"/>
          <w:szCs w:val="24"/>
        </w:rPr>
      </w:pPr>
      <w:bookmarkStart w:id="16" w:name="_Toc237678765"/>
      <w:r w:rsidRPr="00025C0F">
        <w:rPr>
          <w:rFonts w:ascii="Times New Roman" w:hAnsi="Times New Roman" w:cs="Times New Roman"/>
          <w:b/>
          <w:bCs/>
          <w:color w:val="auto"/>
          <w:sz w:val="24"/>
          <w:szCs w:val="24"/>
        </w:rPr>
        <w:t xml:space="preserve">Model </w:t>
      </w:r>
      <w:r w:rsidR="00B37A4D">
        <w:rPr>
          <w:rFonts w:ascii="Times New Roman" w:hAnsi="Times New Roman" w:cs="Times New Roman"/>
          <w:b/>
          <w:bCs/>
          <w:color w:val="auto"/>
          <w:sz w:val="24"/>
          <w:szCs w:val="24"/>
        </w:rPr>
        <w:t>S</w:t>
      </w:r>
      <w:r w:rsidRPr="00025C0F">
        <w:rPr>
          <w:rFonts w:ascii="Times New Roman" w:hAnsi="Times New Roman" w:cs="Times New Roman"/>
          <w:b/>
          <w:bCs/>
          <w:color w:val="auto"/>
          <w:sz w:val="24"/>
          <w:szCs w:val="24"/>
        </w:rPr>
        <w:t xml:space="preserve">tructure and </w:t>
      </w:r>
      <w:r w:rsidR="00B37A4D">
        <w:rPr>
          <w:rFonts w:ascii="Times New Roman" w:hAnsi="Times New Roman" w:cs="Times New Roman"/>
          <w:b/>
          <w:bCs/>
          <w:color w:val="auto"/>
          <w:sz w:val="24"/>
          <w:szCs w:val="24"/>
        </w:rPr>
        <w:t>D</w:t>
      </w:r>
      <w:r w:rsidRPr="00025C0F">
        <w:rPr>
          <w:rFonts w:ascii="Times New Roman" w:hAnsi="Times New Roman" w:cs="Times New Roman"/>
          <w:b/>
          <w:bCs/>
          <w:color w:val="auto"/>
          <w:sz w:val="24"/>
          <w:szCs w:val="24"/>
        </w:rPr>
        <w:t xml:space="preserve">atabase </w:t>
      </w:r>
      <w:r w:rsidR="00B37A4D">
        <w:rPr>
          <w:rFonts w:ascii="Times New Roman" w:hAnsi="Times New Roman" w:cs="Times New Roman"/>
          <w:b/>
          <w:bCs/>
          <w:color w:val="auto"/>
          <w:sz w:val="24"/>
          <w:szCs w:val="24"/>
        </w:rPr>
        <w:t>A</w:t>
      </w:r>
      <w:r w:rsidRPr="00025C0F">
        <w:rPr>
          <w:rFonts w:ascii="Times New Roman" w:hAnsi="Times New Roman" w:cs="Times New Roman"/>
          <w:b/>
          <w:bCs/>
          <w:color w:val="auto"/>
          <w:sz w:val="24"/>
          <w:szCs w:val="24"/>
        </w:rPr>
        <w:t>ggregation</w:t>
      </w:r>
      <w:bookmarkEnd w:id="16"/>
    </w:p>
    <w:p w14:paraId="411002FC" w14:textId="4388BD69" w:rsidR="008B63EA" w:rsidRDefault="008B63EA" w:rsidP="00873D30">
      <w:pPr>
        <w:spacing w:line="480" w:lineRule="auto"/>
        <w:jc w:val="both"/>
        <w:rPr>
          <w:rFonts w:ascii="Times New Roman" w:eastAsia="Times New Roman" w:hAnsi="Times New Roman" w:cs="Times New Roman"/>
        </w:rPr>
      </w:pPr>
      <w:r w:rsidRPr="008B63EA">
        <w:rPr>
          <w:rFonts w:ascii="Times New Roman" w:eastAsia="Times New Roman" w:hAnsi="Times New Roman" w:cs="Times New Roman"/>
        </w:rPr>
        <w:t xml:space="preserve">We evaluate economy-wide food-system responses using GTAP-RD, the recursive-dynamic version of the Global Trade Analysis Project computable general equilibrium model </w:t>
      </w:r>
      <w:r>
        <w:rPr>
          <w:rFonts w:ascii="Times New Roman" w:eastAsia="Times New Roman" w:hAnsi="Times New Roman" w:cs="Times New Roman"/>
        </w:rPr>
        <w:fldChar w:fldCharType="begin"/>
      </w:r>
      <w:r w:rsidR="005B14DE">
        <w:rPr>
          <w:rFonts w:ascii="Times New Roman" w:eastAsia="Times New Roman" w:hAnsi="Times New Roman" w:cs="Times New Roman"/>
        </w:rPr>
        <w:instrText xml:space="preserve"> ADDIN ZOTERO_ITEM CSL_CITATION {"citationID":"xlzW4pqz","properties":{"unsorted":false,"formattedCitation":"\\super 66\\nosupersub{}","plainCitation":"66","noteIndex":0},"citationItems":[{"id":19,"uris":["http://zotero.org/users/12629452/items/MTMRQY25"],"itemData":{"id":19,"type":"report","publisher":"Global Trade Analysis Project (GTAP)","title":"The GTAP recursive dynamic (GTAP-RD) model: version 1.0","author":[{"family":"Aguiar","given":"Angel"},{"family":"Corong","given":"Erwin"},{"family":"Mensbrugghe","given":"Dominique","non-dropping-particle":"van der"}],"issued":{"date-parts":[["2020"]]}}}],"schema":"https://github.com/citation-style-language/schema/raw/master/csl-citation.json"} </w:instrText>
      </w:r>
      <w:r>
        <w:rPr>
          <w:rFonts w:ascii="Times New Roman" w:eastAsia="Times New Roman" w:hAnsi="Times New Roman" w:cs="Times New Roman"/>
        </w:rPr>
        <w:fldChar w:fldCharType="separate"/>
      </w:r>
      <w:r w:rsidR="005B14DE" w:rsidRPr="005B14DE">
        <w:rPr>
          <w:rFonts w:ascii="Times New Roman" w:hAnsi="Times New Roman" w:cs="Times New Roman"/>
          <w:kern w:val="0"/>
          <w:vertAlign w:val="superscript"/>
        </w:rPr>
        <w:t>66</w:t>
      </w:r>
      <w:r>
        <w:rPr>
          <w:rFonts w:ascii="Times New Roman" w:eastAsia="Times New Roman" w:hAnsi="Times New Roman" w:cs="Times New Roman"/>
        </w:rPr>
        <w:fldChar w:fldCharType="end"/>
      </w:r>
      <w:r w:rsidRPr="008B63EA">
        <w:rPr>
          <w:rFonts w:ascii="Times New Roman" w:eastAsia="Times New Roman" w:hAnsi="Times New Roman" w:cs="Times New Roman"/>
        </w:rPr>
        <w:t xml:space="preserve">. GTAP-RD represents multiple regional economies connected through bilateral trade, with firms producing commodities using intermediate </w:t>
      </w:r>
      <w:proofErr w:type="gramStart"/>
      <w:r w:rsidRPr="008B63EA">
        <w:rPr>
          <w:rFonts w:ascii="Times New Roman" w:eastAsia="Times New Roman" w:hAnsi="Times New Roman" w:cs="Times New Roman"/>
        </w:rPr>
        <w:t>inputs</w:t>
      </w:r>
      <w:proofErr w:type="gramEnd"/>
      <w:r w:rsidRPr="008B63EA">
        <w:rPr>
          <w:rFonts w:ascii="Times New Roman" w:eastAsia="Times New Roman" w:hAnsi="Times New Roman" w:cs="Times New Roman"/>
        </w:rPr>
        <w:t xml:space="preserve"> and primary factors within nested production structures. Regional income is allocated across private consumption, government expenditure and savings, while commodities are allocated across intermediate demand, final consumption, investment</w:t>
      </w:r>
      <w:r w:rsidR="009E1C2B">
        <w:rPr>
          <w:rFonts w:ascii="Times New Roman" w:eastAsia="Times New Roman" w:hAnsi="Times New Roman" w:cs="Times New Roman"/>
        </w:rPr>
        <w:t>,</w:t>
      </w:r>
      <w:r w:rsidRPr="008B63EA">
        <w:rPr>
          <w:rFonts w:ascii="Times New Roman" w:eastAsia="Times New Roman" w:hAnsi="Times New Roman" w:cs="Times New Roman"/>
        </w:rPr>
        <w:t xml:space="preserve"> and international trade. This framework is well suited to the present analysis because changes in private-household food demand can propagate through production, bilateral trade, prices, input use</w:t>
      </w:r>
      <w:r w:rsidR="00A61B80">
        <w:rPr>
          <w:rFonts w:ascii="Times New Roman" w:eastAsia="Times New Roman" w:hAnsi="Times New Roman" w:cs="Times New Roman"/>
        </w:rPr>
        <w:t>,</w:t>
      </w:r>
      <w:r w:rsidRPr="008B63EA">
        <w:rPr>
          <w:rFonts w:ascii="Times New Roman" w:eastAsia="Times New Roman" w:hAnsi="Times New Roman" w:cs="Times New Roman"/>
        </w:rPr>
        <w:t xml:space="preserve"> and factor markets, allowing the economy-wide consequences of the GLP-1-induced demand pathways to be quantified.</w:t>
      </w:r>
    </w:p>
    <w:p w14:paraId="1696E84E" w14:textId="335169B3" w:rsidR="004370C2" w:rsidRPr="00E42C97" w:rsidRDefault="00C732E7" w:rsidP="00745E72">
      <w:pPr>
        <w:spacing w:line="480" w:lineRule="auto"/>
        <w:ind w:firstLine="720"/>
        <w:jc w:val="both"/>
        <w:rPr>
          <w:rFonts w:ascii="Times New Roman" w:eastAsia="Times New Roman" w:hAnsi="Times New Roman" w:cs="Times New Roman"/>
        </w:rPr>
      </w:pPr>
      <w:r w:rsidRPr="00C732E7">
        <w:rPr>
          <w:rFonts w:ascii="Times New Roman" w:eastAsia="Times New Roman" w:hAnsi="Times New Roman" w:cs="Times New Roman"/>
        </w:rPr>
        <w:t>As shown in Fig. S8, production combines intermediate inputs and value added in fixed proportions through a Leontief structure. Intermediate inputs include feed, seed, energy</w:t>
      </w:r>
      <w:r w:rsidR="00A61B80">
        <w:rPr>
          <w:rFonts w:ascii="Times New Roman" w:eastAsia="Times New Roman" w:hAnsi="Times New Roman" w:cs="Times New Roman"/>
        </w:rPr>
        <w:t>,</w:t>
      </w:r>
      <w:r w:rsidRPr="00C732E7">
        <w:rPr>
          <w:rFonts w:ascii="Times New Roman" w:eastAsia="Times New Roman" w:hAnsi="Times New Roman" w:cs="Times New Roman"/>
        </w:rPr>
        <w:t xml:space="preserve"> and chemicals, while value added combines primary factors, including land, labor, capital</w:t>
      </w:r>
      <w:r w:rsidR="00455FA1">
        <w:rPr>
          <w:rFonts w:ascii="Times New Roman" w:eastAsia="Times New Roman" w:hAnsi="Times New Roman" w:cs="Times New Roman"/>
        </w:rPr>
        <w:t>,</w:t>
      </w:r>
      <w:r w:rsidRPr="00C732E7">
        <w:rPr>
          <w:rFonts w:ascii="Times New Roman" w:eastAsia="Times New Roman" w:hAnsi="Times New Roman" w:cs="Times New Roman"/>
        </w:rPr>
        <w:t xml:space="preserve"> and natural resources, using a constant-elasticity-of-substitution specification. Domestic output is allocated between domestic and export markets, and bilateral trade links regional economies through differentiated trade flows. On the demand side, domestic and imported varieties are treated as imperfect substitutes under the Armington structure. Commodities are used by firms as intermediate inputs and by private households, government</w:t>
      </w:r>
      <w:r w:rsidR="00455FA1">
        <w:rPr>
          <w:rFonts w:ascii="Times New Roman" w:eastAsia="Times New Roman" w:hAnsi="Times New Roman" w:cs="Times New Roman"/>
        </w:rPr>
        <w:t>,</w:t>
      </w:r>
      <w:r w:rsidRPr="00C732E7">
        <w:rPr>
          <w:rFonts w:ascii="Times New Roman" w:eastAsia="Times New Roman" w:hAnsi="Times New Roman" w:cs="Times New Roman"/>
        </w:rPr>
        <w:t xml:space="preserve"> and investment demand. This structure allows an exogenous change in private-household food demand to generate endogenous adjustments in domestic production, import sourcing, bilateral trade, prices, intermediate-input use</w:t>
      </w:r>
      <w:r w:rsidR="00BC771C">
        <w:rPr>
          <w:rFonts w:ascii="Times New Roman" w:eastAsia="Times New Roman" w:hAnsi="Times New Roman" w:cs="Times New Roman"/>
        </w:rPr>
        <w:t>,</w:t>
      </w:r>
      <w:r w:rsidRPr="00C732E7">
        <w:rPr>
          <w:rFonts w:ascii="Times New Roman" w:eastAsia="Times New Roman" w:hAnsi="Times New Roman" w:cs="Times New Roman"/>
        </w:rPr>
        <w:t xml:space="preserve"> and primary-factor allocation.</w:t>
      </w:r>
    </w:p>
    <w:tbl>
      <w:tblPr>
        <w:tblStyle w:val="TableGrid"/>
        <w:tblW w:w="0" w:type="auto"/>
        <w:tblInd w:w="0" w:type="dxa"/>
        <w:tblLook w:val="04A0" w:firstRow="1" w:lastRow="0" w:firstColumn="1" w:lastColumn="0" w:noHBand="0" w:noVBand="1"/>
      </w:tblPr>
      <w:tblGrid>
        <w:gridCol w:w="9350"/>
      </w:tblGrid>
      <w:tr w:rsidR="00EC30E8" w14:paraId="3D070C52" w14:textId="77777777" w:rsidTr="00EC30E8">
        <w:tc>
          <w:tcPr>
            <w:tcW w:w="9350" w:type="dxa"/>
          </w:tcPr>
          <w:p w14:paraId="7EC7409F" w14:textId="33F03FBD" w:rsidR="00EC30E8" w:rsidRDefault="00EC30E8" w:rsidP="00D7193D">
            <w:pPr>
              <w:rPr>
                <w:rFonts w:ascii="Times New Roman" w:hAnsi="Times New Roman" w:cs="Times New Roman"/>
              </w:rPr>
            </w:pPr>
            <w:r w:rsidRPr="00EC30E8">
              <w:rPr>
                <w:rFonts w:ascii="Times New Roman" w:hAnsi="Times New Roman" w:cs="Times New Roman"/>
                <w:noProof/>
              </w:rPr>
              <w:drawing>
                <wp:inline distT="0" distB="0" distL="0" distR="0" wp14:anchorId="22CA0A42" wp14:editId="3BF83C3A">
                  <wp:extent cx="5943600" cy="3224530"/>
                  <wp:effectExtent l="0" t="0" r="0" b="0"/>
                  <wp:docPr id="1348197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197964" name=""/>
                          <pic:cNvPicPr/>
                        </pic:nvPicPr>
                        <pic:blipFill>
                          <a:blip r:embed="rId20"/>
                          <a:stretch>
                            <a:fillRect/>
                          </a:stretch>
                        </pic:blipFill>
                        <pic:spPr>
                          <a:xfrm>
                            <a:off x="0" y="0"/>
                            <a:ext cx="5943600" cy="3224530"/>
                          </a:xfrm>
                          <a:prstGeom prst="rect">
                            <a:avLst/>
                          </a:prstGeom>
                        </pic:spPr>
                      </pic:pic>
                    </a:graphicData>
                  </a:graphic>
                </wp:inline>
              </w:drawing>
            </w:r>
          </w:p>
        </w:tc>
      </w:tr>
      <w:tr w:rsidR="00EC30E8" w14:paraId="425E43D5" w14:textId="77777777" w:rsidTr="00EC30E8">
        <w:tc>
          <w:tcPr>
            <w:tcW w:w="9350" w:type="dxa"/>
          </w:tcPr>
          <w:p w14:paraId="527089AB" w14:textId="225FBE7B" w:rsidR="00EC30E8" w:rsidRDefault="00AE0942" w:rsidP="00D7193D">
            <w:pPr>
              <w:rPr>
                <w:rFonts w:ascii="Times New Roman" w:hAnsi="Times New Roman" w:cs="Times New Roman"/>
              </w:rPr>
            </w:pPr>
            <w:r w:rsidRPr="005F6E37">
              <w:rPr>
                <w:rFonts w:ascii="Times New Roman" w:eastAsiaTheme="minorEastAsia" w:hAnsi="Times New Roman" w:cs="Times New Roman"/>
                <w:b/>
                <w:bCs/>
                <w:iCs/>
              </w:rPr>
              <w:t>Fig. S</w:t>
            </w:r>
            <w:r w:rsidR="00C220E3">
              <w:rPr>
                <w:rFonts w:ascii="Times New Roman" w:eastAsiaTheme="minorEastAsia" w:hAnsi="Times New Roman" w:cs="Times New Roman"/>
                <w:b/>
                <w:bCs/>
                <w:iCs/>
              </w:rPr>
              <w:t>8</w:t>
            </w:r>
            <w:r w:rsidRPr="005F6E37">
              <w:rPr>
                <w:rFonts w:ascii="Times New Roman" w:eastAsiaTheme="minorEastAsia" w:hAnsi="Times New Roman" w:cs="Times New Roman"/>
                <w:b/>
                <w:bCs/>
                <w:iCs/>
              </w:rPr>
              <w:t xml:space="preserve"> | </w:t>
            </w:r>
            <w:r w:rsidR="004370C2" w:rsidRPr="004370C2">
              <w:rPr>
                <w:rFonts w:ascii="Times New Roman" w:hAnsi="Times New Roman" w:cs="Times New Roman"/>
              </w:rPr>
              <w:t>Hybrid nested CGE production–trade structure</w:t>
            </w:r>
            <w:r w:rsidR="004370C2">
              <w:rPr>
                <w:rFonts w:ascii="Times New Roman" w:hAnsi="Times New Roman" w:cs="Times New Roman"/>
              </w:rPr>
              <w:t xml:space="preserve">. </w:t>
            </w:r>
            <w:r w:rsidR="004370C2" w:rsidRPr="004370C2">
              <w:rPr>
                <w:rFonts w:ascii="Times New Roman" w:hAnsi="Times New Roman" w:cs="Times New Roman"/>
              </w:rPr>
              <w:t>Th</w:t>
            </w:r>
            <w:r w:rsidR="004370C2">
              <w:rPr>
                <w:rFonts w:ascii="Times New Roman" w:hAnsi="Times New Roman" w:cs="Times New Roman"/>
              </w:rPr>
              <w:t>is</w:t>
            </w:r>
            <w:r w:rsidR="004370C2" w:rsidRPr="004370C2">
              <w:rPr>
                <w:rFonts w:ascii="Times New Roman" w:hAnsi="Times New Roman" w:cs="Times New Roman"/>
              </w:rPr>
              <w:t xml:space="preserve"> model adopts a standard GTAP-style nested production and trade structure. Production combines value-added and intermediate inputs in fixed proportions (Leontief), while value-added is modeled as a CES aggregation of primary factors. Trade follows the Armington assumption for import–domestic substitution and a </w:t>
            </w:r>
            <w:r w:rsidR="00AC1036">
              <w:rPr>
                <w:rFonts w:ascii="Times New Roman" w:hAnsi="Times New Roman" w:cs="Times New Roman"/>
              </w:rPr>
              <w:t>constant elasticity of transformation (</w:t>
            </w:r>
            <w:r w:rsidR="004370C2" w:rsidRPr="004370C2">
              <w:rPr>
                <w:rFonts w:ascii="Times New Roman" w:hAnsi="Times New Roman" w:cs="Times New Roman"/>
              </w:rPr>
              <w:t>CET</w:t>
            </w:r>
            <w:r w:rsidR="00AC1036">
              <w:rPr>
                <w:rFonts w:ascii="Times New Roman" w:hAnsi="Times New Roman" w:cs="Times New Roman"/>
              </w:rPr>
              <w:t>)</w:t>
            </w:r>
            <w:r w:rsidR="004370C2" w:rsidRPr="004370C2">
              <w:rPr>
                <w:rFonts w:ascii="Times New Roman" w:hAnsi="Times New Roman" w:cs="Times New Roman"/>
              </w:rPr>
              <w:t xml:space="preserve"> structure for export transformation</w:t>
            </w:r>
          </w:p>
        </w:tc>
      </w:tr>
    </w:tbl>
    <w:p w14:paraId="76502F64" w14:textId="6C78DBD8" w:rsidR="004A5B14" w:rsidRDefault="004A5B14" w:rsidP="005A69E3">
      <w:pPr>
        <w:spacing w:before="120" w:after="0" w:line="480" w:lineRule="auto"/>
        <w:ind w:firstLine="720"/>
        <w:jc w:val="both"/>
        <w:rPr>
          <w:rFonts w:ascii="Times New Roman" w:hAnsi="Times New Roman" w:cs="Times New Roman"/>
        </w:rPr>
      </w:pPr>
      <w:r w:rsidRPr="004A5B14">
        <w:rPr>
          <w:rFonts w:ascii="Times New Roman" w:hAnsi="Times New Roman" w:cs="Times New Roman"/>
        </w:rPr>
        <w:t>We use Version 11 of the GTAP Data Base, with a reference year of 2017. The original database distinguishes 160 regions, which we aggregate into four regional economies for the present analysis: the United States, Canada, Mexico</w:t>
      </w:r>
      <w:r w:rsidR="00473808">
        <w:rPr>
          <w:rFonts w:ascii="Times New Roman" w:hAnsi="Times New Roman" w:cs="Times New Roman"/>
        </w:rPr>
        <w:t>,</w:t>
      </w:r>
      <w:r w:rsidRPr="004A5B14">
        <w:rPr>
          <w:rFonts w:ascii="Times New Roman" w:hAnsi="Times New Roman" w:cs="Times New Roman"/>
        </w:rPr>
        <w:t xml:space="preserve"> and the Rest of the World. The original factor endowments are similarly aggregated into four primary-factor categories comprising land, labor, capital</w:t>
      </w:r>
      <w:r w:rsidR="00473808">
        <w:rPr>
          <w:rFonts w:ascii="Times New Roman" w:hAnsi="Times New Roman" w:cs="Times New Roman"/>
        </w:rPr>
        <w:t>,</w:t>
      </w:r>
      <w:r w:rsidRPr="004A5B14">
        <w:rPr>
          <w:rFonts w:ascii="Times New Roman" w:hAnsi="Times New Roman" w:cs="Times New Roman"/>
        </w:rPr>
        <w:t xml:space="preserve"> and natural resources. This aggregation preserves the North American economies in which GLP-1 diffusion is explicitly modeled while retaining the rest of the global economy as a single region through which trade and general-equilibrium adjustments can occur.</w:t>
      </w:r>
    </w:p>
    <w:p w14:paraId="4F5AE7B9" w14:textId="6C103178" w:rsidR="00041DCB" w:rsidRDefault="00EC0FBB" w:rsidP="005A69E3">
      <w:pPr>
        <w:spacing w:before="120" w:after="0" w:line="480" w:lineRule="auto"/>
        <w:ind w:firstLine="720"/>
        <w:jc w:val="both"/>
        <w:rPr>
          <w:rFonts w:ascii="Times New Roman" w:hAnsi="Times New Roman" w:cs="Times New Roman"/>
        </w:rPr>
      </w:pPr>
      <w:r w:rsidRPr="00EC0FBB">
        <w:rPr>
          <w:rFonts w:ascii="Times New Roman" w:hAnsi="Times New Roman" w:cs="Times New Roman"/>
        </w:rPr>
        <w:t>The original 65 GTAP sectors are aggregated into 16 sectors for the analysis. The aggregation preserves nine food categories that can be directly matched to the per-user dietary responses developed in Section 6: cereals</w:t>
      </w:r>
      <w:r w:rsidR="008E2531">
        <w:rPr>
          <w:rFonts w:ascii="Times New Roman" w:hAnsi="Times New Roman" w:cs="Times New Roman"/>
        </w:rPr>
        <w:t>;</w:t>
      </w:r>
      <w:r w:rsidRPr="00EC0FBB">
        <w:rPr>
          <w:rFonts w:ascii="Times New Roman" w:hAnsi="Times New Roman" w:cs="Times New Roman"/>
        </w:rPr>
        <w:t xml:space="preserve"> fruit and vegetables</w:t>
      </w:r>
      <w:r w:rsidR="008E2531">
        <w:rPr>
          <w:rFonts w:ascii="Times New Roman" w:hAnsi="Times New Roman" w:cs="Times New Roman"/>
        </w:rPr>
        <w:t>;</w:t>
      </w:r>
      <w:r w:rsidRPr="00EC0FBB">
        <w:rPr>
          <w:rFonts w:ascii="Times New Roman" w:hAnsi="Times New Roman" w:cs="Times New Roman"/>
        </w:rPr>
        <w:t xml:space="preserve"> fish and seafood</w:t>
      </w:r>
      <w:r w:rsidR="008E2531">
        <w:rPr>
          <w:rFonts w:ascii="Times New Roman" w:hAnsi="Times New Roman" w:cs="Times New Roman"/>
        </w:rPr>
        <w:t>;</w:t>
      </w:r>
      <w:r w:rsidRPr="00EC0FBB">
        <w:rPr>
          <w:rFonts w:ascii="Times New Roman" w:hAnsi="Times New Roman" w:cs="Times New Roman"/>
        </w:rPr>
        <w:t xml:space="preserve"> meat and meat products</w:t>
      </w:r>
      <w:r w:rsidR="008E2531">
        <w:rPr>
          <w:rFonts w:ascii="Times New Roman" w:hAnsi="Times New Roman" w:cs="Times New Roman"/>
        </w:rPr>
        <w:t>;</w:t>
      </w:r>
      <w:r w:rsidRPr="00EC0FBB">
        <w:rPr>
          <w:rFonts w:ascii="Times New Roman" w:hAnsi="Times New Roman" w:cs="Times New Roman"/>
        </w:rPr>
        <w:t xml:space="preserve"> vegetable oils and fats</w:t>
      </w:r>
      <w:r w:rsidR="008E2531">
        <w:rPr>
          <w:rFonts w:ascii="Times New Roman" w:hAnsi="Times New Roman" w:cs="Times New Roman"/>
        </w:rPr>
        <w:t>;</w:t>
      </w:r>
      <w:r w:rsidRPr="00EC0FBB">
        <w:rPr>
          <w:rFonts w:ascii="Times New Roman" w:hAnsi="Times New Roman" w:cs="Times New Roman"/>
        </w:rPr>
        <w:t xml:space="preserve"> dairy, sugar</w:t>
      </w:r>
      <w:r w:rsidR="008E2531">
        <w:rPr>
          <w:rFonts w:ascii="Times New Roman" w:hAnsi="Times New Roman" w:cs="Times New Roman"/>
        </w:rPr>
        <w:t>,</w:t>
      </w:r>
      <w:r w:rsidRPr="00EC0FBB">
        <w:rPr>
          <w:rFonts w:ascii="Times New Roman" w:hAnsi="Times New Roman" w:cs="Times New Roman"/>
        </w:rPr>
        <w:t xml:space="preserve"> and sugar products</w:t>
      </w:r>
      <w:r w:rsidR="008E2531">
        <w:rPr>
          <w:rFonts w:ascii="Times New Roman" w:hAnsi="Times New Roman" w:cs="Times New Roman"/>
        </w:rPr>
        <w:t>;</w:t>
      </w:r>
      <w:r w:rsidRPr="00EC0FBB">
        <w:rPr>
          <w:rFonts w:ascii="Times New Roman" w:hAnsi="Times New Roman" w:cs="Times New Roman"/>
        </w:rPr>
        <w:t xml:space="preserve"> beverages and tobacco</w:t>
      </w:r>
      <w:r w:rsidR="008E2531">
        <w:rPr>
          <w:rFonts w:ascii="Times New Roman" w:hAnsi="Times New Roman" w:cs="Times New Roman"/>
        </w:rPr>
        <w:t>;</w:t>
      </w:r>
      <w:r w:rsidRPr="00EC0FBB">
        <w:rPr>
          <w:rFonts w:ascii="Times New Roman" w:hAnsi="Times New Roman" w:cs="Times New Roman"/>
        </w:rPr>
        <w:t xml:space="preserve"> and processed food and other food products. The two GTAP meat-processing sectors are combined into a single meat category. A tenth agricultural aggregate, Other Agricultural Products, </w:t>
      </w:r>
      <w:r w:rsidR="00AC30B0">
        <w:rPr>
          <w:rFonts w:ascii="Times New Roman" w:hAnsi="Times New Roman" w:cs="Times New Roman"/>
        </w:rPr>
        <w:t xml:space="preserve">which accounts for </w:t>
      </w:r>
      <w:r w:rsidR="006F3690">
        <w:rPr>
          <w:rFonts w:ascii="Times New Roman" w:hAnsi="Times New Roman" w:cs="Times New Roman"/>
        </w:rPr>
        <w:t>1.15</w:t>
      </w:r>
      <w:r w:rsidR="00AC30B0">
        <w:rPr>
          <w:rFonts w:ascii="Times New Roman" w:hAnsi="Times New Roman" w:cs="Times New Roman"/>
        </w:rPr>
        <w:t xml:space="preserve">% of </w:t>
      </w:r>
      <w:r w:rsidR="006F3690">
        <w:rPr>
          <w:rFonts w:ascii="Times New Roman" w:hAnsi="Times New Roman" w:cs="Times New Roman"/>
        </w:rPr>
        <w:t>total U.S. domestic production value in the 2030 GTAP baseline</w:t>
      </w:r>
      <w:r w:rsidR="00FC1CFB">
        <w:rPr>
          <w:rFonts w:ascii="Times New Roman" w:hAnsi="Times New Roman" w:cs="Times New Roman"/>
        </w:rPr>
        <w:t xml:space="preserve">, </w:t>
      </w:r>
      <w:r w:rsidRPr="00EC0FBB">
        <w:rPr>
          <w:rFonts w:ascii="Times New Roman" w:hAnsi="Times New Roman" w:cs="Times New Roman"/>
        </w:rPr>
        <w:t>is retained to capture upstream agricultural linkages but does not receive a direct GLP-1-induced household-demand shock. Energy-producing and energy-intensive sectors are retained to preserve input-output and emissions channels, while the remaining manufacturing and service activities are grouped into a residual sector. Direct private-household demand informed the food-sector aggregation, and Table S13 reports the resulting 16-sector concordance with the Central Product Classification, Version 2.1, and the International Standard Industrial Classification of All Economic Activities, Revision 4.</w:t>
      </w:r>
    </w:p>
    <w:p w14:paraId="0764829D" w14:textId="3A0559CC" w:rsidR="005A69E3" w:rsidRDefault="005A69E3" w:rsidP="005A69E3">
      <w:pPr>
        <w:spacing w:before="120" w:after="0" w:line="480" w:lineRule="auto"/>
        <w:ind w:firstLine="720"/>
        <w:jc w:val="both"/>
        <w:rPr>
          <w:rFonts w:ascii="Times New Roman" w:hAnsi="Times New Roman" w:cs="Times New Roman"/>
        </w:rPr>
      </w:pPr>
      <w:r w:rsidRPr="005A69E3">
        <w:rPr>
          <w:rFonts w:ascii="Times New Roman" w:hAnsi="Times New Roman" w:cs="Times New Roman"/>
        </w:rPr>
        <w:t>The GLP-1-induced food-demand pathways are mapped to private-household purchases of the nine directly matched GTAP food composites. These nine sectors therefore receive the exogenous household-demand changes described below, whereas Other Agricultural Products and the remaining energy, manufacturing and service sectors do not receive direct GLP-1 demand shocks. These unshocked sectors can nevertheless respond endogenously through changes in intermediate demand, production, prices, trade and factor use. Food-service activities are not separately assigned a GLP-1 dietary-response pathway and can therefore be affected only through the general-equilibrium adjustments generated elsewhere in the model.</w:t>
      </w:r>
    </w:p>
    <w:tbl>
      <w:tblPr>
        <w:tblStyle w:val="TableGrid"/>
        <w:tblW w:w="5243" w:type="pct"/>
        <w:tblInd w:w="0" w:type="dxa"/>
        <w:tblLayout w:type="fixed"/>
        <w:tblLook w:val="04A0" w:firstRow="1" w:lastRow="0" w:firstColumn="1" w:lastColumn="0" w:noHBand="0" w:noVBand="1"/>
      </w:tblPr>
      <w:tblGrid>
        <w:gridCol w:w="536"/>
        <w:gridCol w:w="1171"/>
        <w:gridCol w:w="1978"/>
        <w:gridCol w:w="4141"/>
        <w:gridCol w:w="1978"/>
      </w:tblGrid>
      <w:tr w:rsidR="00E5645F" w:rsidRPr="00534AC7" w14:paraId="1FF72442" w14:textId="6ADE8DDF" w:rsidTr="00B4204D">
        <w:trPr>
          <w:trHeight w:val="391"/>
        </w:trPr>
        <w:tc>
          <w:tcPr>
            <w:tcW w:w="5000" w:type="pct"/>
            <w:gridSpan w:val="5"/>
            <w:noWrap/>
          </w:tcPr>
          <w:p w14:paraId="76F5A6FC" w14:textId="7E577B4D" w:rsidR="00E5645F" w:rsidRPr="00534AC7" w:rsidRDefault="00E5645F" w:rsidP="000F788A">
            <w:pPr>
              <w:rPr>
                <w:rFonts w:ascii="Times New Roman" w:eastAsia="Times New Roman" w:hAnsi="Times New Roman" w:cs="Times New Roman"/>
                <w:b/>
                <w:bCs/>
                <w:color w:val="000000"/>
                <w:kern w:val="0"/>
                <w14:ligatures w14:val="none"/>
              </w:rPr>
            </w:pPr>
            <w:r w:rsidRPr="00534AC7">
              <w:rPr>
                <w:rFonts w:ascii="Times New Roman" w:eastAsia="Times New Roman" w:hAnsi="Times New Roman" w:cs="Times New Roman"/>
                <w:b/>
                <w:bCs/>
                <w:color w:val="000000"/>
                <w:kern w:val="0"/>
                <w14:ligatures w14:val="none"/>
              </w:rPr>
              <w:t xml:space="preserve">Table </w:t>
            </w:r>
            <w:r>
              <w:rPr>
                <w:rFonts w:ascii="Times New Roman" w:eastAsia="Times New Roman" w:hAnsi="Times New Roman" w:cs="Times New Roman"/>
                <w:b/>
                <w:bCs/>
                <w:color w:val="000000"/>
                <w:kern w:val="0"/>
                <w14:ligatures w14:val="none"/>
              </w:rPr>
              <w:t>S13</w:t>
            </w:r>
            <w:r w:rsidRPr="00534AC7">
              <w:rPr>
                <w:rFonts w:ascii="Times New Roman" w:eastAsia="Times New Roman" w:hAnsi="Times New Roman" w:cs="Times New Roman"/>
                <w:b/>
                <w:bCs/>
                <w:color w:val="000000"/>
                <w:kern w:val="0"/>
                <w14:ligatures w14:val="none"/>
              </w:rPr>
              <w:t xml:space="preserve">. </w:t>
            </w:r>
            <w:r>
              <w:rPr>
                <w:rFonts w:ascii="Times New Roman" w:eastAsia="Times New Roman" w:hAnsi="Times New Roman" w:cs="Times New Roman"/>
                <w:b/>
                <w:bCs/>
                <w:color w:val="000000"/>
                <w:kern w:val="0"/>
                <w14:ligatures w14:val="none"/>
              </w:rPr>
              <w:t xml:space="preserve">Sectors </w:t>
            </w:r>
            <w:r w:rsidRPr="00534AC7">
              <w:rPr>
                <w:rFonts w:ascii="Times New Roman" w:eastAsia="Times New Roman" w:hAnsi="Times New Roman" w:cs="Times New Roman"/>
                <w:b/>
                <w:bCs/>
                <w:color w:val="000000"/>
                <w:kern w:val="0"/>
                <w14:ligatures w14:val="none"/>
              </w:rPr>
              <w:t xml:space="preserve">Aggregation </w:t>
            </w:r>
            <w:r>
              <w:rPr>
                <w:rFonts w:ascii="Times New Roman" w:eastAsia="Times New Roman" w:hAnsi="Times New Roman" w:cs="Times New Roman"/>
                <w:b/>
                <w:bCs/>
                <w:color w:val="000000"/>
                <w:kern w:val="0"/>
                <w14:ligatures w14:val="none"/>
              </w:rPr>
              <w:t>in</w:t>
            </w:r>
            <w:r w:rsidRPr="00534AC7">
              <w:rPr>
                <w:rFonts w:ascii="Times New Roman" w:eastAsia="Times New Roman" w:hAnsi="Times New Roman" w:cs="Times New Roman"/>
                <w:b/>
                <w:bCs/>
                <w:color w:val="000000"/>
                <w:kern w:val="0"/>
                <w14:ligatures w14:val="none"/>
              </w:rPr>
              <w:t xml:space="preserve"> GTAP Data Base</w:t>
            </w:r>
          </w:p>
        </w:tc>
      </w:tr>
      <w:tr w:rsidR="00E5645F" w:rsidRPr="00534AC7" w14:paraId="477DE5B9" w14:textId="41D70B25" w:rsidTr="00B4204D">
        <w:trPr>
          <w:trHeight w:val="391"/>
        </w:trPr>
        <w:tc>
          <w:tcPr>
            <w:tcW w:w="273" w:type="pct"/>
            <w:noWrap/>
            <w:vAlign w:val="center"/>
            <w:hideMark/>
          </w:tcPr>
          <w:p w14:paraId="77227460" w14:textId="77777777" w:rsidR="00E5645F" w:rsidRPr="00CE0778" w:rsidRDefault="00E5645F" w:rsidP="000C0EEC">
            <w:pPr>
              <w:rPr>
                <w:rFonts w:ascii="Times New Roman" w:eastAsia="Times New Roman" w:hAnsi="Times New Roman" w:cs="Times New Roman"/>
                <w:kern w:val="0"/>
                <w14:ligatures w14:val="none"/>
              </w:rPr>
            </w:pPr>
          </w:p>
        </w:tc>
        <w:tc>
          <w:tcPr>
            <w:tcW w:w="597" w:type="pct"/>
            <w:noWrap/>
            <w:vAlign w:val="center"/>
            <w:hideMark/>
          </w:tcPr>
          <w:p w14:paraId="7FD77C6F" w14:textId="77777777" w:rsidR="00E5645F" w:rsidRPr="00CE0778" w:rsidRDefault="00E5645F" w:rsidP="000C0EEC">
            <w:pPr>
              <w:rPr>
                <w:rFonts w:ascii="Times New Roman" w:eastAsia="Times New Roman" w:hAnsi="Times New Roman" w:cs="Times New Roman"/>
                <w:b/>
                <w:bCs/>
                <w:color w:val="000000"/>
                <w:kern w:val="0"/>
                <w14:ligatures w14:val="none"/>
              </w:rPr>
            </w:pPr>
            <w:r w:rsidRPr="00CE0778">
              <w:rPr>
                <w:rFonts w:ascii="Times New Roman" w:eastAsia="Times New Roman" w:hAnsi="Times New Roman" w:cs="Times New Roman"/>
                <w:b/>
                <w:bCs/>
                <w:color w:val="000000"/>
                <w:kern w:val="0"/>
                <w14:ligatures w14:val="none"/>
              </w:rPr>
              <w:t>Sector</w:t>
            </w:r>
          </w:p>
        </w:tc>
        <w:tc>
          <w:tcPr>
            <w:tcW w:w="1009" w:type="pct"/>
            <w:noWrap/>
            <w:vAlign w:val="center"/>
            <w:hideMark/>
          </w:tcPr>
          <w:p w14:paraId="08CDAE61" w14:textId="77777777" w:rsidR="00E5645F" w:rsidRPr="00CE0778" w:rsidRDefault="00E5645F" w:rsidP="000C0EEC">
            <w:pPr>
              <w:rPr>
                <w:rFonts w:ascii="Times New Roman" w:eastAsia="Times New Roman" w:hAnsi="Times New Roman" w:cs="Times New Roman"/>
                <w:b/>
                <w:bCs/>
                <w:color w:val="000000"/>
                <w:kern w:val="0"/>
                <w14:ligatures w14:val="none"/>
              </w:rPr>
            </w:pPr>
            <w:r w:rsidRPr="00CE0778">
              <w:rPr>
                <w:rFonts w:ascii="Times New Roman" w:eastAsia="Times New Roman" w:hAnsi="Times New Roman" w:cs="Times New Roman"/>
                <w:b/>
                <w:bCs/>
                <w:color w:val="000000"/>
                <w:kern w:val="0"/>
                <w14:ligatures w14:val="none"/>
              </w:rPr>
              <w:t>Food Categories</w:t>
            </w:r>
          </w:p>
        </w:tc>
        <w:tc>
          <w:tcPr>
            <w:tcW w:w="2112" w:type="pct"/>
            <w:noWrap/>
            <w:vAlign w:val="center"/>
            <w:hideMark/>
          </w:tcPr>
          <w:p w14:paraId="165B4BF6" w14:textId="77777777" w:rsidR="00E5645F" w:rsidRPr="00CE0778" w:rsidRDefault="00E5645F" w:rsidP="000C0EEC">
            <w:pPr>
              <w:rPr>
                <w:rFonts w:ascii="Times New Roman" w:eastAsia="Times New Roman" w:hAnsi="Times New Roman" w:cs="Times New Roman"/>
                <w:b/>
                <w:bCs/>
                <w:color w:val="000000"/>
                <w:kern w:val="0"/>
                <w14:ligatures w14:val="none"/>
              </w:rPr>
            </w:pPr>
            <w:r w:rsidRPr="00CE0778">
              <w:rPr>
                <w:rFonts w:ascii="Times New Roman" w:eastAsia="Times New Roman" w:hAnsi="Times New Roman" w:cs="Times New Roman"/>
                <w:b/>
                <w:bCs/>
                <w:color w:val="000000"/>
                <w:kern w:val="0"/>
                <w14:ligatures w14:val="none"/>
              </w:rPr>
              <w:t>Description (CPC v2.1/ISIC Rev.4)</w:t>
            </w:r>
          </w:p>
        </w:tc>
        <w:tc>
          <w:tcPr>
            <w:tcW w:w="1009" w:type="pct"/>
            <w:vAlign w:val="center"/>
          </w:tcPr>
          <w:p w14:paraId="71D35BBC" w14:textId="199AE62E" w:rsidR="00E5645F" w:rsidRPr="00CE0778" w:rsidRDefault="00CE0778" w:rsidP="000C0EEC">
            <w:pPr>
              <w:rPr>
                <w:rFonts w:ascii="Times New Roman" w:eastAsia="Times New Roman" w:hAnsi="Times New Roman" w:cs="Times New Roman"/>
                <w:b/>
                <w:bCs/>
                <w:color w:val="000000"/>
                <w:kern w:val="0"/>
                <w14:ligatures w14:val="none"/>
              </w:rPr>
            </w:pPr>
            <w:r w:rsidRPr="00CE0778">
              <w:rPr>
                <w:rFonts w:ascii="Times New Roman" w:eastAsia="Times New Roman" w:hAnsi="Times New Roman" w:cs="Times New Roman"/>
                <w:b/>
                <w:bCs/>
                <w:color w:val="000000"/>
                <w:kern w:val="0"/>
                <w14:ligatures w14:val="none"/>
              </w:rPr>
              <w:t>Direct GLP-1 demand shock</w:t>
            </w:r>
          </w:p>
        </w:tc>
      </w:tr>
      <w:tr w:rsidR="00E5645F" w:rsidRPr="00534AC7" w14:paraId="4DDE8967" w14:textId="14A23D6B" w:rsidTr="00B4204D">
        <w:trPr>
          <w:trHeight w:val="562"/>
        </w:trPr>
        <w:tc>
          <w:tcPr>
            <w:tcW w:w="273" w:type="pct"/>
            <w:noWrap/>
            <w:vAlign w:val="center"/>
          </w:tcPr>
          <w:p w14:paraId="2662A186" w14:textId="5A163BE3" w:rsidR="00E5645F" w:rsidRPr="00CE0778" w:rsidRDefault="00E5645F"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1</w:t>
            </w:r>
          </w:p>
        </w:tc>
        <w:tc>
          <w:tcPr>
            <w:tcW w:w="597" w:type="pct"/>
            <w:noWrap/>
            <w:vAlign w:val="center"/>
          </w:tcPr>
          <w:p w14:paraId="30DB642D" w14:textId="3AE48C7B" w:rsidR="00E5645F" w:rsidRPr="00CE0778" w:rsidRDefault="00E5645F"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Cereals</w:t>
            </w:r>
          </w:p>
        </w:tc>
        <w:tc>
          <w:tcPr>
            <w:tcW w:w="1009" w:type="pct"/>
            <w:noWrap/>
            <w:vAlign w:val="center"/>
          </w:tcPr>
          <w:p w14:paraId="6B9EEBA9" w14:textId="276337F2" w:rsidR="00E5645F" w:rsidRPr="00CE0778" w:rsidRDefault="00E5645F"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 xml:space="preserve">Cereal grains nec  </w:t>
            </w:r>
          </w:p>
        </w:tc>
        <w:tc>
          <w:tcPr>
            <w:tcW w:w="2112" w:type="pct"/>
            <w:vAlign w:val="center"/>
          </w:tcPr>
          <w:p w14:paraId="4AC3A004" w14:textId="12A0B2B3" w:rsidR="00E5645F" w:rsidRPr="00CE0778" w:rsidRDefault="00E5645F"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Cereal grains not elsewhere classified</w:t>
            </w:r>
            <w:r w:rsidR="00086C70">
              <w:rPr>
                <w:rFonts w:ascii="Times New Roman" w:eastAsia="Times New Roman" w:hAnsi="Times New Roman" w:cs="Times New Roman"/>
                <w:color w:val="000000"/>
                <w:kern w:val="0"/>
                <w14:ligatures w14:val="none"/>
              </w:rPr>
              <w:t xml:space="preserve"> (</w:t>
            </w:r>
            <w:proofErr w:type="spellStart"/>
            <w:r w:rsidR="00086C70">
              <w:rPr>
                <w:rFonts w:ascii="Times New Roman" w:eastAsia="Times New Roman" w:hAnsi="Times New Roman" w:cs="Times New Roman"/>
                <w:color w:val="000000"/>
                <w:kern w:val="0"/>
                <w14:ligatures w14:val="none"/>
              </w:rPr>
              <w:t>n</w:t>
            </w:r>
            <w:r w:rsidR="009F6E89">
              <w:rPr>
                <w:rFonts w:ascii="Times New Roman" w:eastAsia="Times New Roman" w:hAnsi="Times New Roman" w:cs="Times New Roman"/>
                <w:color w:val="000000"/>
                <w:kern w:val="0"/>
                <w14:ligatures w14:val="none"/>
              </w:rPr>
              <w:t>.</w:t>
            </w:r>
            <w:r w:rsidR="00086C70">
              <w:rPr>
                <w:rFonts w:ascii="Times New Roman" w:eastAsia="Times New Roman" w:hAnsi="Times New Roman" w:cs="Times New Roman"/>
                <w:color w:val="000000"/>
                <w:kern w:val="0"/>
                <w14:ligatures w14:val="none"/>
              </w:rPr>
              <w:t>e</w:t>
            </w:r>
            <w:r w:rsidR="009F6E89">
              <w:rPr>
                <w:rFonts w:ascii="Times New Roman" w:eastAsia="Times New Roman" w:hAnsi="Times New Roman" w:cs="Times New Roman"/>
                <w:color w:val="000000"/>
                <w:kern w:val="0"/>
                <w14:ligatures w14:val="none"/>
              </w:rPr>
              <w:t>.</w:t>
            </w:r>
            <w:r w:rsidR="00086C70">
              <w:rPr>
                <w:rFonts w:ascii="Times New Roman" w:eastAsia="Times New Roman" w:hAnsi="Times New Roman" w:cs="Times New Roman"/>
                <w:color w:val="000000"/>
                <w:kern w:val="0"/>
                <w14:ligatures w14:val="none"/>
              </w:rPr>
              <w:t>c</w:t>
            </w:r>
            <w:r w:rsidR="009F6E89">
              <w:rPr>
                <w:rFonts w:ascii="Times New Roman" w:eastAsia="Times New Roman" w:hAnsi="Times New Roman" w:cs="Times New Roman"/>
                <w:color w:val="000000"/>
                <w:kern w:val="0"/>
                <w14:ligatures w14:val="none"/>
              </w:rPr>
              <w:t>.</w:t>
            </w:r>
            <w:proofErr w:type="spellEnd"/>
            <w:r w:rsidR="00086C70">
              <w:rPr>
                <w:rFonts w:ascii="Times New Roman" w:eastAsia="Times New Roman" w:hAnsi="Times New Roman" w:cs="Times New Roman"/>
                <w:color w:val="000000"/>
                <w:kern w:val="0"/>
                <w14:ligatures w14:val="none"/>
              </w:rPr>
              <w:t>)</w:t>
            </w:r>
            <w:r w:rsidRPr="00CE0778">
              <w:rPr>
                <w:rFonts w:ascii="Times New Roman" w:eastAsia="Times New Roman" w:hAnsi="Times New Roman" w:cs="Times New Roman"/>
                <w:color w:val="000000"/>
                <w:kern w:val="0"/>
                <w14:ligatures w14:val="none"/>
              </w:rPr>
              <w:t>, such as barley, maize (corn), rye, oats, millet, sorghum, buckwheat, quinoa, triticale, and other cereals except paddy rice (0113) and wheat (0111). CPC codes include 0112, 0114–0119</w:t>
            </w:r>
            <w:r w:rsidRPr="00CE0778">
              <w:rPr>
                <w:rFonts w:ascii="Times New Roman" w:eastAsia="Times New Roman" w:hAnsi="Times New Roman" w:cs="Times New Roman"/>
                <w:color w:val="EE0000"/>
                <w:kern w:val="0"/>
                <w14:ligatures w14:val="none"/>
              </w:rPr>
              <w:t>.</w:t>
            </w:r>
            <w:r w:rsidRPr="00CE0778">
              <w:rPr>
                <w:rFonts w:ascii="Times New Roman" w:hAnsi="Times New Roman" w:cs="Times New Roman"/>
                <w:color w:val="EE0000"/>
              </w:rPr>
              <w:t xml:space="preserve"> </w:t>
            </w:r>
            <w:r w:rsidRPr="00CE0778">
              <w:rPr>
                <w:rFonts w:ascii="Times New Roman" w:eastAsia="Times New Roman" w:hAnsi="Times New Roman" w:cs="Times New Roman"/>
                <w:kern w:val="0"/>
                <w14:ligatures w14:val="none"/>
              </w:rPr>
              <w:t>paddy rice (0113), wheat (0111)</w:t>
            </w:r>
          </w:p>
        </w:tc>
        <w:tc>
          <w:tcPr>
            <w:tcW w:w="1009" w:type="pct"/>
            <w:vAlign w:val="center"/>
          </w:tcPr>
          <w:p w14:paraId="2F1AE054" w14:textId="1E0185F4"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CE0778" w:rsidRPr="00534AC7" w14:paraId="5EDF0170" w14:textId="5B17FDA2" w:rsidTr="00B4204D">
        <w:trPr>
          <w:trHeight w:val="562"/>
        </w:trPr>
        <w:tc>
          <w:tcPr>
            <w:tcW w:w="273" w:type="pct"/>
            <w:noWrap/>
            <w:vAlign w:val="center"/>
            <w:hideMark/>
          </w:tcPr>
          <w:p w14:paraId="43E2BD61" w14:textId="57E22A35"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2</w:t>
            </w:r>
          </w:p>
        </w:tc>
        <w:tc>
          <w:tcPr>
            <w:tcW w:w="597" w:type="pct"/>
            <w:noWrap/>
            <w:vAlign w:val="center"/>
            <w:hideMark/>
          </w:tcPr>
          <w:p w14:paraId="6C87FD8A" w14:textId="1A4A7B28"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Fruit &amp; Veg</w:t>
            </w:r>
          </w:p>
        </w:tc>
        <w:tc>
          <w:tcPr>
            <w:tcW w:w="1009" w:type="pct"/>
            <w:noWrap/>
            <w:vAlign w:val="center"/>
            <w:hideMark/>
          </w:tcPr>
          <w:p w14:paraId="38168607"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Vegetables, fruit, nuts</w:t>
            </w:r>
          </w:p>
        </w:tc>
        <w:tc>
          <w:tcPr>
            <w:tcW w:w="2112" w:type="pct"/>
            <w:vAlign w:val="center"/>
            <w:hideMark/>
          </w:tcPr>
          <w:p w14:paraId="22EC50A8"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Fresh or chilled vegetables (012), fruits and nuts (013), leguminous vegetables (015), and edible roots/tubers (017); includes unprocessed produce for direct consumption or further processing.</w:t>
            </w:r>
          </w:p>
        </w:tc>
        <w:tc>
          <w:tcPr>
            <w:tcW w:w="1009" w:type="pct"/>
            <w:vAlign w:val="center"/>
          </w:tcPr>
          <w:p w14:paraId="426A21AB" w14:textId="0990D2DE"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CE0778" w:rsidRPr="00534AC7" w14:paraId="46DDC7D9" w14:textId="727C8526" w:rsidTr="00B4204D">
        <w:trPr>
          <w:trHeight w:val="562"/>
        </w:trPr>
        <w:tc>
          <w:tcPr>
            <w:tcW w:w="273" w:type="pct"/>
            <w:noWrap/>
            <w:vAlign w:val="center"/>
            <w:hideMark/>
          </w:tcPr>
          <w:p w14:paraId="2C471FAC" w14:textId="57EA9CAA"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3</w:t>
            </w:r>
          </w:p>
        </w:tc>
        <w:tc>
          <w:tcPr>
            <w:tcW w:w="597" w:type="pct"/>
            <w:noWrap/>
            <w:vAlign w:val="center"/>
            <w:hideMark/>
          </w:tcPr>
          <w:p w14:paraId="3F96D83C" w14:textId="49DF9F9A"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Fish &amp; Seafood</w:t>
            </w:r>
          </w:p>
        </w:tc>
        <w:tc>
          <w:tcPr>
            <w:tcW w:w="1009" w:type="pct"/>
            <w:noWrap/>
            <w:vAlign w:val="center"/>
            <w:hideMark/>
          </w:tcPr>
          <w:p w14:paraId="18F24BF8"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Fishing</w:t>
            </w:r>
          </w:p>
        </w:tc>
        <w:tc>
          <w:tcPr>
            <w:tcW w:w="2112" w:type="pct"/>
            <w:vAlign w:val="center"/>
            <w:hideMark/>
          </w:tcPr>
          <w:p w14:paraId="4F032636"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Capture fishery products from ocean, coastal, and inland waters for human consumption and other uses (ISIC 031, 032). Includes aquaculture outputs.</w:t>
            </w:r>
          </w:p>
        </w:tc>
        <w:tc>
          <w:tcPr>
            <w:tcW w:w="1009" w:type="pct"/>
            <w:vAlign w:val="center"/>
          </w:tcPr>
          <w:p w14:paraId="2E0CF5D2" w14:textId="13F64E1E"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CE0778" w:rsidRPr="00534AC7" w14:paraId="4FE6DBF8" w14:textId="7B21D096" w:rsidTr="00B4204D">
        <w:trPr>
          <w:trHeight w:val="843"/>
        </w:trPr>
        <w:tc>
          <w:tcPr>
            <w:tcW w:w="273" w:type="pct"/>
            <w:noWrap/>
            <w:vAlign w:val="center"/>
            <w:hideMark/>
          </w:tcPr>
          <w:p w14:paraId="4548AEB1" w14:textId="4B12879D"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4</w:t>
            </w:r>
          </w:p>
        </w:tc>
        <w:tc>
          <w:tcPr>
            <w:tcW w:w="597" w:type="pct"/>
            <w:noWrap/>
            <w:vAlign w:val="center"/>
            <w:hideMark/>
          </w:tcPr>
          <w:p w14:paraId="1062947F" w14:textId="39DF5190"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Meat &amp; Meat products</w:t>
            </w:r>
          </w:p>
        </w:tc>
        <w:tc>
          <w:tcPr>
            <w:tcW w:w="1009" w:type="pct"/>
            <w:noWrap/>
            <w:vAlign w:val="center"/>
            <w:hideMark/>
          </w:tcPr>
          <w:p w14:paraId="30E77799" w14:textId="6C70092A"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Meat and Meat products</w:t>
            </w:r>
          </w:p>
        </w:tc>
        <w:tc>
          <w:tcPr>
            <w:tcW w:w="2112" w:type="pct"/>
            <w:vAlign w:val="center"/>
            <w:hideMark/>
          </w:tcPr>
          <w:p w14:paraId="548365D7"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Fresh, chilled, or frozen bovine meat and edible offal (21111, 21112, 21115-21119, 2113, 2115); Fresh, chilled, or frozen meat from pigs, poultry, and other animals, plus edible offal (21113, 21114, 2112, 2116-2119).</w:t>
            </w:r>
          </w:p>
        </w:tc>
        <w:tc>
          <w:tcPr>
            <w:tcW w:w="1009" w:type="pct"/>
            <w:vAlign w:val="center"/>
          </w:tcPr>
          <w:p w14:paraId="5B4C0DB1" w14:textId="6B1F829A"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CE0778" w:rsidRPr="00534AC7" w14:paraId="18B01B46" w14:textId="2D649EFB" w:rsidTr="00B4204D">
        <w:trPr>
          <w:trHeight w:val="562"/>
        </w:trPr>
        <w:tc>
          <w:tcPr>
            <w:tcW w:w="273" w:type="pct"/>
            <w:noWrap/>
            <w:vAlign w:val="center"/>
          </w:tcPr>
          <w:p w14:paraId="2A35236C" w14:textId="20E9667B"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5</w:t>
            </w:r>
          </w:p>
        </w:tc>
        <w:tc>
          <w:tcPr>
            <w:tcW w:w="597" w:type="pct"/>
            <w:noWrap/>
            <w:vAlign w:val="center"/>
          </w:tcPr>
          <w:p w14:paraId="539CC2C5" w14:textId="78B35C1C"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Veg Oil &amp; Fats</w:t>
            </w:r>
          </w:p>
        </w:tc>
        <w:tc>
          <w:tcPr>
            <w:tcW w:w="1009" w:type="pct"/>
            <w:noWrap/>
            <w:vAlign w:val="center"/>
          </w:tcPr>
          <w:p w14:paraId="3FE8E5EB" w14:textId="13E19E8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Vegetable oils and fats</w:t>
            </w:r>
          </w:p>
        </w:tc>
        <w:tc>
          <w:tcPr>
            <w:tcW w:w="2112" w:type="pct"/>
            <w:vAlign w:val="center"/>
          </w:tcPr>
          <w:p w14:paraId="64C946DB" w14:textId="518B5A5D"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Crude/refined vegetable oils and fats, margarine (215-219).</w:t>
            </w:r>
          </w:p>
        </w:tc>
        <w:tc>
          <w:tcPr>
            <w:tcW w:w="1009" w:type="pct"/>
            <w:vAlign w:val="center"/>
          </w:tcPr>
          <w:p w14:paraId="0833DF6D" w14:textId="32E24682"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CE0778" w:rsidRPr="00534AC7" w14:paraId="091A44B7" w14:textId="38741668" w:rsidTr="00B4204D">
        <w:trPr>
          <w:trHeight w:val="562"/>
        </w:trPr>
        <w:tc>
          <w:tcPr>
            <w:tcW w:w="273" w:type="pct"/>
            <w:noWrap/>
            <w:vAlign w:val="center"/>
            <w:hideMark/>
          </w:tcPr>
          <w:p w14:paraId="6691A464" w14:textId="5A10D79F"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6</w:t>
            </w:r>
          </w:p>
        </w:tc>
        <w:tc>
          <w:tcPr>
            <w:tcW w:w="597" w:type="pct"/>
            <w:noWrap/>
            <w:vAlign w:val="center"/>
            <w:hideMark/>
          </w:tcPr>
          <w:p w14:paraId="7C5C6E5C" w14:textId="66F5A178"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Dairy</w:t>
            </w:r>
          </w:p>
        </w:tc>
        <w:tc>
          <w:tcPr>
            <w:tcW w:w="1009" w:type="pct"/>
            <w:noWrap/>
            <w:vAlign w:val="center"/>
            <w:hideMark/>
          </w:tcPr>
          <w:p w14:paraId="0102BE0E"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Dairy products</w:t>
            </w:r>
          </w:p>
        </w:tc>
        <w:tc>
          <w:tcPr>
            <w:tcW w:w="2112" w:type="pct"/>
            <w:vAlign w:val="center"/>
            <w:hideMark/>
          </w:tcPr>
          <w:p w14:paraId="3515318A"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Milk, cream, butter, cheese, yogurt, and other dairy products; hen eggs, preserved or processed (22).</w:t>
            </w:r>
          </w:p>
        </w:tc>
        <w:tc>
          <w:tcPr>
            <w:tcW w:w="1009" w:type="pct"/>
            <w:vAlign w:val="center"/>
          </w:tcPr>
          <w:p w14:paraId="588C5890" w14:textId="2DB7A6BE"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CE0778" w:rsidRPr="00534AC7" w14:paraId="6447490A" w14:textId="0FE85FD2" w:rsidTr="00B4204D">
        <w:trPr>
          <w:trHeight w:val="291"/>
        </w:trPr>
        <w:tc>
          <w:tcPr>
            <w:tcW w:w="273" w:type="pct"/>
            <w:noWrap/>
            <w:vAlign w:val="center"/>
            <w:hideMark/>
          </w:tcPr>
          <w:p w14:paraId="53181C2B" w14:textId="151DE3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7</w:t>
            </w:r>
          </w:p>
        </w:tc>
        <w:tc>
          <w:tcPr>
            <w:tcW w:w="597" w:type="pct"/>
            <w:noWrap/>
            <w:vAlign w:val="center"/>
            <w:hideMark/>
          </w:tcPr>
          <w:p w14:paraId="5EFD8D30" w14:textId="16370442"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Sugar &amp; Sugar products</w:t>
            </w:r>
          </w:p>
        </w:tc>
        <w:tc>
          <w:tcPr>
            <w:tcW w:w="1009" w:type="pct"/>
            <w:noWrap/>
            <w:vAlign w:val="center"/>
            <w:hideMark/>
          </w:tcPr>
          <w:p w14:paraId="401E5609"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Sugar</w:t>
            </w:r>
          </w:p>
        </w:tc>
        <w:tc>
          <w:tcPr>
            <w:tcW w:w="2112" w:type="pct"/>
            <w:noWrap/>
            <w:vAlign w:val="center"/>
            <w:hideMark/>
          </w:tcPr>
          <w:p w14:paraId="71299BB4"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Raw and refined sugar from cane or beet, sugar syrups and molasses (235).</w:t>
            </w:r>
          </w:p>
        </w:tc>
        <w:tc>
          <w:tcPr>
            <w:tcW w:w="1009" w:type="pct"/>
            <w:vAlign w:val="center"/>
          </w:tcPr>
          <w:p w14:paraId="60B0C4A4" w14:textId="7984A5BB"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CE0778" w:rsidRPr="00534AC7" w14:paraId="6012F09C" w14:textId="50DC6055" w:rsidTr="00B4204D">
        <w:trPr>
          <w:trHeight w:val="291"/>
        </w:trPr>
        <w:tc>
          <w:tcPr>
            <w:tcW w:w="273" w:type="pct"/>
            <w:noWrap/>
            <w:vAlign w:val="center"/>
            <w:hideMark/>
          </w:tcPr>
          <w:p w14:paraId="51328B38" w14:textId="028B7141"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8</w:t>
            </w:r>
          </w:p>
        </w:tc>
        <w:tc>
          <w:tcPr>
            <w:tcW w:w="597" w:type="pct"/>
            <w:noWrap/>
            <w:vAlign w:val="center"/>
            <w:hideMark/>
          </w:tcPr>
          <w:p w14:paraId="1B13C607" w14:textId="33F72143"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Bev &amp; Tobacco</w:t>
            </w:r>
          </w:p>
        </w:tc>
        <w:tc>
          <w:tcPr>
            <w:tcW w:w="1009" w:type="pct"/>
            <w:noWrap/>
            <w:vAlign w:val="center"/>
            <w:hideMark/>
          </w:tcPr>
          <w:p w14:paraId="60A0B67C"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Beverages and tobacco products</w:t>
            </w:r>
          </w:p>
        </w:tc>
        <w:tc>
          <w:tcPr>
            <w:tcW w:w="2112" w:type="pct"/>
            <w:noWrap/>
            <w:vAlign w:val="center"/>
            <w:hideMark/>
          </w:tcPr>
          <w:p w14:paraId="70469D71"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Alcoholic and non-alcoholic beverages (24), tobacco products (25).</w:t>
            </w:r>
          </w:p>
        </w:tc>
        <w:tc>
          <w:tcPr>
            <w:tcW w:w="1009" w:type="pct"/>
            <w:vAlign w:val="center"/>
          </w:tcPr>
          <w:p w14:paraId="31686B08" w14:textId="70D6E78C"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CE0778" w:rsidRPr="00534AC7" w14:paraId="253C9847" w14:textId="675E055A" w:rsidTr="00B4204D">
        <w:trPr>
          <w:trHeight w:val="291"/>
        </w:trPr>
        <w:tc>
          <w:tcPr>
            <w:tcW w:w="273" w:type="pct"/>
            <w:noWrap/>
            <w:vAlign w:val="center"/>
          </w:tcPr>
          <w:p w14:paraId="4A404FDF" w14:textId="0692D94B"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9</w:t>
            </w:r>
          </w:p>
        </w:tc>
        <w:tc>
          <w:tcPr>
            <w:tcW w:w="597" w:type="pct"/>
            <w:noWrap/>
            <w:vAlign w:val="center"/>
          </w:tcPr>
          <w:p w14:paraId="2044E81E" w14:textId="78945D96"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hAnsi="Times New Roman" w:cs="Times New Roman"/>
              </w:rPr>
              <w:t>Processed food &amp; others</w:t>
            </w:r>
          </w:p>
        </w:tc>
        <w:tc>
          <w:tcPr>
            <w:tcW w:w="1009" w:type="pct"/>
            <w:noWrap/>
            <w:vAlign w:val="center"/>
          </w:tcPr>
          <w:p w14:paraId="0E899307" w14:textId="66EEE710"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 xml:space="preserve">Food products </w:t>
            </w:r>
            <w:proofErr w:type="spellStart"/>
            <w:r w:rsidRPr="00CE0778">
              <w:rPr>
                <w:rFonts w:ascii="Times New Roman" w:eastAsia="Times New Roman" w:hAnsi="Times New Roman" w:cs="Times New Roman"/>
                <w:color w:val="000000"/>
                <w:kern w:val="0"/>
                <w14:ligatures w14:val="none"/>
              </w:rPr>
              <w:t>n.e.c.</w:t>
            </w:r>
            <w:proofErr w:type="spellEnd"/>
            <w:r w:rsidRPr="00CE0778">
              <w:rPr>
                <w:rFonts w:ascii="Times New Roman" w:eastAsia="Times New Roman" w:hAnsi="Times New Roman" w:cs="Times New Roman"/>
                <w:color w:val="000000"/>
                <w:kern w:val="0"/>
                <w14:ligatures w14:val="none"/>
              </w:rPr>
              <w:t xml:space="preserve"> (Other food that </w:t>
            </w:r>
            <w:proofErr w:type="gramStart"/>
            <w:r w:rsidRPr="00CE0778">
              <w:rPr>
                <w:rFonts w:ascii="Times New Roman" w:eastAsia="Times New Roman" w:hAnsi="Times New Roman" w:cs="Times New Roman"/>
                <w:color w:val="000000"/>
                <w:kern w:val="0"/>
                <w14:ligatures w14:val="none"/>
              </w:rPr>
              <w:t>not</w:t>
            </w:r>
            <w:proofErr w:type="gramEnd"/>
            <w:r w:rsidRPr="00CE0778">
              <w:rPr>
                <w:rFonts w:ascii="Times New Roman" w:eastAsia="Times New Roman" w:hAnsi="Times New Roman" w:cs="Times New Roman"/>
                <w:color w:val="000000"/>
                <w:kern w:val="0"/>
                <w14:ligatures w14:val="none"/>
              </w:rPr>
              <w:t xml:space="preserve"> elsewhere classified)</w:t>
            </w:r>
          </w:p>
        </w:tc>
        <w:tc>
          <w:tcPr>
            <w:tcW w:w="2112" w:type="pct"/>
            <w:noWrap/>
            <w:vAlign w:val="center"/>
          </w:tcPr>
          <w:p w14:paraId="4527B561" w14:textId="7777777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Prepared and preserved foods not elsewhere classified (212-214, 2311-2314, 2317, 2318, 232-234, 236-239), including bakery products, pasta, ready-to-eat meals, condiments, and seasonings.</w:t>
            </w:r>
          </w:p>
          <w:p w14:paraId="4EDA3C00" w14:textId="4EBC3FD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sugar cane and sugar beet (018).</w:t>
            </w:r>
          </w:p>
        </w:tc>
        <w:tc>
          <w:tcPr>
            <w:tcW w:w="1009" w:type="pct"/>
            <w:vAlign w:val="center"/>
          </w:tcPr>
          <w:p w14:paraId="1D0037F2" w14:textId="7F7DE65C"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Yes</w:t>
            </w:r>
          </w:p>
        </w:tc>
      </w:tr>
      <w:tr w:rsidR="00E5645F" w:rsidRPr="00534AC7" w14:paraId="1F5B2D23" w14:textId="1694F25C" w:rsidTr="00B4204D">
        <w:trPr>
          <w:trHeight w:val="291"/>
        </w:trPr>
        <w:tc>
          <w:tcPr>
            <w:tcW w:w="273" w:type="pct"/>
            <w:noWrap/>
            <w:vAlign w:val="center"/>
          </w:tcPr>
          <w:p w14:paraId="6394A762" w14:textId="5BE8375E" w:rsidR="00E5645F" w:rsidRPr="00CE0778" w:rsidRDefault="00E5645F"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10</w:t>
            </w:r>
          </w:p>
        </w:tc>
        <w:tc>
          <w:tcPr>
            <w:tcW w:w="597" w:type="pct"/>
            <w:noWrap/>
            <w:vAlign w:val="center"/>
          </w:tcPr>
          <w:p w14:paraId="58E636FD" w14:textId="74E6F2BA" w:rsidR="00E5645F" w:rsidRPr="00CE0778" w:rsidRDefault="00E5645F"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Other Agricultural Products</w:t>
            </w:r>
          </w:p>
        </w:tc>
        <w:tc>
          <w:tcPr>
            <w:tcW w:w="1009" w:type="pct"/>
            <w:noWrap/>
            <w:vAlign w:val="center"/>
          </w:tcPr>
          <w:p w14:paraId="12D87755" w14:textId="0CCB65AB" w:rsidR="00E5645F" w:rsidRPr="00CE0778" w:rsidRDefault="00E5645F"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Livestock and agricultural products that not elsewhere classified</w:t>
            </w:r>
          </w:p>
        </w:tc>
        <w:tc>
          <w:tcPr>
            <w:tcW w:w="2112" w:type="pct"/>
            <w:noWrap/>
            <w:vAlign w:val="center"/>
          </w:tcPr>
          <w:p w14:paraId="1566AF2E" w14:textId="7E93D54E" w:rsidR="00E5645F" w:rsidRPr="00CE0778" w:rsidRDefault="00E5645F"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 xml:space="preserve">Bovine cattle, sheep and goats (0211-0213, 0299), animal products </w:t>
            </w:r>
            <w:proofErr w:type="spellStart"/>
            <w:r w:rsidRPr="00CE0778">
              <w:rPr>
                <w:rFonts w:ascii="Times New Roman" w:eastAsia="Times New Roman" w:hAnsi="Times New Roman" w:cs="Times New Roman"/>
                <w:color w:val="000000"/>
                <w:kern w:val="0"/>
                <w14:ligatures w14:val="none"/>
              </w:rPr>
              <w:t>n</w:t>
            </w:r>
            <w:r w:rsidR="0069075C">
              <w:rPr>
                <w:rFonts w:ascii="Times New Roman" w:eastAsia="Times New Roman" w:hAnsi="Times New Roman" w:cs="Times New Roman"/>
                <w:color w:val="000000"/>
                <w:kern w:val="0"/>
                <w14:ligatures w14:val="none"/>
              </w:rPr>
              <w:t>.</w:t>
            </w:r>
            <w:r w:rsidRPr="00CE0778">
              <w:rPr>
                <w:rFonts w:ascii="Times New Roman" w:eastAsia="Times New Roman" w:hAnsi="Times New Roman" w:cs="Times New Roman"/>
                <w:color w:val="000000"/>
                <w:kern w:val="0"/>
                <w14:ligatures w14:val="none"/>
              </w:rPr>
              <w:t>e</w:t>
            </w:r>
            <w:r w:rsidR="0069075C">
              <w:rPr>
                <w:rFonts w:ascii="Times New Roman" w:eastAsia="Times New Roman" w:hAnsi="Times New Roman" w:cs="Times New Roman"/>
                <w:color w:val="000000"/>
                <w:kern w:val="0"/>
                <w14:ligatures w14:val="none"/>
              </w:rPr>
              <w:t>.</w:t>
            </w:r>
            <w:r w:rsidRPr="00CE0778">
              <w:rPr>
                <w:rFonts w:ascii="Times New Roman" w:eastAsia="Times New Roman" w:hAnsi="Times New Roman" w:cs="Times New Roman"/>
                <w:color w:val="000000"/>
                <w:kern w:val="0"/>
                <w14:ligatures w14:val="none"/>
              </w:rPr>
              <w:t>c</w:t>
            </w:r>
            <w:r w:rsidR="0069075C">
              <w:rPr>
                <w:rFonts w:ascii="Times New Roman" w:eastAsia="Times New Roman" w:hAnsi="Times New Roman" w:cs="Times New Roman"/>
                <w:color w:val="000000"/>
                <w:kern w:val="0"/>
                <w14:ligatures w14:val="none"/>
              </w:rPr>
              <w:t>.</w:t>
            </w:r>
            <w:proofErr w:type="spellEnd"/>
            <w:r w:rsidRPr="00CE0778">
              <w:rPr>
                <w:rFonts w:ascii="Times New Roman" w:eastAsia="Times New Roman" w:hAnsi="Times New Roman" w:cs="Times New Roman"/>
                <w:color w:val="000000"/>
                <w:kern w:val="0"/>
                <w14:ligatures w14:val="none"/>
              </w:rPr>
              <w:t xml:space="preserve"> (0214, 0215, 0219, 023, 024, 0291-0293, 0295, 0296), raw milk (022), wool and silk-worm cocoons (0294), crops </w:t>
            </w:r>
            <w:proofErr w:type="spellStart"/>
            <w:r w:rsidRPr="00CE0778">
              <w:rPr>
                <w:rFonts w:ascii="Times New Roman" w:eastAsia="Times New Roman" w:hAnsi="Times New Roman" w:cs="Times New Roman"/>
                <w:color w:val="000000"/>
                <w:kern w:val="0"/>
                <w14:ligatures w14:val="none"/>
              </w:rPr>
              <w:t>n</w:t>
            </w:r>
            <w:r w:rsidR="0069075C">
              <w:rPr>
                <w:rFonts w:ascii="Times New Roman" w:eastAsia="Times New Roman" w:hAnsi="Times New Roman" w:cs="Times New Roman"/>
                <w:color w:val="000000"/>
                <w:kern w:val="0"/>
                <w14:ligatures w14:val="none"/>
              </w:rPr>
              <w:t>.</w:t>
            </w:r>
            <w:r w:rsidRPr="00CE0778">
              <w:rPr>
                <w:rFonts w:ascii="Times New Roman" w:eastAsia="Times New Roman" w:hAnsi="Times New Roman" w:cs="Times New Roman"/>
                <w:color w:val="000000"/>
                <w:kern w:val="0"/>
                <w14:ligatures w14:val="none"/>
              </w:rPr>
              <w:t>e</w:t>
            </w:r>
            <w:r w:rsidR="0069075C">
              <w:rPr>
                <w:rFonts w:ascii="Times New Roman" w:eastAsia="Times New Roman" w:hAnsi="Times New Roman" w:cs="Times New Roman"/>
                <w:color w:val="000000"/>
                <w:kern w:val="0"/>
                <w14:ligatures w14:val="none"/>
              </w:rPr>
              <w:t>.</w:t>
            </w:r>
            <w:r w:rsidRPr="00CE0778">
              <w:rPr>
                <w:rFonts w:ascii="Times New Roman" w:eastAsia="Times New Roman" w:hAnsi="Times New Roman" w:cs="Times New Roman"/>
                <w:color w:val="000000"/>
                <w:kern w:val="0"/>
                <w14:ligatures w14:val="none"/>
              </w:rPr>
              <w:t>c</w:t>
            </w:r>
            <w:r w:rsidR="0069075C">
              <w:rPr>
                <w:rFonts w:ascii="Times New Roman" w:eastAsia="Times New Roman" w:hAnsi="Times New Roman" w:cs="Times New Roman"/>
                <w:color w:val="000000"/>
                <w:kern w:val="0"/>
                <w14:ligatures w14:val="none"/>
              </w:rPr>
              <w:t>.</w:t>
            </w:r>
            <w:proofErr w:type="spellEnd"/>
            <w:r w:rsidRPr="00CE0778">
              <w:rPr>
                <w:rFonts w:ascii="Times New Roman" w:eastAsia="Times New Roman" w:hAnsi="Times New Roman" w:cs="Times New Roman"/>
                <w:color w:val="000000"/>
                <w:kern w:val="0"/>
                <w14:ligatures w14:val="none"/>
              </w:rPr>
              <w:t xml:space="preserve"> (016, 0191, 0193-0197, 0199), plant-based fibers (0192).</w:t>
            </w:r>
          </w:p>
        </w:tc>
        <w:tc>
          <w:tcPr>
            <w:tcW w:w="1009" w:type="pct"/>
            <w:vAlign w:val="center"/>
          </w:tcPr>
          <w:p w14:paraId="6B226758" w14:textId="0DA74179" w:rsidR="00E5645F"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No</w:t>
            </w:r>
          </w:p>
        </w:tc>
      </w:tr>
      <w:tr w:rsidR="00CE0778" w:rsidRPr="00534AC7" w14:paraId="7A112738" w14:textId="7655E6AF" w:rsidTr="00B4204D">
        <w:trPr>
          <w:trHeight w:val="291"/>
        </w:trPr>
        <w:tc>
          <w:tcPr>
            <w:tcW w:w="273" w:type="pct"/>
            <w:noWrap/>
            <w:vAlign w:val="center"/>
          </w:tcPr>
          <w:p w14:paraId="0AB90D9D" w14:textId="1798AB2D"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11</w:t>
            </w:r>
          </w:p>
        </w:tc>
        <w:tc>
          <w:tcPr>
            <w:tcW w:w="597" w:type="pct"/>
            <w:noWrap/>
            <w:vAlign w:val="center"/>
          </w:tcPr>
          <w:p w14:paraId="784BE87E" w14:textId="23AB56C6"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Coal</w:t>
            </w:r>
          </w:p>
        </w:tc>
        <w:tc>
          <w:tcPr>
            <w:tcW w:w="1009" w:type="pct"/>
            <w:noWrap/>
            <w:vAlign w:val="center"/>
          </w:tcPr>
          <w:p w14:paraId="13232D47" w14:textId="7D8ADFEE"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Coal</w:t>
            </w:r>
          </w:p>
        </w:tc>
        <w:tc>
          <w:tcPr>
            <w:tcW w:w="2112" w:type="pct"/>
            <w:noWrap/>
            <w:vAlign w:val="center"/>
          </w:tcPr>
          <w:p w14:paraId="478CA7E0" w14:textId="11F74581"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Gas (ISIC 05)</w:t>
            </w:r>
          </w:p>
        </w:tc>
        <w:tc>
          <w:tcPr>
            <w:tcW w:w="1009" w:type="pct"/>
            <w:vAlign w:val="center"/>
          </w:tcPr>
          <w:p w14:paraId="587FB172" w14:textId="1CEE08FC"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No</w:t>
            </w:r>
          </w:p>
        </w:tc>
      </w:tr>
      <w:tr w:rsidR="00CE0778" w:rsidRPr="00534AC7" w14:paraId="7E5DCD55" w14:textId="1A791568" w:rsidTr="00B4204D">
        <w:trPr>
          <w:trHeight w:val="291"/>
        </w:trPr>
        <w:tc>
          <w:tcPr>
            <w:tcW w:w="273" w:type="pct"/>
            <w:noWrap/>
            <w:vAlign w:val="center"/>
          </w:tcPr>
          <w:p w14:paraId="72B0A505" w14:textId="0B915EA0"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12</w:t>
            </w:r>
          </w:p>
        </w:tc>
        <w:tc>
          <w:tcPr>
            <w:tcW w:w="597" w:type="pct"/>
            <w:noWrap/>
            <w:vAlign w:val="center"/>
          </w:tcPr>
          <w:p w14:paraId="7DB79D62" w14:textId="51663BD9"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Oil</w:t>
            </w:r>
          </w:p>
        </w:tc>
        <w:tc>
          <w:tcPr>
            <w:tcW w:w="1009" w:type="pct"/>
            <w:noWrap/>
            <w:vAlign w:val="center"/>
          </w:tcPr>
          <w:p w14:paraId="081DC073" w14:textId="4FE8C24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Oil</w:t>
            </w:r>
          </w:p>
        </w:tc>
        <w:tc>
          <w:tcPr>
            <w:tcW w:w="2112" w:type="pct"/>
            <w:noWrap/>
            <w:vAlign w:val="center"/>
          </w:tcPr>
          <w:p w14:paraId="786CBB63" w14:textId="561A1FF8"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Oil (ISIC 061, 091(part))</w:t>
            </w:r>
          </w:p>
        </w:tc>
        <w:tc>
          <w:tcPr>
            <w:tcW w:w="1009" w:type="pct"/>
            <w:vAlign w:val="center"/>
          </w:tcPr>
          <w:p w14:paraId="323701A3" w14:textId="72DB71FA"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No</w:t>
            </w:r>
          </w:p>
        </w:tc>
      </w:tr>
      <w:tr w:rsidR="00CE0778" w:rsidRPr="00534AC7" w14:paraId="11904782" w14:textId="64B0AEB5" w:rsidTr="00B4204D">
        <w:trPr>
          <w:trHeight w:val="291"/>
        </w:trPr>
        <w:tc>
          <w:tcPr>
            <w:tcW w:w="273" w:type="pct"/>
            <w:noWrap/>
            <w:vAlign w:val="center"/>
          </w:tcPr>
          <w:p w14:paraId="0707266B" w14:textId="72EFA9A4"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13</w:t>
            </w:r>
          </w:p>
        </w:tc>
        <w:tc>
          <w:tcPr>
            <w:tcW w:w="597" w:type="pct"/>
            <w:noWrap/>
            <w:vAlign w:val="center"/>
          </w:tcPr>
          <w:p w14:paraId="38597E95" w14:textId="31BBA202"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Gas</w:t>
            </w:r>
          </w:p>
        </w:tc>
        <w:tc>
          <w:tcPr>
            <w:tcW w:w="1009" w:type="pct"/>
            <w:noWrap/>
            <w:vAlign w:val="center"/>
          </w:tcPr>
          <w:p w14:paraId="5C59FE4E" w14:textId="3382BE52"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Gas and Gas manufacture</w:t>
            </w:r>
          </w:p>
        </w:tc>
        <w:tc>
          <w:tcPr>
            <w:tcW w:w="2112" w:type="pct"/>
            <w:noWrap/>
            <w:vAlign w:val="center"/>
          </w:tcPr>
          <w:p w14:paraId="037DF0EC" w14:textId="58E964F1"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Gas and Gas manufacture, distribution (ISIC 062, 091(part), 352)</w:t>
            </w:r>
          </w:p>
        </w:tc>
        <w:tc>
          <w:tcPr>
            <w:tcW w:w="1009" w:type="pct"/>
            <w:vAlign w:val="center"/>
          </w:tcPr>
          <w:p w14:paraId="692B4F36" w14:textId="67B07A21"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No</w:t>
            </w:r>
          </w:p>
        </w:tc>
      </w:tr>
      <w:tr w:rsidR="00CE0778" w:rsidRPr="00534AC7" w14:paraId="24502794" w14:textId="48DF5782" w:rsidTr="00B4204D">
        <w:trPr>
          <w:trHeight w:val="291"/>
        </w:trPr>
        <w:tc>
          <w:tcPr>
            <w:tcW w:w="273" w:type="pct"/>
            <w:noWrap/>
            <w:vAlign w:val="center"/>
          </w:tcPr>
          <w:p w14:paraId="36D76368" w14:textId="4DCDE245"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14</w:t>
            </w:r>
          </w:p>
        </w:tc>
        <w:tc>
          <w:tcPr>
            <w:tcW w:w="597" w:type="pct"/>
            <w:noWrap/>
            <w:vAlign w:val="center"/>
          </w:tcPr>
          <w:p w14:paraId="000D5CBC" w14:textId="0DE67E4C"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Oil Products</w:t>
            </w:r>
          </w:p>
        </w:tc>
        <w:tc>
          <w:tcPr>
            <w:tcW w:w="1009" w:type="pct"/>
            <w:noWrap/>
            <w:vAlign w:val="center"/>
          </w:tcPr>
          <w:p w14:paraId="1BAB4482" w14:textId="5198B39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Petroleum &amp; Coke</w:t>
            </w:r>
          </w:p>
        </w:tc>
        <w:tc>
          <w:tcPr>
            <w:tcW w:w="2112" w:type="pct"/>
            <w:noWrap/>
            <w:vAlign w:val="center"/>
          </w:tcPr>
          <w:p w14:paraId="146FE927" w14:textId="316BBCF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Petroleum, coal products (ISIC 19)</w:t>
            </w:r>
          </w:p>
        </w:tc>
        <w:tc>
          <w:tcPr>
            <w:tcW w:w="1009" w:type="pct"/>
            <w:vAlign w:val="center"/>
          </w:tcPr>
          <w:p w14:paraId="3B2CEF51" w14:textId="784A3CFF"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No</w:t>
            </w:r>
          </w:p>
        </w:tc>
      </w:tr>
      <w:tr w:rsidR="00CE0778" w:rsidRPr="00534AC7" w14:paraId="790C350E" w14:textId="64F2B9E3" w:rsidTr="00B4204D">
        <w:trPr>
          <w:trHeight w:val="291"/>
        </w:trPr>
        <w:tc>
          <w:tcPr>
            <w:tcW w:w="273" w:type="pct"/>
            <w:noWrap/>
            <w:vAlign w:val="center"/>
          </w:tcPr>
          <w:p w14:paraId="52B6DD12" w14:textId="1B3ED54C"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15</w:t>
            </w:r>
          </w:p>
        </w:tc>
        <w:tc>
          <w:tcPr>
            <w:tcW w:w="597" w:type="pct"/>
            <w:noWrap/>
            <w:vAlign w:val="center"/>
          </w:tcPr>
          <w:p w14:paraId="4C4BEF74" w14:textId="7A23B66F"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Energy</w:t>
            </w:r>
          </w:p>
        </w:tc>
        <w:tc>
          <w:tcPr>
            <w:tcW w:w="1009" w:type="pct"/>
            <w:noWrap/>
            <w:vAlign w:val="center"/>
          </w:tcPr>
          <w:p w14:paraId="182E0EE8" w14:textId="09214A75"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Energy related sectors</w:t>
            </w:r>
          </w:p>
        </w:tc>
        <w:tc>
          <w:tcPr>
            <w:tcW w:w="2112" w:type="pct"/>
            <w:noWrap/>
            <w:vAlign w:val="center"/>
          </w:tcPr>
          <w:p w14:paraId="39FEA4FC" w14:textId="62A6B646"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 xml:space="preserve">Other extraction (ISIC 07, 08, 099), Chemical </w:t>
            </w:r>
            <w:proofErr w:type="gramStart"/>
            <w:r w:rsidRPr="00CE0778">
              <w:rPr>
                <w:rFonts w:ascii="Times New Roman" w:eastAsia="Times New Roman" w:hAnsi="Times New Roman" w:cs="Times New Roman"/>
                <w:color w:val="000000"/>
                <w:kern w:val="0"/>
                <w14:ligatures w14:val="none"/>
              </w:rPr>
              <w:t>products(</w:t>
            </w:r>
            <w:proofErr w:type="gramEnd"/>
            <w:r w:rsidRPr="00CE0778">
              <w:rPr>
                <w:rFonts w:ascii="Times New Roman" w:eastAsia="Times New Roman" w:hAnsi="Times New Roman" w:cs="Times New Roman"/>
                <w:color w:val="000000"/>
                <w:kern w:val="0"/>
                <w14:ligatures w14:val="none"/>
              </w:rPr>
              <w:t xml:space="preserve">ISIC 20), Basic pharmaceutical products (ISIC 21), Rubber and plastic products (ISIC 22), Mineral products </w:t>
            </w:r>
            <w:proofErr w:type="spellStart"/>
            <w:r w:rsidRPr="00CE0778">
              <w:rPr>
                <w:rFonts w:ascii="Times New Roman" w:eastAsia="Times New Roman" w:hAnsi="Times New Roman" w:cs="Times New Roman"/>
                <w:color w:val="000000"/>
                <w:kern w:val="0"/>
                <w14:ligatures w14:val="none"/>
              </w:rPr>
              <w:t>n.e.c.</w:t>
            </w:r>
            <w:proofErr w:type="spellEnd"/>
            <w:r w:rsidRPr="00CE0778">
              <w:rPr>
                <w:rFonts w:ascii="Times New Roman" w:eastAsia="Times New Roman" w:hAnsi="Times New Roman" w:cs="Times New Roman"/>
                <w:color w:val="000000"/>
                <w:kern w:val="0"/>
                <w14:ligatures w14:val="none"/>
              </w:rPr>
              <w:t xml:space="preserve"> (ISIC 23), Ferrous metals (ISIC 24), Metals </w:t>
            </w:r>
            <w:proofErr w:type="spellStart"/>
            <w:r w:rsidRPr="00CE0778">
              <w:rPr>
                <w:rFonts w:ascii="Times New Roman" w:eastAsia="Times New Roman" w:hAnsi="Times New Roman" w:cs="Times New Roman"/>
                <w:color w:val="000000"/>
                <w:kern w:val="0"/>
                <w14:ligatures w14:val="none"/>
              </w:rPr>
              <w:t>n.e.c.</w:t>
            </w:r>
            <w:proofErr w:type="spellEnd"/>
            <w:r w:rsidRPr="00CE0778">
              <w:rPr>
                <w:rFonts w:ascii="Times New Roman" w:eastAsia="Times New Roman" w:hAnsi="Times New Roman" w:cs="Times New Roman"/>
                <w:color w:val="000000"/>
                <w:kern w:val="0"/>
                <w14:ligatures w14:val="none"/>
              </w:rPr>
              <w:t xml:space="preserve"> (ISIC 242, 2432), Electricity; steam and air conditioning supply (351, 353)</w:t>
            </w:r>
          </w:p>
        </w:tc>
        <w:tc>
          <w:tcPr>
            <w:tcW w:w="1009" w:type="pct"/>
            <w:vAlign w:val="center"/>
          </w:tcPr>
          <w:p w14:paraId="4ED213AE" w14:textId="5312E9E3"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No</w:t>
            </w:r>
          </w:p>
        </w:tc>
      </w:tr>
      <w:tr w:rsidR="00CE0778" w:rsidRPr="00534AC7" w14:paraId="4A233305" w14:textId="018467F8" w:rsidTr="00B4204D">
        <w:trPr>
          <w:trHeight w:val="291"/>
        </w:trPr>
        <w:tc>
          <w:tcPr>
            <w:tcW w:w="273" w:type="pct"/>
            <w:noWrap/>
            <w:vAlign w:val="center"/>
          </w:tcPr>
          <w:p w14:paraId="5F6086AE" w14:textId="39FBA837"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16</w:t>
            </w:r>
          </w:p>
        </w:tc>
        <w:tc>
          <w:tcPr>
            <w:tcW w:w="597" w:type="pct"/>
            <w:noWrap/>
            <w:vAlign w:val="center"/>
          </w:tcPr>
          <w:p w14:paraId="151BAFCF" w14:textId="77726453"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Other sectors</w:t>
            </w:r>
          </w:p>
        </w:tc>
        <w:tc>
          <w:tcPr>
            <w:tcW w:w="1009" w:type="pct"/>
            <w:noWrap/>
            <w:vAlign w:val="center"/>
          </w:tcPr>
          <w:p w14:paraId="62344F92" w14:textId="3339937D"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Manufacturing and services sectors</w:t>
            </w:r>
          </w:p>
        </w:tc>
        <w:tc>
          <w:tcPr>
            <w:tcW w:w="2112" w:type="pct"/>
            <w:noWrap/>
            <w:vAlign w:val="center"/>
          </w:tcPr>
          <w:p w14:paraId="0BDD76CC" w14:textId="624DAA38"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 xml:space="preserve">The codes are listed in the </w:t>
            </w:r>
            <w:r w:rsidRPr="00CE0778">
              <w:rPr>
                <w:rFonts w:ascii="Times New Roman" w:hAnsi="Times New Roman" w:cs="Times New Roman"/>
              </w:rPr>
              <w:t>Version 11 GTAP Data Base documentation corresponding</w:t>
            </w:r>
            <w:r w:rsidRPr="00CE0778">
              <w:rPr>
                <w:rFonts w:ascii="Times New Roman" w:eastAsia="Times New Roman" w:hAnsi="Times New Roman" w:cs="Times New Roman"/>
                <w:color w:val="000000"/>
                <w:kern w:val="0"/>
                <w14:ligatures w14:val="none"/>
              </w:rPr>
              <w:t xml:space="preserve"> to ISIC version 4 but not including elsewhere </w:t>
            </w:r>
          </w:p>
        </w:tc>
        <w:tc>
          <w:tcPr>
            <w:tcW w:w="1009" w:type="pct"/>
            <w:vAlign w:val="center"/>
          </w:tcPr>
          <w:p w14:paraId="4F953E87" w14:textId="17A38EFF" w:rsidR="00CE0778" w:rsidRPr="00CE0778" w:rsidRDefault="00CE0778" w:rsidP="000C0EEC">
            <w:pPr>
              <w:rPr>
                <w:rFonts w:ascii="Times New Roman" w:eastAsia="Times New Roman" w:hAnsi="Times New Roman" w:cs="Times New Roman"/>
                <w:color w:val="000000"/>
                <w:kern w:val="0"/>
                <w14:ligatures w14:val="none"/>
              </w:rPr>
            </w:pPr>
            <w:r w:rsidRPr="00CE0778">
              <w:rPr>
                <w:rFonts w:ascii="Times New Roman" w:eastAsia="Times New Roman" w:hAnsi="Times New Roman" w:cs="Times New Roman"/>
                <w:color w:val="000000"/>
                <w:kern w:val="0"/>
                <w14:ligatures w14:val="none"/>
              </w:rPr>
              <w:t>No</w:t>
            </w:r>
          </w:p>
        </w:tc>
      </w:tr>
      <w:tr w:rsidR="00E5645F" w:rsidRPr="00534AC7" w14:paraId="3AA39876" w14:textId="248BD9B9" w:rsidTr="00B4204D">
        <w:trPr>
          <w:trHeight w:val="291"/>
        </w:trPr>
        <w:tc>
          <w:tcPr>
            <w:tcW w:w="5000" w:type="pct"/>
            <w:gridSpan w:val="5"/>
            <w:noWrap/>
          </w:tcPr>
          <w:p w14:paraId="242C45E1" w14:textId="3CB62B0B" w:rsidR="00E5645F" w:rsidRPr="00534AC7" w:rsidRDefault="00E5645F" w:rsidP="00B4204D">
            <w:pPr>
              <w:jc w:val="both"/>
              <w:rPr>
                <w:rFonts w:ascii="Times New Roman" w:eastAsia="Times New Roman" w:hAnsi="Times New Roman" w:cs="Times New Roman"/>
                <w:color w:val="000000"/>
                <w:kern w:val="0"/>
                <w14:ligatures w14:val="none"/>
              </w:rPr>
            </w:pPr>
            <w:r w:rsidRPr="00534AC7">
              <w:rPr>
                <w:rFonts w:ascii="Times New Roman" w:eastAsia="Times New Roman" w:hAnsi="Times New Roman" w:cs="Times New Roman"/>
                <w:color w:val="000000"/>
                <w:kern w:val="0"/>
                <w14:ligatures w14:val="none"/>
              </w:rPr>
              <w:t xml:space="preserve">Note: Food and agricultural sectors concordances against CPC version 2.1. </w:t>
            </w:r>
            <w:r>
              <w:rPr>
                <w:rFonts w:ascii="Times New Roman" w:eastAsia="Times New Roman" w:hAnsi="Times New Roman" w:cs="Times New Roman"/>
                <w:color w:val="000000"/>
                <w:kern w:val="0"/>
                <w14:ligatures w14:val="none"/>
              </w:rPr>
              <w:t xml:space="preserve">Other sectors </w:t>
            </w:r>
            <w:proofErr w:type="gramStart"/>
            <w:r w:rsidRPr="00534AC7">
              <w:rPr>
                <w:rFonts w:ascii="Times New Roman" w:eastAsia="Times New Roman" w:hAnsi="Times New Roman" w:cs="Times New Roman"/>
                <w:color w:val="000000"/>
                <w:kern w:val="0"/>
                <w14:ligatures w14:val="none"/>
              </w:rPr>
              <w:t>concordances</w:t>
            </w:r>
            <w:proofErr w:type="gramEnd"/>
            <w:r w:rsidRPr="00534AC7">
              <w:rPr>
                <w:rFonts w:ascii="Times New Roman" w:eastAsia="Times New Roman" w:hAnsi="Times New Roman" w:cs="Times New Roman"/>
                <w:color w:val="000000"/>
                <w:kern w:val="0"/>
                <w14:ligatures w14:val="none"/>
              </w:rPr>
              <w:t xml:space="preserve"> against ISIC version 4.</w:t>
            </w:r>
            <w:r>
              <w:rPr>
                <w:rFonts w:ascii="Times New Roman" w:eastAsia="Times New Roman" w:hAnsi="Times New Roman" w:cs="Times New Roman"/>
                <w:color w:val="000000"/>
                <w:kern w:val="0"/>
                <w14:ligatures w14:val="none"/>
              </w:rPr>
              <w:t xml:space="preserve"> Since this study includes the Green House Gas emission estimation while the related sectors. </w:t>
            </w:r>
            <w:r w:rsidRPr="00907639">
              <w:rPr>
                <w:rFonts w:ascii="Times New Roman" w:eastAsia="Times New Roman" w:hAnsi="Times New Roman" w:cs="Times New Roman"/>
                <w:color w:val="000000"/>
                <w:kern w:val="0"/>
                <w14:ligatures w14:val="none"/>
              </w:rPr>
              <w:t xml:space="preserve">Energy sectors are retained because GTAP calculates GHG emissions through the full input-output structure of the economy. Even when the initial shock is applied to food demand, changes in production, intermediate input use, transportation, electricity, and fuel consumption affect </w:t>
            </w:r>
            <w:proofErr w:type="gramStart"/>
            <w:r w:rsidRPr="00907639">
              <w:rPr>
                <w:rFonts w:ascii="Times New Roman" w:eastAsia="Times New Roman" w:hAnsi="Times New Roman" w:cs="Times New Roman"/>
                <w:color w:val="000000"/>
                <w:kern w:val="0"/>
                <w14:ligatures w14:val="none"/>
              </w:rPr>
              <w:t>economy-wide emissions</w:t>
            </w:r>
            <w:proofErr w:type="gramEnd"/>
            <w:r w:rsidRPr="00907639">
              <w:rPr>
                <w:rFonts w:ascii="Times New Roman" w:eastAsia="Times New Roman" w:hAnsi="Times New Roman" w:cs="Times New Roman"/>
                <w:color w:val="000000"/>
                <w:kern w:val="0"/>
                <w14:ligatures w14:val="none"/>
              </w:rPr>
              <w:t>. Omitting oil, gas, and electricity sectors would remove key channels through which CO₂ emissions are generated and would understate the total emissions response.</w:t>
            </w:r>
          </w:p>
        </w:tc>
      </w:tr>
    </w:tbl>
    <w:p w14:paraId="5114FC9E" w14:textId="627AE046" w:rsidR="00AD0ACF" w:rsidRDefault="00AD0ACF" w:rsidP="006F64AE">
      <w:pPr>
        <w:pStyle w:val="Heading1"/>
        <w:numPr>
          <w:ilvl w:val="1"/>
          <w:numId w:val="8"/>
        </w:numPr>
        <w:spacing w:before="120" w:after="160" w:line="480" w:lineRule="auto"/>
        <w:rPr>
          <w:rFonts w:ascii="Times New Roman" w:hAnsi="Times New Roman" w:cs="Times New Roman"/>
          <w:b/>
          <w:bCs/>
          <w:color w:val="auto"/>
          <w:sz w:val="24"/>
          <w:szCs w:val="24"/>
        </w:rPr>
      </w:pPr>
      <w:bookmarkStart w:id="17" w:name="_Toc237678766"/>
      <w:r w:rsidRPr="00AD0ACF">
        <w:rPr>
          <w:rFonts w:ascii="Times New Roman" w:hAnsi="Times New Roman" w:cs="Times New Roman"/>
          <w:b/>
          <w:bCs/>
          <w:color w:val="auto"/>
          <w:sz w:val="24"/>
          <w:szCs w:val="24"/>
        </w:rPr>
        <w:t>SSP2 baseline construction</w:t>
      </w:r>
      <w:bookmarkEnd w:id="17"/>
    </w:p>
    <w:p w14:paraId="14F6711A" w14:textId="0C99BDBC" w:rsidR="00AD0ACF" w:rsidRDefault="00135072" w:rsidP="00135072">
      <w:pPr>
        <w:spacing w:before="120" w:after="0" w:line="480" w:lineRule="auto"/>
        <w:jc w:val="both"/>
        <w:rPr>
          <w:rFonts w:ascii="Times New Roman" w:hAnsi="Times New Roman" w:cs="Times New Roman"/>
        </w:rPr>
      </w:pPr>
      <w:r w:rsidRPr="00135072">
        <w:rPr>
          <w:rFonts w:ascii="Times New Roman" w:hAnsi="Times New Roman" w:cs="Times New Roman"/>
        </w:rPr>
        <w:t>GTAP-RD is calibrated to the 2017 GTAP benchmark and recursively advanced through annual equilibria to 2030 to construct the reference SSP2 baseline. The baseline imposes annual trajectories for population, labor supply and real GDP consistent with the SSP2 macroeconomic and demographic pathway, while excluding any GLP-1-induced household-demand intervention. Because the model is recursive dynamic, the equilibrium reached in each year provides the economic structure and factor stocks carried forward into the subsequent period. The resulting sequence of annual equilibria defines the reference trajectory against which each GLP-1 counterfactual is evaluated.</w:t>
      </w:r>
    </w:p>
    <w:p w14:paraId="4C705D8E" w14:textId="47ECC33B" w:rsidR="00135072" w:rsidRDefault="005C6DDA" w:rsidP="005C6DDA">
      <w:pPr>
        <w:spacing w:before="120" w:after="0" w:line="480" w:lineRule="auto"/>
        <w:ind w:firstLine="720"/>
        <w:jc w:val="both"/>
        <w:rPr>
          <w:rFonts w:ascii="Times New Roman" w:hAnsi="Times New Roman" w:cs="Times New Roman"/>
        </w:rPr>
      </w:pPr>
      <w:r w:rsidRPr="005C6DDA">
        <w:rPr>
          <w:rFonts w:ascii="Times New Roman" w:hAnsi="Times New Roman" w:cs="Times New Roman"/>
        </w:rPr>
        <w:t>Within the SSP2 baseline closure, real GDP follows the exogenous country-specific growth trajectory, while aggregate factor-augmenting productivity adjusts endogenously to reconcile the prescribed GDP path with projected population, labor supply, capital accumulation and the model’s production structure. This closure ensures that each regional economy follows the SSP2 macroeconomic growth path while allowing the productivity requirement consistent with that trajectory to be determined within the model.</w:t>
      </w:r>
    </w:p>
    <w:p w14:paraId="4CCA0D2D" w14:textId="3A2EDC4D" w:rsidR="005C6DDA" w:rsidRDefault="00A02C94" w:rsidP="005C6DDA">
      <w:pPr>
        <w:spacing w:before="120" w:after="0" w:line="480" w:lineRule="auto"/>
        <w:ind w:firstLine="720"/>
        <w:jc w:val="both"/>
        <w:rPr>
          <w:rFonts w:ascii="Times New Roman" w:hAnsi="Times New Roman" w:cs="Times New Roman"/>
        </w:rPr>
      </w:pPr>
      <w:r w:rsidRPr="00A02C94">
        <w:rPr>
          <w:rFonts w:ascii="Times New Roman" w:hAnsi="Times New Roman" w:cs="Times New Roman"/>
        </w:rPr>
        <w:t>GTAP-RD links successive annual equilibria through recursive capital accumulation and factor-supply adjustment. Investment in each period contributes to the capital stock available in subsequent periods, so the productive capacity of each regional economy evolves over time rather than being reset independently in each annual simulation. The dynamic closure also allows sluggish and fixed primary factors to adjust according to the corresponding GTAP-RD factor-supply relationships. Each annual equilibrium therefore reflects the effects of prior-period investment and factor adjustment. This sequence generates the common baseline used by all GLP</w:t>
      </w:r>
      <w:r w:rsidR="00EB06D1">
        <w:rPr>
          <w:rFonts w:ascii="Times New Roman" w:hAnsi="Times New Roman" w:cs="Times New Roman"/>
        </w:rPr>
        <w:t>-</w:t>
      </w:r>
      <w:r w:rsidRPr="00A02C94">
        <w:rPr>
          <w:rFonts w:ascii="Times New Roman" w:hAnsi="Times New Roman" w:cs="Times New Roman"/>
        </w:rPr>
        <w:t>1 scenarios.</w:t>
      </w:r>
    </w:p>
    <w:p w14:paraId="65F19E2A" w14:textId="44BF2DB7" w:rsidR="00A02C94" w:rsidRDefault="00270B09" w:rsidP="00270B09">
      <w:pPr>
        <w:pStyle w:val="Heading1"/>
        <w:numPr>
          <w:ilvl w:val="1"/>
          <w:numId w:val="8"/>
        </w:numPr>
        <w:spacing w:before="0" w:line="480" w:lineRule="auto"/>
        <w:rPr>
          <w:rFonts w:ascii="Times New Roman" w:hAnsi="Times New Roman" w:cs="Times New Roman"/>
          <w:b/>
          <w:bCs/>
          <w:color w:val="auto"/>
          <w:sz w:val="24"/>
          <w:szCs w:val="24"/>
        </w:rPr>
      </w:pPr>
      <w:bookmarkStart w:id="18" w:name="_Toc237678767"/>
      <w:r w:rsidRPr="00270B09">
        <w:rPr>
          <w:rFonts w:ascii="Times New Roman" w:hAnsi="Times New Roman" w:cs="Times New Roman"/>
          <w:b/>
          <w:bCs/>
          <w:color w:val="auto"/>
          <w:sz w:val="24"/>
          <w:szCs w:val="24"/>
        </w:rPr>
        <w:t xml:space="preserve">GLP-1 </w:t>
      </w:r>
      <w:r w:rsidR="001C0AE3">
        <w:rPr>
          <w:rFonts w:ascii="Times New Roman" w:hAnsi="Times New Roman" w:cs="Times New Roman"/>
          <w:b/>
          <w:bCs/>
          <w:color w:val="auto"/>
          <w:sz w:val="24"/>
          <w:szCs w:val="24"/>
        </w:rPr>
        <w:t>C</w:t>
      </w:r>
      <w:r w:rsidRPr="00270B09">
        <w:rPr>
          <w:rFonts w:ascii="Times New Roman" w:hAnsi="Times New Roman" w:cs="Times New Roman"/>
          <w:b/>
          <w:bCs/>
          <w:color w:val="auto"/>
          <w:sz w:val="24"/>
          <w:szCs w:val="24"/>
        </w:rPr>
        <w:t xml:space="preserve">ounterfactual </w:t>
      </w:r>
      <w:r w:rsidR="001C0AE3">
        <w:rPr>
          <w:rFonts w:ascii="Times New Roman" w:hAnsi="Times New Roman" w:cs="Times New Roman"/>
          <w:b/>
          <w:bCs/>
          <w:color w:val="auto"/>
          <w:sz w:val="24"/>
          <w:szCs w:val="24"/>
        </w:rPr>
        <w:t>D</w:t>
      </w:r>
      <w:r w:rsidRPr="00270B09">
        <w:rPr>
          <w:rFonts w:ascii="Times New Roman" w:hAnsi="Times New Roman" w:cs="Times New Roman"/>
          <w:b/>
          <w:bCs/>
          <w:color w:val="auto"/>
          <w:sz w:val="24"/>
          <w:szCs w:val="24"/>
        </w:rPr>
        <w:t xml:space="preserve">emand </w:t>
      </w:r>
      <w:r w:rsidR="001C0AE3">
        <w:rPr>
          <w:rFonts w:ascii="Times New Roman" w:hAnsi="Times New Roman" w:cs="Times New Roman"/>
          <w:b/>
          <w:bCs/>
          <w:color w:val="auto"/>
          <w:sz w:val="24"/>
          <w:szCs w:val="24"/>
        </w:rPr>
        <w:t>P</w:t>
      </w:r>
      <w:r w:rsidRPr="00270B09">
        <w:rPr>
          <w:rFonts w:ascii="Times New Roman" w:hAnsi="Times New Roman" w:cs="Times New Roman"/>
          <w:b/>
          <w:bCs/>
          <w:color w:val="auto"/>
          <w:sz w:val="24"/>
          <w:szCs w:val="24"/>
        </w:rPr>
        <w:t xml:space="preserve">athways and </w:t>
      </w:r>
      <w:r w:rsidR="001C0AE3">
        <w:rPr>
          <w:rFonts w:ascii="Times New Roman" w:hAnsi="Times New Roman" w:cs="Times New Roman"/>
          <w:b/>
          <w:bCs/>
          <w:color w:val="auto"/>
          <w:sz w:val="24"/>
          <w:szCs w:val="24"/>
        </w:rPr>
        <w:t>M</w:t>
      </w:r>
      <w:r w:rsidRPr="00270B09">
        <w:rPr>
          <w:rFonts w:ascii="Times New Roman" w:hAnsi="Times New Roman" w:cs="Times New Roman"/>
          <w:b/>
          <w:bCs/>
          <w:color w:val="auto"/>
          <w:sz w:val="24"/>
          <w:szCs w:val="24"/>
        </w:rPr>
        <w:t xml:space="preserve">odel </w:t>
      </w:r>
      <w:r w:rsidR="001C0AE3">
        <w:rPr>
          <w:rFonts w:ascii="Times New Roman" w:hAnsi="Times New Roman" w:cs="Times New Roman"/>
          <w:b/>
          <w:bCs/>
          <w:color w:val="auto"/>
          <w:sz w:val="24"/>
          <w:szCs w:val="24"/>
        </w:rPr>
        <w:t>C</w:t>
      </w:r>
      <w:r w:rsidRPr="00270B09">
        <w:rPr>
          <w:rFonts w:ascii="Times New Roman" w:hAnsi="Times New Roman" w:cs="Times New Roman"/>
          <w:b/>
          <w:bCs/>
          <w:color w:val="auto"/>
          <w:sz w:val="24"/>
          <w:szCs w:val="24"/>
        </w:rPr>
        <w:t>losure</w:t>
      </w:r>
      <w:bookmarkEnd w:id="18"/>
    </w:p>
    <w:p w14:paraId="5D8DF660" w14:textId="77777777" w:rsidR="000001E2" w:rsidRPr="000001E2" w:rsidRDefault="000001E2" w:rsidP="000001E2">
      <w:pPr>
        <w:spacing w:before="120" w:after="0" w:line="480" w:lineRule="auto"/>
        <w:jc w:val="both"/>
        <w:rPr>
          <w:rFonts w:ascii="Times New Roman" w:hAnsi="Times New Roman" w:cs="Times New Roman"/>
        </w:rPr>
      </w:pPr>
      <w:r w:rsidRPr="000001E2">
        <w:rPr>
          <w:rFonts w:ascii="Times New Roman" w:hAnsi="Times New Roman" w:cs="Times New Roman"/>
        </w:rPr>
        <w:t xml:space="preserve">The country-, year-, and food-category-specific demand pathways introduced into GTAP-RD combine projected active treatment prevalence with the calibrated per-user dietary responses described in Sections 5 and 6. For country </w:t>
      </w:r>
      <w:r w:rsidRPr="008C1538">
        <w:rPr>
          <w:rFonts w:ascii="Times New Roman" w:hAnsi="Times New Roman" w:cs="Times New Roman"/>
          <w:i/>
          <w:iCs/>
        </w:rPr>
        <w:t>r</w:t>
      </w:r>
      <w:r w:rsidRPr="000001E2">
        <w:rPr>
          <w:rFonts w:ascii="Times New Roman" w:hAnsi="Times New Roman" w:cs="Times New Roman"/>
        </w:rPr>
        <w:t xml:space="preserve">, food category </w:t>
      </w:r>
      <w:r w:rsidRPr="008C1538">
        <w:rPr>
          <w:rFonts w:ascii="Times New Roman" w:hAnsi="Times New Roman" w:cs="Times New Roman"/>
          <w:i/>
          <w:iCs/>
        </w:rPr>
        <w:t>c</w:t>
      </w:r>
      <w:r w:rsidRPr="000001E2">
        <w:rPr>
          <w:rFonts w:ascii="Times New Roman" w:hAnsi="Times New Roman" w:cs="Times New Roman"/>
        </w:rPr>
        <w:t xml:space="preserve">, and year </w:t>
      </w:r>
      <w:r w:rsidRPr="008C1538">
        <w:rPr>
          <w:rFonts w:ascii="Times New Roman" w:hAnsi="Times New Roman" w:cs="Times New Roman"/>
          <w:i/>
          <w:iCs/>
        </w:rPr>
        <w:t>t</w:t>
      </w:r>
      <w:r w:rsidRPr="000001E2">
        <w:rPr>
          <w:rFonts w:ascii="Times New Roman" w:hAnsi="Times New Roman" w:cs="Times New Roman"/>
        </w:rPr>
        <w:t>, the population food-demand pathway is defined as</w:t>
      </w:r>
    </w:p>
    <w:p w14:paraId="2A31AC2D" w14:textId="77777777" w:rsidR="000001E2" w:rsidRPr="000001E2" w:rsidRDefault="001371D5" w:rsidP="000001E2">
      <w:pPr>
        <w:spacing w:before="120" w:after="0" w:line="480" w:lineRule="auto"/>
        <w:ind w:firstLine="720"/>
        <w:jc w:val="both"/>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crt</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rt</m:t>
              </m:r>
            </m:sub>
          </m:sSub>
          <m:sSub>
            <m:sSubPr>
              <m:ctrlPr>
                <w:rPr>
                  <w:rFonts w:ascii="Cambria Math" w:hAnsi="Cambria Math" w:cs="Times New Roman"/>
                </w:rPr>
              </m:ctrlPr>
            </m:sSubPr>
            <m:e>
              <m:r>
                <w:rPr>
                  <w:rFonts w:ascii="Cambria Math" w:hAnsi="Cambria Math" w:cs="Times New Roman"/>
                </w:rPr>
                <m:t>δ</m:t>
              </m:r>
            </m:e>
            <m:sub>
              <m:r>
                <w:rPr>
                  <w:rFonts w:ascii="Cambria Math" w:hAnsi="Cambria Math" w:cs="Times New Roman"/>
                </w:rPr>
                <m:t>cr</m:t>
              </m:r>
            </m:sub>
          </m:sSub>
        </m:oMath>
      </m:oMathPara>
    </w:p>
    <w:p w14:paraId="4EA6F205" w14:textId="77777777" w:rsidR="000001E2" w:rsidRPr="000001E2" w:rsidRDefault="000001E2" w:rsidP="000001E2">
      <w:pPr>
        <w:spacing w:before="120" w:after="0" w:line="480" w:lineRule="auto"/>
        <w:jc w:val="both"/>
        <w:rPr>
          <w:rFonts w:ascii="Times New Roman" w:hAnsi="Times New Roman" w:cs="Times New Roman"/>
        </w:rPr>
      </w:pPr>
      <w:r w:rsidRPr="000001E2">
        <w:rPr>
          <w:rFonts w:ascii="Times New Roman" w:hAnsi="Times New Roman" w:cs="Times New Roman"/>
        </w:rPr>
        <w:t xml:space="preserve">where </w:t>
      </w:r>
      <w:r w:rsidRPr="008C1538">
        <w:rPr>
          <w:rFonts w:ascii="Times New Roman" w:hAnsi="Times New Roman" w:cs="Times New Roman"/>
          <w:i/>
          <w:iCs/>
        </w:rPr>
        <w:t>A</w:t>
      </w:r>
      <w:r w:rsidRPr="008C1538">
        <w:rPr>
          <w:rFonts w:ascii="Times New Roman" w:hAnsi="Times New Roman" w:cs="Times New Roman"/>
          <w:i/>
          <w:iCs/>
          <w:vertAlign w:val="subscript"/>
        </w:rPr>
        <w:t>rt</w:t>
      </w:r>
      <w:r w:rsidRPr="000001E2">
        <w:rPr>
          <w:rFonts w:ascii="Times New Roman" w:hAnsi="Times New Roman" w:cs="Times New Roman"/>
        </w:rPr>
        <w:t xml:space="preserve"> denotes active treatment prevalence in country </w:t>
      </w:r>
      <w:r w:rsidRPr="008C1538">
        <w:rPr>
          <w:rFonts w:ascii="Times New Roman" w:hAnsi="Times New Roman" w:cs="Times New Roman"/>
          <w:i/>
          <w:iCs/>
        </w:rPr>
        <w:t>r</w:t>
      </w:r>
      <w:r w:rsidRPr="000001E2">
        <w:rPr>
          <w:rFonts w:ascii="Times New Roman" w:hAnsi="Times New Roman" w:cs="Times New Roman"/>
        </w:rPr>
        <w:t xml:space="preserve"> and year </w:t>
      </w:r>
      <w:r w:rsidRPr="008C1538">
        <w:rPr>
          <w:rFonts w:ascii="Times New Roman" w:hAnsi="Times New Roman" w:cs="Times New Roman"/>
          <w:i/>
          <w:iCs/>
        </w:rPr>
        <w:t>t</w:t>
      </w:r>
      <w:r w:rsidRPr="000001E2">
        <w:rPr>
          <w:rFonts w:ascii="Times New Roman" w:hAnsi="Times New Roman" w:cs="Times New Roman"/>
        </w:rPr>
        <w:t xml:space="preserve">, </w:t>
      </w:r>
      <w:proofErr w:type="spellStart"/>
      <w:r w:rsidRPr="008C1538">
        <w:rPr>
          <w:rFonts w:ascii="Times New Roman" w:hAnsi="Times New Roman" w:cs="Times New Roman"/>
          <w:i/>
          <w:iCs/>
        </w:rPr>
        <w:t>δ</w:t>
      </w:r>
      <w:r w:rsidRPr="008C1538">
        <w:rPr>
          <w:rFonts w:ascii="Times New Roman" w:hAnsi="Times New Roman" w:cs="Times New Roman"/>
          <w:i/>
          <w:iCs/>
          <w:vertAlign w:val="subscript"/>
        </w:rPr>
        <w:t>cr</w:t>
      </w:r>
      <w:proofErr w:type="spellEnd"/>
      <w:r w:rsidRPr="000001E2">
        <w:rPr>
          <w:rFonts w:ascii="Times New Roman" w:hAnsi="Times New Roman" w:cs="Times New Roman"/>
        </w:rPr>
        <w:t xml:space="preserve"> denotes the calibrated per-user dietary response for food category </w:t>
      </w:r>
      <w:r w:rsidRPr="008C1538">
        <w:rPr>
          <w:rFonts w:ascii="Times New Roman" w:hAnsi="Times New Roman" w:cs="Times New Roman"/>
          <w:i/>
          <w:iCs/>
        </w:rPr>
        <w:t>c</w:t>
      </w:r>
      <w:r w:rsidRPr="000001E2">
        <w:rPr>
          <w:rFonts w:ascii="Times New Roman" w:hAnsi="Times New Roman" w:cs="Times New Roman"/>
        </w:rPr>
        <w:t xml:space="preserve"> in country </w:t>
      </w:r>
      <w:r w:rsidRPr="008C1538">
        <w:rPr>
          <w:rFonts w:ascii="Times New Roman" w:hAnsi="Times New Roman" w:cs="Times New Roman"/>
          <w:i/>
          <w:iCs/>
        </w:rPr>
        <w:t>r</w:t>
      </w:r>
      <w:r w:rsidRPr="000001E2">
        <w:rPr>
          <w:rFonts w:ascii="Times New Roman" w:hAnsi="Times New Roman" w:cs="Times New Roman"/>
        </w:rPr>
        <w:t xml:space="preserve">, and </w:t>
      </w:r>
      <w:proofErr w:type="spellStart"/>
      <w:r w:rsidRPr="008C1538">
        <w:rPr>
          <w:rFonts w:ascii="Times New Roman" w:hAnsi="Times New Roman" w:cs="Times New Roman"/>
          <w:i/>
          <w:iCs/>
        </w:rPr>
        <w:t>D</w:t>
      </w:r>
      <w:r w:rsidRPr="008C1538">
        <w:rPr>
          <w:rFonts w:ascii="Times New Roman" w:hAnsi="Times New Roman" w:cs="Times New Roman"/>
          <w:i/>
          <w:iCs/>
          <w:vertAlign w:val="subscript"/>
        </w:rPr>
        <w:t>crt</w:t>
      </w:r>
      <w:proofErr w:type="spellEnd"/>
      <w:r w:rsidRPr="000001E2">
        <w:rPr>
          <w:rFonts w:ascii="Times New Roman" w:hAnsi="Times New Roman" w:cs="Times New Roman"/>
        </w:rPr>
        <w:t xml:space="preserve"> denotes the resulting population-level demand change. This mapping is applied to the nine food categories matched between the dietary-response analysis and the GTAP sector aggregation, translating pharmaceutical diffusion and treatment persistence into the demand pathways used in the economy-wide simulations.</w:t>
      </w:r>
    </w:p>
    <w:p w14:paraId="759F8214" w14:textId="77777777" w:rsidR="000001E2" w:rsidRPr="000001E2" w:rsidRDefault="000001E2" w:rsidP="000001E2">
      <w:pPr>
        <w:spacing w:before="120" w:after="0" w:line="480" w:lineRule="auto"/>
        <w:ind w:firstLine="720"/>
        <w:jc w:val="both"/>
        <w:rPr>
          <w:rFonts w:ascii="Times New Roman" w:hAnsi="Times New Roman" w:cs="Times New Roman"/>
        </w:rPr>
      </w:pPr>
      <w:r w:rsidRPr="000001E2">
        <w:rPr>
          <w:rFonts w:ascii="Times New Roman" w:hAnsi="Times New Roman" w:cs="Times New Roman"/>
        </w:rPr>
        <w:t xml:space="preserve">The resulting demand pathways are imposed on private-household demand for the corresponding Armington composite commodities. In the counterfactual closure, the GTAP variable </w:t>
      </w:r>
      <w:proofErr w:type="spellStart"/>
      <w:r w:rsidRPr="008C1538">
        <w:rPr>
          <w:rFonts w:ascii="Times New Roman" w:hAnsi="Times New Roman" w:cs="Times New Roman"/>
          <w:i/>
          <w:iCs/>
        </w:rPr>
        <w:t>q</w:t>
      </w:r>
      <w:r w:rsidRPr="008C1538">
        <w:rPr>
          <w:rFonts w:ascii="Times New Roman" w:hAnsi="Times New Roman" w:cs="Times New Roman"/>
          <w:i/>
          <w:iCs/>
          <w:vertAlign w:val="subscript"/>
        </w:rPr>
        <w:t>pa</w:t>
      </w:r>
      <w:proofErr w:type="spellEnd"/>
      <w:r w:rsidRPr="000001E2">
        <w:rPr>
          <w:rFonts w:ascii="Times New Roman" w:hAnsi="Times New Roman" w:cs="Times New Roman"/>
        </w:rPr>
        <w:t xml:space="preserve">, which represents private-household quantity demand for the Armington composite, is treated as exogenous for the nine targeted food categories in regions receiving the GLP-1 demand intervention. The corresponding household-demand slack variable, </w:t>
      </w:r>
      <w:proofErr w:type="spellStart"/>
      <w:r w:rsidRPr="000001E2">
        <w:rPr>
          <w:rFonts w:ascii="Times New Roman" w:hAnsi="Times New Roman" w:cs="Times New Roman"/>
        </w:rPr>
        <w:t>qpaslack</w:t>
      </w:r>
      <w:proofErr w:type="spellEnd"/>
      <w:r w:rsidRPr="000001E2">
        <w:rPr>
          <w:rFonts w:ascii="Times New Roman" w:hAnsi="Times New Roman" w:cs="Times New Roman"/>
        </w:rPr>
        <w:t>, becomes endogenous. The GLP-1 intervention is therefore implemented as a quantity-demand counterfactual rather than as a commodity-price shock, an estimated preference or taste shock, or a standard endogenous household demand response.</w:t>
      </w:r>
    </w:p>
    <w:p w14:paraId="034E386C" w14:textId="77777777" w:rsidR="000001E2" w:rsidRPr="000001E2" w:rsidRDefault="000001E2" w:rsidP="000001E2">
      <w:pPr>
        <w:spacing w:before="120" w:after="0" w:line="480" w:lineRule="auto"/>
        <w:ind w:firstLine="720"/>
        <w:jc w:val="both"/>
        <w:rPr>
          <w:rFonts w:ascii="Times New Roman" w:hAnsi="Times New Roman" w:cs="Times New Roman"/>
        </w:rPr>
      </w:pPr>
      <w:r w:rsidRPr="000001E2">
        <w:rPr>
          <w:rFonts w:ascii="Times New Roman" w:hAnsi="Times New Roman" w:cs="Times New Roman"/>
        </w:rPr>
        <w:t>Conditional on these imposed private-household quantities, the remaining economy-wide adjustment is determined endogenously within GTAP-RD. These responses include changes in producer prices, domestic production, domestic-versus-imported sourcing, bilateral imports and exports, intermediate-input demand, land and other factor allocation, wages, returns to capital, agricultural land rents, and production-side emissions. The directly imposed household quantities for the targeted food categories in the shocked regions do not subsequently adjust endogenously in response to equilibrium changes in prices or income. Instead, production, trade, prices, input use, and factor markets adjust around the specified household-demand pathways.</w:t>
      </w:r>
    </w:p>
    <w:p w14:paraId="6AD74426" w14:textId="77777777" w:rsidR="000001E2" w:rsidRPr="000001E2" w:rsidRDefault="000001E2" w:rsidP="000001E2">
      <w:pPr>
        <w:spacing w:before="120" w:after="0" w:line="480" w:lineRule="auto"/>
        <w:ind w:firstLine="720"/>
        <w:jc w:val="both"/>
        <w:rPr>
          <w:rFonts w:ascii="Times New Roman" w:hAnsi="Times New Roman" w:cs="Times New Roman"/>
        </w:rPr>
      </w:pPr>
      <w:r w:rsidRPr="000001E2">
        <w:rPr>
          <w:rFonts w:ascii="Times New Roman" w:hAnsi="Times New Roman" w:cs="Times New Roman"/>
        </w:rPr>
        <w:t>The GLP-1 demand pathways are introduced recursively from 2026 to 2030. The 2026 simulation introduces the initial demand change associated with active treatment prevalence in that year. Subsequent annual simulations introduce the additional change associated with the evolution of active treatment prevalence rather than reapplying the full demand change in each period. Conceptually, for years after 2026, the annual increment is given by</w:t>
      </w:r>
    </w:p>
    <w:p w14:paraId="5F5E597F" w14:textId="77777777" w:rsidR="000001E2" w:rsidRPr="000001E2" w:rsidRDefault="000001E2" w:rsidP="000001E2">
      <w:pPr>
        <w:spacing w:before="120" w:after="0" w:line="480" w:lineRule="auto"/>
        <w:ind w:firstLine="720"/>
        <w:jc w:val="both"/>
        <w:rPr>
          <w:rFonts w:ascii="Times New Roman" w:hAnsi="Times New Roman" w:cs="Times New Roman"/>
        </w:rPr>
      </w:pPr>
      <m:oMathPara>
        <m:oMath>
          <m:r>
            <w:rPr>
              <w:rFonts w:ascii="Cambria Math" w:hAnsi="Cambria Math" w:cs="Times New Roman"/>
            </w:rPr>
            <m:t>Δ</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crt</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crt</m:t>
              </m:r>
            </m:sub>
          </m:sSub>
          <m:r>
            <m:rPr>
              <m:sty m:val="p"/>
            </m:rP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cr</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-1</m:t>
              </m:r>
            </m:sub>
          </m:sSub>
        </m:oMath>
      </m:oMathPara>
    </w:p>
    <w:p w14:paraId="419C3913" w14:textId="77777777" w:rsidR="000001E2" w:rsidRPr="000001E2" w:rsidRDefault="000001E2" w:rsidP="000001E2">
      <w:pPr>
        <w:spacing w:before="120" w:after="0" w:line="480" w:lineRule="auto"/>
        <w:ind w:firstLine="720"/>
        <w:jc w:val="both"/>
        <w:rPr>
          <w:rFonts w:ascii="Times New Roman" w:hAnsi="Times New Roman" w:cs="Times New Roman"/>
        </w:rPr>
      </w:pPr>
      <w:r w:rsidRPr="000001E2">
        <w:rPr>
          <w:rFonts w:ascii="Times New Roman" w:hAnsi="Times New Roman" w:cs="Times New Roman"/>
        </w:rPr>
        <w:t>Annual demand shocks are therefore constructed from year-to-year changes in the target population demand pathway, allowing the intervention to accumulate recursively as active treatment prevalence evolves. Because each annual equilibrium is carried forward into the subsequent period, the economy in later years incorporates both the accumulated GLP-1 demand intervention and the general-equilibrium adjustments generated in preceding years.</w:t>
      </w:r>
    </w:p>
    <w:p w14:paraId="214662E0" w14:textId="77777777" w:rsidR="000001E2" w:rsidRDefault="000001E2" w:rsidP="000001E2">
      <w:pPr>
        <w:spacing w:before="120" w:after="0" w:line="480" w:lineRule="auto"/>
        <w:ind w:firstLine="720"/>
        <w:jc w:val="both"/>
      </w:pPr>
      <w:r w:rsidRPr="000001E2">
        <w:rPr>
          <w:rFonts w:ascii="Times New Roman" w:hAnsi="Times New Roman" w:cs="Times New Roman"/>
        </w:rPr>
        <w:t>Geographic scope, treatment eligibility and access, and diffusion determine the counterfactual pathways imposed on the model. Under U.S.-only adoption, the nine food-demand pathways are imposed only in the United States. Under North America-wide adoption, corresponding country-specific pathways are imposed in the United States, Canada, and Mexico. Current eligibility and access conditions and expanded weight-management access determine the scale of active treatment prevalence, while the low, middle, and high diffusion pathways determine the speed at which treatment use approaches the corresponding market potential. All counterfactual simulations retain the same underlying SSP2 macroeconomic and demographic trajectory as the baseline, and outcomes are reported as deviations from the corresponding SSP2 baseline. The simulations should therefore be interpreted as conditional counterfactuals rather than as unconditional forecasts or causal estimates of future market outcomes.</w:t>
      </w:r>
    </w:p>
    <w:p w14:paraId="1FAF9AE3" w14:textId="2220DD0F" w:rsidR="00535A2E" w:rsidRPr="00535A2E" w:rsidRDefault="00535A2E" w:rsidP="00535A2E">
      <w:pPr>
        <w:pStyle w:val="Heading1"/>
        <w:numPr>
          <w:ilvl w:val="1"/>
          <w:numId w:val="8"/>
        </w:numPr>
        <w:spacing w:before="0" w:line="480" w:lineRule="auto"/>
        <w:rPr>
          <w:rFonts w:ascii="Times New Roman" w:hAnsi="Times New Roman" w:cs="Times New Roman"/>
          <w:b/>
          <w:bCs/>
          <w:color w:val="auto"/>
          <w:sz w:val="24"/>
          <w:szCs w:val="24"/>
        </w:rPr>
      </w:pPr>
      <w:bookmarkStart w:id="19" w:name="_Toc237678768"/>
      <w:r w:rsidRPr="00535A2E">
        <w:rPr>
          <w:rFonts w:ascii="Times New Roman" w:hAnsi="Times New Roman" w:cs="Times New Roman"/>
          <w:b/>
          <w:bCs/>
          <w:color w:val="auto"/>
          <w:sz w:val="24"/>
          <w:szCs w:val="24"/>
        </w:rPr>
        <w:t xml:space="preserve">Production-side </w:t>
      </w:r>
      <w:r w:rsidR="003B3C5D">
        <w:rPr>
          <w:rFonts w:ascii="Times New Roman" w:hAnsi="Times New Roman" w:cs="Times New Roman"/>
          <w:b/>
          <w:bCs/>
          <w:color w:val="auto"/>
          <w:sz w:val="24"/>
          <w:szCs w:val="24"/>
        </w:rPr>
        <w:t>E</w:t>
      </w:r>
      <w:r w:rsidRPr="00535A2E">
        <w:rPr>
          <w:rFonts w:ascii="Times New Roman" w:hAnsi="Times New Roman" w:cs="Times New Roman"/>
          <w:b/>
          <w:bCs/>
          <w:color w:val="auto"/>
          <w:sz w:val="24"/>
          <w:szCs w:val="24"/>
        </w:rPr>
        <w:t xml:space="preserve">nvironmental </w:t>
      </w:r>
      <w:r w:rsidR="003B3C5D">
        <w:rPr>
          <w:rFonts w:ascii="Times New Roman" w:hAnsi="Times New Roman" w:cs="Times New Roman"/>
          <w:b/>
          <w:bCs/>
          <w:color w:val="auto"/>
          <w:sz w:val="24"/>
          <w:szCs w:val="24"/>
        </w:rPr>
        <w:t>A</w:t>
      </w:r>
      <w:r w:rsidRPr="00535A2E">
        <w:rPr>
          <w:rFonts w:ascii="Times New Roman" w:hAnsi="Times New Roman" w:cs="Times New Roman"/>
          <w:b/>
          <w:bCs/>
          <w:color w:val="auto"/>
          <w:sz w:val="24"/>
          <w:szCs w:val="24"/>
        </w:rPr>
        <w:t>ccounting</w:t>
      </w:r>
      <w:bookmarkEnd w:id="19"/>
    </w:p>
    <w:p w14:paraId="5AFB79A3" w14:textId="12CE6E4D" w:rsidR="00535A2E" w:rsidRPr="00535A2E" w:rsidRDefault="00535A2E" w:rsidP="00535A2E">
      <w:pPr>
        <w:spacing w:before="120" w:after="0" w:line="480" w:lineRule="auto"/>
        <w:jc w:val="both"/>
        <w:rPr>
          <w:rFonts w:ascii="Times New Roman" w:hAnsi="Times New Roman" w:cs="Times New Roman"/>
        </w:rPr>
      </w:pPr>
      <w:r w:rsidRPr="00535A2E">
        <w:rPr>
          <w:rFonts w:ascii="Times New Roman" w:hAnsi="Times New Roman" w:cs="Times New Roman"/>
        </w:rPr>
        <w:t xml:space="preserve">Changes in household food demand alter agricultural and food production and, in turn, the intermediate </w:t>
      </w:r>
      <w:proofErr w:type="gramStart"/>
      <w:r w:rsidRPr="00535A2E">
        <w:rPr>
          <w:rFonts w:ascii="Times New Roman" w:hAnsi="Times New Roman" w:cs="Times New Roman"/>
        </w:rPr>
        <w:t>inputs</w:t>
      </w:r>
      <w:proofErr w:type="gramEnd"/>
      <w:r w:rsidRPr="00535A2E">
        <w:rPr>
          <w:rFonts w:ascii="Times New Roman" w:hAnsi="Times New Roman" w:cs="Times New Roman"/>
        </w:rPr>
        <w:t xml:space="preserve"> required across the production system. These adjustments propagate to energy-producing and energy-intensive activities, including electricity, petroleum products, transportation-related inputs, and other upstream sectors. Retaining these sectors in the aggregation therefore preserves the indirect production and input-output channels through which GLP-1-induced food-demand changes can affect economy-wide emissions.</w:t>
      </w:r>
    </w:p>
    <w:p w14:paraId="4DA1E36B" w14:textId="7C764890" w:rsidR="00270B09" w:rsidRPr="00535A2E" w:rsidRDefault="00535A2E" w:rsidP="00535A2E">
      <w:pPr>
        <w:spacing w:before="120" w:after="0" w:line="480" w:lineRule="auto"/>
        <w:ind w:firstLine="720"/>
        <w:jc w:val="both"/>
        <w:rPr>
          <w:rFonts w:ascii="Times New Roman" w:hAnsi="Times New Roman" w:cs="Times New Roman"/>
        </w:rPr>
      </w:pPr>
      <w:r w:rsidRPr="00535A2E">
        <w:rPr>
          <w:rFonts w:ascii="Times New Roman" w:hAnsi="Times New Roman" w:cs="Times New Roman"/>
        </w:rPr>
        <w:t>We report changes in CO</w:t>
      </w:r>
      <w:proofErr w:type="gramStart"/>
      <w:r w:rsidRPr="00535A2E">
        <w:rPr>
          <w:rFonts w:ascii="Times New Roman" w:hAnsi="Times New Roman" w:cs="Times New Roman"/>
        </w:rPr>
        <w:t>₂</w:t>
      </w:r>
      <w:proofErr w:type="gramEnd"/>
      <w:r w:rsidRPr="00535A2E">
        <w:rPr>
          <w:rFonts w:ascii="Times New Roman" w:hAnsi="Times New Roman" w:cs="Times New Roman"/>
        </w:rPr>
        <w:t xml:space="preserve"> and total greenhouse-gas emissions generated through the production and intermediate-input adjustments captured by GTAP-RD. These outcomes should be interpreted as production-side emissions responses within the model. They do not represent full life-cycle emissions, consumption-based carbon footprints, or a comprehensive environmental assessment of GLP-1 treatment. Pharmaceutical manufacturing, distribution, and use are also outside the environmental accounting boundary unless explicitly represented in the GTAP production structure.</w:t>
      </w:r>
    </w:p>
    <w:p w14:paraId="571564A6" w14:textId="0894D751" w:rsidR="007C348B" w:rsidRPr="001D1A0A" w:rsidRDefault="00D7193D" w:rsidP="001D1A0A">
      <w:pPr>
        <w:spacing w:line="278" w:lineRule="auto"/>
        <w:rPr>
          <w:rFonts w:ascii="Times New Roman" w:eastAsia="Times New Roman" w:hAnsi="Times New Roman" w:cs="Times New Roman"/>
        </w:rPr>
      </w:pPr>
      <w:r w:rsidRPr="00534AC7">
        <w:rPr>
          <w:rFonts w:ascii="Times New Roman" w:eastAsia="Times New Roman" w:hAnsi="Times New Roman" w:cs="Times New Roman"/>
        </w:rPr>
        <w:br w:type="page"/>
      </w:r>
    </w:p>
    <w:p w14:paraId="227F6B9B" w14:textId="54636ED6" w:rsidR="005B75C7" w:rsidRPr="005B14DE" w:rsidRDefault="005B14DE" w:rsidP="000C58C4">
      <w:pPr>
        <w:pStyle w:val="Bibliography"/>
        <w:rPr>
          <w:rFonts w:ascii="Times New Roman" w:hAnsi="Times New Roman" w:cs="Times New Roman"/>
          <w:b/>
          <w:bCs/>
        </w:rPr>
      </w:pPr>
      <w:r w:rsidRPr="005B14DE">
        <w:rPr>
          <w:rFonts w:ascii="Times New Roman" w:hAnsi="Times New Roman" w:cs="Times New Roman"/>
          <w:b/>
          <w:bCs/>
        </w:rPr>
        <w:t>References</w:t>
      </w:r>
    </w:p>
    <w:p w14:paraId="5F1E135F"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fldChar w:fldCharType="begin"/>
      </w:r>
      <w:r w:rsidRPr="005B14DE">
        <w:rPr>
          <w:rFonts w:ascii="Times New Roman" w:hAnsi="Times New Roman" w:cs="Times New Roman"/>
        </w:rPr>
        <w:instrText xml:space="preserve"> ADDIN ZOTERO_BIBL {"uncited":[],"omitted":[],"custom":[]} CSL_BIBLIOGRAPHY </w:instrText>
      </w:r>
      <w:r w:rsidRPr="005B14DE">
        <w:rPr>
          <w:rFonts w:ascii="Times New Roman" w:hAnsi="Times New Roman" w:cs="Times New Roman"/>
        </w:rPr>
        <w:fldChar w:fldCharType="separate"/>
      </w:r>
      <w:r w:rsidRPr="005B14DE">
        <w:rPr>
          <w:rFonts w:ascii="Times New Roman" w:hAnsi="Times New Roman" w:cs="Times New Roman"/>
        </w:rPr>
        <w:t xml:space="preserve">1. </w:t>
      </w:r>
      <w:r w:rsidRPr="005B14DE">
        <w:rPr>
          <w:rFonts w:ascii="Times New Roman" w:hAnsi="Times New Roman" w:cs="Times New Roman"/>
        </w:rPr>
        <w:tab/>
        <w:t xml:space="preserve">Christensen, S., Robinson, K., Thomas, S. &amp; Williams, D. R. Dietary intake by patients taking GLP-1 and dual GIP/GLP-1 receptor agonists: A narrative review and discussion of research needs. </w:t>
      </w:r>
      <w:r w:rsidRPr="005B14DE">
        <w:rPr>
          <w:rFonts w:ascii="Times New Roman" w:hAnsi="Times New Roman" w:cs="Times New Roman"/>
          <w:i/>
          <w:iCs/>
        </w:rPr>
        <w:t>Obes. Pillars</w:t>
      </w:r>
      <w:r w:rsidRPr="005B14DE">
        <w:rPr>
          <w:rFonts w:ascii="Times New Roman" w:hAnsi="Times New Roman" w:cs="Times New Roman"/>
        </w:rPr>
        <w:t xml:space="preserve"> </w:t>
      </w:r>
      <w:r w:rsidRPr="005B14DE">
        <w:rPr>
          <w:rFonts w:ascii="Times New Roman" w:hAnsi="Times New Roman" w:cs="Times New Roman"/>
          <w:b/>
          <w:bCs/>
        </w:rPr>
        <w:t>11</w:t>
      </w:r>
      <w:r w:rsidRPr="005B14DE">
        <w:rPr>
          <w:rFonts w:ascii="Times New Roman" w:hAnsi="Times New Roman" w:cs="Times New Roman"/>
        </w:rPr>
        <w:t>, 100121 (2024).</w:t>
      </w:r>
    </w:p>
    <w:p w14:paraId="1FDA0957"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 </w:t>
      </w:r>
      <w:r w:rsidRPr="005B14DE">
        <w:rPr>
          <w:rFonts w:ascii="Times New Roman" w:hAnsi="Times New Roman" w:cs="Times New Roman"/>
        </w:rPr>
        <w:tab/>
        <w:t xml:space="preserve">Blundell, J. </w:t>
      </w:r>
      <w:r w:rsidRPr="005B14DE">
        <w:rPr>
          <w:rFonts w:ascii="Times New Roman" w:hAnsi="Times New Roman" w:cs="Times New Roman"/>
          <w:i/>
          <w:iCs/>
        </w:rPr>
        <w:t>et al.</w:t>
      </w:r>
      <w:r w:rsidRPr="005B14DE">
        <w:rPr>
          <w:rFonts w:ascii="Times New Roman" w:hAnsi="Times New Roman" w:cs="Times New Roman"/>
        </w:rPr>
        <w:t xml:space="preserve"> Effects of once-weekly semaglutide on appetite, energy intake, control of eating, food preference and body weight in subjects with obesity. </w:t>
      </w:r>
      <w:r w:rsidRPr="005B14DE">
        <w:rPr>
          <w:rFonts w:ascii="Times New Roman" w:hAnsi="Times New Roman" w:cs="Times New Roman"/>
          <w:i/>
          <w:iCs/>
        </w:rPr>
        <w:t>Diabetes Obes. Metab.</w:t>
      </w:r>
      <w:r w:rsidRPr="005B14DE">
        <w:rPr>
          <w:rFonts w:ascii="Times New Roman" w:hAnsi="Times New Roman" w:cs="Times New Roman"/>
        </w:rPr>
        <w:t xml:space="preserve"> </w:t>
      </w:r>
      <w:r w:rsidRPr="005B14DE">
        <w:rPr>
          <w:rFonts w:ascii="Times New Roman" w:hAnsi="Times New Roman" w:cs="Times New Roman"/>
          <w:b/>
          <w:bCs/>
        </w:rPr>
        <w:t>19</w:t>
      </w:r>
      <w:r w:rsidRPr="005B14DE">
        <w:rPr>
          <w:rFonts w:ascii="Times New Roman" w:hAnsi="Times New Roman" w:cs="Times New Roman"/>
        </w:rPr>
        <w:t>, 1242–1251 (2017).</w:t>
      </w:r>
    </w:p>
    <w:p w14:paraId="0AA522AE"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 </w:t>
      </w:r>
      <w:r w:rsidRPr="005B14DE">
        <w:rPr>
          <w:rFonts w:ascii="Times New Roman" w:hAnsi="Times New Roman" w:cs="Times New Roman"/>
        </w:rPr>
        <w:tab/>
        <w:t xml:space="preserve">Gibbons, C. </w:t>
      </w:r>
      <w:r w:rsidRPr="005B14DE">
        <w:rPr>
          <w:rFonts w:ascii="Times New Roman" w:hAnsi="Times New Roman" w:cs="Times New Roman"/>
          <w:i/>
          <w:iCs/>
        </w:rPr>
        <w:t>et al.</w:t>
      </w:r>
      <w:r w:rsidRPr="005B14DE">
        <w:rPr>
          <w:rFonts w:ascii="Times New Roman" w:hAnsi="Times New Roman" w:cs="Times New Roman"/>
        </w:rPr>
        <w:t xml:space="preserve"> Effects of oral semaglutide on energy intake, food preference, appetite, control of eating and body weight in subjects with type 2 diabetes. </w:t>
      </w:r>
      <w:r w:rsidRPr="005B14DE">
        <w:rPr>
          <w:rFonts w:ascii="Times New Roman" w:hAnsi="Times New Roman" w:cs="Times New Roman"/>
          <w:i/>
          <w:iCs/>
        </w:rPr>
        <w:t>Diabetes Obes. Metab.</w:t>
      </w:r>
      <w:r w:rsidRPr="005B14DE">
        <w:rPr>
          <w:rFonts w:ascii="Times New Roman" w:hAnsi="Times New Roman" w:cs="Times New Roman"/>
        </w:rPr>
        <w:t xml:space="preserve"> </w:t>
      </w:r>
      <w:r w:rsidRPr="005B14DE">
        <w:rPr>
          <w:rFonts w:ascii="Times New Roman" w:hAnsi="Times New Roman" w:cs="Times New Roman"/>
          <w:b/>
          <w:bCs/>
        </w:rPr>
        <w:t>23</w:t>
      </w:r>
      <w:r w:rsidRPr="005B14DE">
        <w:rPr>
          <w:rFonts w:ascii="Times New Roman" w:hAnsi="Times New Roman" w:cs="Times New Roman"/>
        </w:rPr>
        <w:t>, 581–588 (2021).</w:t>
      </w:r>
    </w:p>
    <w:p w14:paraId="7C30190A"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 </w:t>
      </w:r>
      <w:r w:rsidRPr="005B14DE">
        <w:rPr>
          <w:rFonts w:ascii="Times New Roman" w:hAnsi="Times New Roman" w:cs="Times New Roman"/>
        </w:rPr>
        <w:tab/>
        <w:t xml:space="preserve">Friedrichsen, M., Breitschaft, A., Tadayon, S., Wizert, A. &amp; Skovgaard, D. The effect of semaglutide 2.4 mg once weekly on energy intake, appetite, control of eating, and gastric emptying in adults with obesity. </w:t>
      </w:r>
      <w:r w:rsidRPr="005B14DE">
        <w:rPr>
          <w:rFonts w:ascii="Times New Roman" w:hAnsi="Times New Roman" w:cs="Times New Roman"/>
          <w:i/>
          <w:iCs/>
        </w:rPr>
        <w:t>Diabetes Obes. Metab.</w:t>
      </w:r>
      <w:r w:rsidRPr="005B14DE">
        <w:rPr>
          <w:rFonts w:ascii="Times New Roman" w:hAnsi="Times New Roman" w:cs="Times New Roman"/>
        </w:rPr>
        <w:t xml:space="preserve"> </w:t>
      </w:r>
      <w:r w:rsidRPr="005B14DE">
        <w:rPr>
          <w:rFonts w:ascii="Times New Roman" w:hAnsi="Times New Roman" w:cs="Times New Roman"/>
          <w:b/>
          <w:bCs/>
        </w:rPr>
        <w:t>23</w:t>
      </w:r>
      <w:r w:rsidRPr="005B14DE">
        <w:rPr>
          <w:rFonts w:ascii="Times New Roman" w:hAnsi="Times New Roman" w:cs="Times New Roman"/>
        </w:rPr>
        <w:t>, 754–762 (2021).</w:t>
      </w:r>
    </w:p>
    <w:p w14:paraId="5C3D9ECD"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 </w:t>
      </w:r>
      <w:r w:rsidRPr="005B14DE">
        <w:rPr>
          <w:rFonts w:ascii="Times New Roman" w:hAnsi="Times New Roman" w:cs="Times New Roman"/>
        </w:rPr>
        <w:tab/>
        <w:t xml:space="preserve">Aldawsari, M. </w:t>
      </w:r>
      <w:r w:rsidRPr="005B14DE">
        <w:rPr>
          <w:rFonts w:ascii="Times New Roman" w:hAnsi="Times New Roman" w:cs="Times New Roman"/>
          <w:i/>
          <w:iCs/>
        </w:rPr>
        <w:t>et al.</w:t>
      </w:r>
      <w:r w:rsidRPr="005B14DE">
        <w:rPr>
          <w:rFonts w:ascii="Times New Roman" w:hAnsi="Times New Roman" w:cs="Times New Roman"/>
        </w:rPr>
        <w:t xml:space="preserve"> The Efficacy of GLP-1 Analogues on Appetite Parameters, Gastric Emptying, Food Preference and Taste Among Adults with Obesity: Systematic Review of Randomized Controlled Trials. </w:t>
      </w:r>
      <w:r w:rsidRPr="005B14DE">
        <w:rPr>
          <w:rFonts w:ascii="Times New Roman" w:hAnsi="Times New Roman" w:cs="Times New Roman"/>
          <w:i/>
          <w:iCs/>
        </w:rPr>
        <w:t>Diabetes Metab. Syndr. Obes. Targets Ther.</w:t>
      </w:r>
      <w:r w:rsidRPr="005B14DE">
        <w:rPr>
          <w:rFonts w:ascii="Times New Roman" w:hAnsi="Times New Roman" w:cs="Times New Roman"/>
        </w:rPr>
        <w:t xml:space="preserve"> </w:t>
      </w:r>
      <w:r w:rsidRPr="005B14DE">
        <w:rPr>
          <w:rFonts w:ascii="Times New Roman" w:hAnsi="Times New Roman" w:cs="Times New Roman"/>
          <w:b/>
          <w:bCs/>
        </w:rPr>
        <w:t>16</w:t>
      </w:r>
      <w:r w:rsidRPr="005B14DE">
        <w:rPr>
          <w:rFonts w:ascii="Times New Roman" w:hAnsi="Times New Roman" w:cs="Times New Roman"/>
        </w:rPr>
        <w:t>, 575–595 (2023).</w:t>
      </w:r>
    </w:p>
    <w:p w14:paraId="4301F637"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6. </w:t>
      </w:r>
      <w:r w:rsidRPr="005B14DE">
        <w:rPr>
          <w:rFonts w:ascii="Times New Roman" w:hAnsi="Times New Roman" w:cs="Times New Roman"/>
        </w:rPr>
        <w:tab/>
        <w:t xml:space="preserve">Dilley, A., Adhikari, S., Silwal, P., L. Lusk, Jayson. &amp; McFadden, B. R. Characteristics and food consumption for current, previous, and potential consumers of GLP-1 s. </w:t>
      </w:r>
      <w:r w:rsidRPr="005B14DE">
        <w:rPr>
          <w:rFonts w:ascii="Times New Roman" w:hAnsi="Times New Roman" w:cs="Times New Roman"/>
          <w:i/>
          <w:iCs/>
        </w:rPr>
        <w:t>Food Qual. Prefer.</w:t>
      </w:r>
      <w:r w:rsidRPr="005B14DE">
        <w:rPr>
          <w:rFonts w:ascii="Times New Roman" w:hAnsi="Times New Roman" w:cs="Times New Roman"/>
        </w:rPr>
        <w:t xml:space="preserve"> </w:t>
      </w:r>
      <w:r w:rsidRPr="005B14DE">
        <w:rPr>
          <w:rFonts w:ascii="Times New Roman" w:hAnsi="Times New Roman" w:cs="Times New Roman"/>
          <w:b/>
          <w:bCs/>
        </w:rPr>
        <w:t>129</w:t>
      </w:r>
      <w:r w:rsidRPr="005B14DE">
        <w:rPr>
          <w:rFonts w:ascii="Times New Roman" w:hAnsi="Times New Roman" w:cs="Times New Roman"/>
        </w:rPr>
        <w:t>, 105507 (2025).</w:t>
      </w:r>
    </w:p>
    <w:p w14:paraId="3D4F6A5B"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7. </w:t>
      </w:r>
      <w:r w:rsidRPr="005B14DE">
        <w:rPr>
          <w:rFonts w:ascii="Times New Roman" w:hAnsi="Times New Roman" w:cs="Times New Roman"/>
        </w:rPr>
        <w:tab/>
        <w:t xml:space="preserve">Sørensen, K. K. </w:t>
      </w:r>
      <w:r w:rsidRPr="005B14DE">
        <w:rPr>
          <w:rFonts w:ascii="Times New Roman" w:hAnsi="Times New Roman" w:cs="Times New Roman"/>
          <w:i/>
          <w:iCs/>
        </w:rPr>
        <w:t>et al.</w:t>
      </w:r>
      <w:r w:rsidRPr="005B14DE">
        <w:rPr>
          <w:rFonts w:ascii="Times New Roman" w:hAnsi="Times New Roman" w:cs="Times New Roman"/>
        </w:rPr>
        <w:t xml:space="preserve"> Consumer Food Purchases After Glucagon-Like Peptide-1 Receptor Agonist Initiation. </w:t>
      </w:r>
      <w:r w:rsidRPr="005B14DE">
        <w:rPr>
          <w:rFonts w:ascii="Times New Roman" w:hAnsi="Times New Roman" w:cs="Times New Roman"/>
          <w:i/>
          <w:iCs/>
        </w:rPr>
        <w:t>JAMA Netw. Open</w:t>
      </w:r>
      <w:r w:rsidRPr="005B14DE">
        <w:rPr>
          <w:rFonts w:ascii="Times New Roman" w:hAnsi="Times New Roman" w:cs="Times New Roman"/>
        </w:rPr>
        <w:t xml:space="preserve"> </w:t>
      </w:r>
      <w:r w:rsidRPr="005B14DE">
        <w:rPr>
          <w:rFonts w:ascii="Times New Roman" w:hAnsi="Times New Roman" w:cs="Times New Roman"/>
          <w:b/>
          <w:bCs/>
        </w:rPr>
        <w:t>9</w:t>
      </w:r>
      <w:r w:rsidRPr="005B14DE">
        <w:rPr>
          <w:rFonts w:ascii="Times New Roman" w:hAnsi="Times New Roman" w:cs="Times New Roman"/>
        </w:rPr>
        <w:t>, e2555449 (2026).</w:t>
      </w:r>
    </w:p>
    <w:p w14:paraId="2AAFFEC0"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8. </w:t>
      </w:r>
      <w:r w:rsidRPr="005B14DE">
        <w:rPr>
          <w:rFonts w:ascii="Times New Roman" w:hAnsi="Times New Roman" w:cs="Times New Roman"/>
        </w:rPr>
        <w:tab/>
        <w:t xml:space="preserve">Bina, J. D., Tonsor, G. T. &amp; Richards, T. J. GLP-1 use and protein demand. </w:t>
      </w:r>
      <w:r w:rsidRPr="005B14DE">
        <w:rPr>
          <w:rFonts w:ascii="Times New Roman" w:hAnsi="Times New Roman" w:cs="Times New Roman"/>
          <w:i/>
          <w:iCs/>
        </w:rPr>
        <w:t>Food Policy</w:t>
      </w:r>
      <w:r w:rsidRPr="005B14DE">
        <w:rPr>
          <w:rFonts w:ascii="Times New Roman" w:hAnsi="Times New Roman" w:cs="Times New Roman"/>
        </w:rPr>
        <w:t xml:space="preserve"> </w:t>
      </w:r>
      <w:r w:rsidRPr="005B14DE">
        <w:rPr>
          <w:rFonts w:ascii="Times New Roman" w:hAnsi="Times New Roman" w:cs="Times New Roman"/>
          <w:b/>
          <w:bCs/>
        </w:rPr>
        <w:t>138</w:t>
      </w:r>
      <w:r w:rsidRPr="005B14DE">
        <w:rPr>
          <w:rFonts w:ascii="Times New Roman" w:hAnsi="Times New Roman" w:cs="Times New Roman"/>
        </w:rPr>
        <w:t>, 103026 (2026).</w:t>
      </w:r>
    </w:p>
    <w:p w14:paraId="3CCCCF7C"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9. </w:t>
      </w:r>
      <w:r w:rsidRPr="005B14DE">
        <w:rPr>
          <w:rFonts w:ascii="Times New Roman" w:hAnsi="Times New Roman" w:cs="Times New Roman"/>
        </w:rPr>
        <w:tab/>
        <w:t xml:space="preserve">Springmann, M. </w:t>
      </w:r>
      <w:r w:rsidRPr="005B14DE">
        <w:rPr>
          <w:rFonts w:ascii="Times New Roman" w:hAnsi="Times New Roman" w:cs="Times New Roman"/>
          <w:i/>
          <w:iCs/>
        </w:rPr>
        <w:t>et al.</w:t>
      </w:r>
      <w:r w:rsidRPr="005B14DE">
        <w:rPr>
          <w:rFonts w:ascii="Times New Roman" w:hAnsi="Times New Roman" w:cs="Times New Roman"/>
        </w:rPr>
        <w:t xml:space="preserve"> Options for keeping the food system within environmental limits. </w:t>
      </w:r>
      <w:r w:rsidRPr="005B14DE">
        <w:rPr>
          <w:rFonts w:ascii="Times New Roman" w:hAnsi="Times New Roman" w:cs="Times New Roman"/>
          <w:i/>
          <w:iCs/>
        </w:rPr>
        <w:t>Nature</w:t>
      </w:r>
      <w:r w:rsidRPr="005B14DE">
        <w:rPr>
          <w:rFonts w:ascii="Times New Roman" w:hAnsi="Times New Roman" w:cs="Times New Roman"/>
        </w:rPr>
        <w:t xml:space="preserve"> </w:t>
      </w:r>
      <w:r w:rsidRPr="005B14DE">
        <w:rPr>
          <w:rFonts w:ascii="Times New Roman" w:hAnsi="Times New Roman" w:cs="Times New Roman"/>
          <w:b/>
          <w:bCs/>
        </w:rPr>
        <w:t>562</w:t>
      </w:r>
      <w:r w:rsidRPr="005B14DE">
        <w:rPr>
          <w:rFonts w:ascii="Times New Roman" w:hAnsi="Times New Roman" w:cs="Times New Roman"/>
        </w:rPr>
        <w:t>, 519–525 (2018).</w:t>
      </w:r>
    </w:p>
    <w:p w14:paraId="1840A9AE"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10. </w:t>
      </w:r>
      <w:r w:rsidRPr="005B14DE">
        <w:rPr>
          <w:rFonts w:ascii="Times New Roman" w:hAnsi="Times New Roman" w:cs="Times New Roman"/>
        </w:rPr>
        <w:tab/>
        <w:t xml:space="preserve">Lopez Barrera, E. &amp; Hertel, T. Solutions to the double burden of malnutrition also generate health and environmental benefits. </w:t>
      </w:r>
      <w:r w:rsidRPr="005B14DE">
        <w:rPr>
          <w:rFonts w:ascii="Times New Roman" w:hAnsi="Times New Roman" w:cs="Times New Roman"/>
          <w:i/>
          <w:iCs/>
        </w:rPr>
        <w:t>Nat. Food</w:t>
      </w:r>
      <w:r w:rsidRPr="005B14DE">
        <w:rPr>
          <w:rFonts w:ascii="Times New Roman" w:hAnsi="Times New Roman" w:cs="Times New Roman"/>
        </w:rPr>
        <w:t xml:space="preserve"> </w:t>
      </w:r>
      <w:r w:rsidRPr="005B14DE">
        <w:rPr>
          <w:rFonts w:ascii="Times New Roman" w:hAnsi="Times New Roman" w:cs="Times New Roman"/>
          <w:b/>
          <w:bCs/>
        </w:rPr>
        <w:t>4</w:t>
      </w:r>
      <w:r w:rsidRPr="005B14DE">
        <w:rPr>
          <w:rFonts w:ascii="Times New Roman" w:hAnsi="Times New Roman" w:cs="Times New Roman"/>
        </w:rPr>
        <w:t>, 616–624 (2023).</w:t>
      </w:r>
    </w:p>
    <w:p w14:paraId="03BA45B1"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11. </w:t>
      </w:r>
      <w:r w:rsidRPr="005B14DE">
        <w:rPr>
          <w:rFonts w:ascii="Times New Roman" w:hAnsi="Times New Roman" w:cs="Times New Roman"/>
        </w:rPr>
        <w:tab/>
        <w:t xml:space="preserve">World Health Organization, W. H. O. Share of adults who are overweight or obese – WHO. </w:t>
      </w:r>
      <w:r w:rsidRPr="005B14DE">
        <w:rPr>
          <w:rFonts w:ascii="Times New Roman" w:hAnsi="Times New Roman" w:cs="Times New Roman"/>
          <w:i/>
          <w:iCs/>
        </w:rPr>
        <w:t>Our World in Data</w:t>
      </w:r>
      <w:r w:rsidRPr="005B14DE">
        <w:rPr>
          <w:rFonts w:ascii="Times New Roman" w:hAnsi="Times New Roman" w:cs="Times New Roman"/>
        </w:rPr>
        <w:t xml:space="preserve"> https://ourworldindata.org/grapher/share-of-adults-who-are-overweight (2026).</w:t>
      </w:r>
    </w:p>
    <w:p w14:paraId="1C1043BC"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12. </w:t>
      </w:r>
      <w:r w:rsidRPr="005B14DE">
        <w:rPr>
          <w:rFonts w:ascii="Times New Roman" w:hAnsi="Times New Roman" w:cs="Times New Roman"/>
        </w:rPr>
        <w:tab/>
        <w:t xml:space="preserve">World Health Organization, W. H. O. Age-standardized prevalence of obesity among adults (18+ years). </w:t>
      </w:r>
      <w:r w:rsidRPr="005B14DE">
        <w:rPr>
          <w:rFonts w:ascii="Times New Roman" w:hAnsi="Times New Roman" w:cs="Times New Roman"/>
          <w:i/>
          <w:iCs/>
        </w:rPr>
        <w:t>WHO Data</w:t>
      </w:r>
      <w:r w:rsidRPr="005B14DE">
        <w:rPr>
          <w:rFonts w:ascii="Times New Roman" w:hAnsi="Times New Roman" w:cs="Times New Roman"/>
        </w:rPr>
        <w:t xml:space="preserve"> https://data.who.int/indicators/i/C6262EC/BEFA58B (2026).</w:t>
      </w:r>
    </w:p>
    <w:p w14:paraId="3703521F"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13. </w:t>
      </w:r>
      <w:r w:rsidRPr="005B14DE">
        <w:rPr>
          <w:rFonts w:ascii="Times New Roman" w:hAnsi="Times New Roman" w:cs="Times New Roman"/>
        </w:rPr>
        <w:tab/>
        <w:t xml:space="preserve">NCD Risk Factor Collaboration (NCD-RisC). Worldwide trends in underweight and obesity from 1990 to 2022: a pooled analysis of 3663 population-representative studies with 222 million children, adolescents, and adults. </w:t>
      </w:r>
      <w:r w:rsidRPr="005B14DE">
        <w:rPr>
          <w:rFonts w:ascii="Times New Roman" w:hAnsi="Times New Roman" w:cs="Times New Roman"/>
          <w:i/>
          <w:iCs/>
        </w:rPr>
        <w:t>Lancet</w:t>
      </w:r>
      <w:r w:rsidRPr="005B14DE">
        <w:rPr>
          <w:rFonts w:ascii="Times New Roman" w:hAnsi="Times New Roman" w:cs="Times New Roman"/>
        </w:rPr>
        <w:t xml:space="preserve"> </w:t>
      </w:r>
      <w:r w:rsidRPr="005B14DE">
        <w:rPr>
          <w:rFonts w:ascii="Times New Roman" w:hAnsi="Times New Roman" w:cs="Times New Roman"/>
          <w:b/>
          <w:bCs/>
        </w:rPr>
        <w:t>403</w:t>
      </w:r>
      <w:r w:rsidRPr="005B14DE">
        <w:rPr>
          <w:rFonts w:ascii="Times New Roman" w:hAnsi="Times New Roman" w:cs="Times New Roman"/>
        </w:rPr>
        <w:t>, 1027–1050 (2024).</w:t>
      </w:r>
    </w:p>
    <w:p w14:paraId="15724C67"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14. </w:t>
      </w:r>
      <w:r w:rsidRPr="005B14DE">
        <w:rPr>
          <w:rFonts w:ascii="Times New Roman" w:hAnsi="Times New Roman" w:cs="Times New Roman"/>
        </w:rPr>
        <w:tab/>
        <w:t xml:space="preserve">World Obesity Federation, W. O. F. World Obesity Atlas 2025. </w:t>
      </w:r>
      <w:r w:rsidRPr="005B14DE">
        <w:rPr>
          <w:rFonts w:ascii="Times New Roman" w:hAnsi="Times New Roman" w:cs="Times New Roman"/>
          <w:i/>
          <w:iCs/>
        </w:rPr>
        <w:t>World Obesity Federation</w:t>
      </w:r>
      <w:r w:rsidRPr="005B14DE">
        <w:rPr>
          <w:rFonts w:ascii="Times New Roman" w:hAnsi="Times New Roman" w:cs="Times New Roman"/>
        </w:rPr>
        <w:t xml:space="preserve"> https://www.worldobesity.org/resources/resource-library/world-obesity-atlas-2025 (2025).</w:t>
      </w:r>
    </w:p>
    <w:p w14:paraId="5CE9B66D"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15. </w:t>
      </w:r>
      <w:r w:rsidRPr="005B14DE">
        <w:rPr>
          <w:rFonts w:ascii="Times New Roman" w:hAnsi="Times New Roman" w:cs="Times New Roman"/>
        </w:rPr>
        <w:tab/>
        <w:t>CEIC Data, C. D. United States Prevalence of Overweight: % of Adults. https://www.ceicdata.com/en/united-states/social-health-statistics/prevalence-of-overweight--of-adults.</w:t>
      </w:r>
    </w:p>
    <w:p w14:paraId="0D08577B"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16. </w:t>
      </w:r>
      <w:r w:rsidRPr="005B14DE">
        <w:rPr>
          <w:rFonts w:ascii="Times New Roman" w:hAnsi="Times New Roman" w:cs="Times New Roman"/>
        </w:rPr>
        <w:tab/>
        <w:t xml:space="preserve">World Bank Group. Prevalence of overweight (% of adults). </w:t>
      </w:r>
      <w:r w:rsidRPr="005B14DE">
        <w:rPr>
          <w:rFonts w:ascii="Times New Roman" w:hAnsi="Times New Roman" w:cs="Times New Roman"/>
          <w:i/>
          <w:iCs/>
        </w:rPr>
        <w:t>World Bank Gender Data Portal</w:t>
      </w:r>
      <w:r w:rsidRPr="005B14DE">
        <w:rPr>
          <w:rFonts w:ascii="Times New Roman" w:hAnsi="Times New Roman" w:cs="Times New Roman"/>
        </w:rPr>
        <w:t xml:space="preserve"> https://genderdata.worldbank.org/en/indicator/sh-sta-owad-zs.</w:t>
      </w:r>
    </w:p>
    <w:p w14:paraId="1410C208"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17. </w:t>
      </w:r>
      <w:r w:rsidRPr="005B14DE">
        <w:rPr>
          <w:rFonts w:ascii="Times New Roman" w:hAnsi="Times New Roman" w:cs="Times New Roman"/>
        </w:rPr>
        <w:tab/>
        <w:t xml:space="preserve">Pearson, S. D., Whaley, C. M. &amp; Emond, S. K. Affordable access to GLP-1 obesity medications: strategies to guide market action and policy solutions in the US. </w:t>
      </w:r>
      <w:r w:rsidRPr="005B14DE">
        <w:rPr>
          <w:rFonts w:ascii="Times New Roman" w:hAnsi="Times New Roman" w:cs="Times New Roman"/>
          <w:i/>
          <w:iCs/>
        </w:rPr>
        <w:t>J. Comp. Eff. Res.</w:t>
      </w:r>
      <w:r w:rsidRPr="005B14DE">
        <w:rPr>
          <w:rFonts w:ascii="Times New Roman" w:hAnsi="Times New Roman" w:cs="Times New Roman"/>
        </w:rPr>
        <w:t xml:space="preserve"> </w:t>
      </w:r>
      <w:r w:rsidRPr="005B14DE">
        <w:rPr>
          <w:rFonts w:ascii="Times New Roman" w:hAnsi="Times New Roman" w:cs="Times New Roman"/>
          <w:b/>
          <w:bCs/>
        </w:rPr>
        <w:t>14</w:t>
      </w:r>
      <w:r w:rsidRPr="005B14DE">
        <w:rPr>
          <w:rFonts w:ascii="Times New Roman" w:hAnsi="Times New Roman" w:cs="Times New Roman"/>
        </w:rPr>
        <w:t>, e250083 (2025).</w:t>
      </w:r>
    </w:p>
    <w:p w14:paraId="61F07729"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18. </w:t>
      </w:r>
      <w:r w:rsidRPr="005B14DE">
        <w:rPr>
          <w:rFonts w:ascii="Times New Roman" w:hAnsi="Times New Roman" w:cs="Times New Roman"/>
        </w:rPr>
        <w:tab/>
        <w:t xml:space="preserve">U.S. Food and Drug Administration. FDA Approves New Medication for Chronic Weight Management. </w:t>
      </w:r>
      <w:r w:rsidRPr="005B14DE">
        <w:rPr>
          <w:rFonts w:ascii="Times New Roman" w:hAnsi="Times New Roman" w:cs="Times New Roman"/>
          <w:i/>
          <w:iCs/>
        </w:rPr>
        <w:t>FDA</w:t>
      </w:r>
      <w:r w:rsidRPr="005B14DE">
        <w:rPr>
          <w:rFonts w:ascii="Times New Roman" w:hAnsi="Times New Roman" w:cs="Times New Roman"/>
        </w:rPr>
        <w:t xml:space="preserve"> https://www.fda.gov/news-events/press-announcements/fda-approves-new-medication-chronic-weight-management (2024).</w:t>
      </w:r>
    </w:p>
    <w:p w14:paraId="611839F5"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19. </w:t>
      </w:r>
      <w:r w:rsidRPr="005B14DE">
        <w:rPr>
          <w:rFonts w:ascii="Times New Roman" w:hAnsi="Times New Roman" w:cs="Times New Roman"/>
        </w:rPr>
        <w:tab/>
        <w:t xml:space="preserve">U.S. Food and Drug Administration. FDA Approves First Treatment to Reduce Risk of Serious Heart Problems Specifically in Adults with Obesity or Overweight. </w:t>
      </w:r>
      <w:r w:rsidRPr="005B14DE">
        <w:rPr>
          <w:rFonts w:ascii="Times New Roman" w:hAnsi="Times New Roman" w:cs="Times New Roman"/>
          <w:i/>
          <w:iCs/>
        </w:rPr>
        <w:t>FDA</w:t>
      </w:r>
      <w:r w:rsidRPr="005B14DE">
        <w:rPr>
          <w:rFonts w:ascii="Times New Roman" w:hAnsi="Times New Roman" w:cs="Times New Roman"/>
        </w:rPr>
        <w:t xml:space="preserve"> https://www.fda.gov/news-events/press-announcements/fda-approves-first-treatment-reduce-risk-serious-heart-problems-specifically-adults-obesity-or (2024).</w:t>
      </w:r>
    </w:p>
    <w:p w14:paraId="79745294"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20. </w:t>
      </w:r>
      <w:r w:rsidRPr="005B14DE">
        <w:rPr>
          <w:rFonts w:ascii="Times New Roman" w:hAnsi="Times New Roman" w:cs="Times New Roman"/>
        </w:rPr>
        <w:tab/>
        <w:t xml:space="preserve">KFF. Medicaid Coverage of and Spending on GLP-1s. </w:t>
      </w:r>
      <w:r w:rsidRPr="005B14DE">
        <w:rPr>
          <w:rFonts w:ascii="Times New Roman" w:hAnsi="Times New Roman" w:cs="Times New Roman"/>
          <w:i/>
          <w:iCs/>
        </w:rPr>
        <w:t>KFF</w:t>
      </w:r>
      <w:r w:rsidRPr="005B14DE">
        <w:rPr>
          <w:rFonts w:ascii="Times New Roman" w:hAnsi="Times New Roman" w:cs="Times New Roman"/>
        </w:rPr>
        <w:t xml:space="preserve"> https://www.kff.org/medicaid/medicaid-coverage-of-and-spending-on-glp-1s/ (2026).</w:t>
      </w:r>
    </w:p>
    <w:p w14:paraId="7E90EB27"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21. </w:t>
      </w:r>
      <w:r w:rsidRPr="005B14DE">
        <w:rPr>
          <w:rFonts w:ascii="Times New Roman" w:hAnsi="Times New Roman" w:cs="Times New Roman"/>
        </w:rPr>
        <w:tab/>
        <w:t xml:space="preserve">KFF. What to Know About the BALANCE Model for GLP-1s in Medicare and Medicaid and the Medicare GLP-1 Bridge. </w:t>
      </w:r>
      <w:r w:rsidRPr="005B14DE">
        <w:rPr>
          <w:rFonts w:ascii="Times New Roman" w:hAnsi="Times New Roman" w:cs="Times New Roman"/>
          <w:i/>
          <w:iCs/>
        </w:rPr>
        <w:t>KFF</w:t>
      </w:r>
      <w:r w:rsidRPr="005B14DE">
        <w:rPr>
          <w:rFonts w:ascii="Times New Roman" w:hAnsi="Times New Roman" w:cs="Times New Roman"/>
        </w:rPr>
        <w:t xml:space="preserve"> https://www.kff.org/medicare/what-to-know-about-the-balance-model-for-glp-1s-in-medicare-and-medicaid/ (2026).</w:t>
      </w:r>
    </w:p>
    <w:p w14:paraId="189A2CE2"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22. </w:t>
      </w:r>
      <w:r w:rsidRPr="005B14DE">
        <w:rPr>
          <w:rFonts w:ascii="Times New Roman" w:hAnsi="Times New Roman" w:cs="Times New Roman"/>
        </w:rPr>
        <w:tab/>
        <w:t xml:space="preserve">Reuters. Weight-loss drug coverage rises among largest US employers, Mercer survey finds. </w:t>
      </w:r>
      <w:r w:rsidRPr="005B14DE">
        <w:rPr>
          <w:rFonts w:ascii="Times New Roman" w:hAnsi="Times New Roman" w:cs="Times New Roman"/>
          <w:i/>
          <w:iCs/>
        </w:rPr>
        <w:t>Reuters</w:t>
      </w:r>
      <w:r w:rsidRPr="005B14DE">
        <w:rPr>
          <w:rFonts w:ascii="Times New Roman" w:hAnsi="Times New Roman" w:cs="Times New Roman"/>
        </w:rPr>
        <w:t xml:space="preserve"> (2024).</w:t>
      </w:r>
    </w:p>
    <w:p w14:paraId="6DB89B5D"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23. </w:t>
      </w:r>
      <w:r w:rsidRPr="005B14DE">
        <w:rPr>
          <w:rFonts w:ascii="Times New Roman" w:hAnsi="Times New Roman" w:cs="Times New Roman"/>
        </w:rPr>
        <w:tab/>
        <w:t xml:space="preserve">Reuters. Some US employers to drop coverage of GLP-1 obesity drugs in 2027 as use increases. </w:t>
      </w:r>
      <w:r w:rsidRPr="005B14DE">
        <w:rPr>
          <w:rFonts w:ascii="Times New Roman" w:hAnsi="Times New Roman" w:cs="Times New Roman"/>
          <w:i/>
          <w:iCs/>
        </w:rPr>
        <w:t>Reuters</w:t>
      </w:r>
      <w:r w:rsidRPr="005B14DE">
        <w:rPr>
          <w:rFonts w:ascii="Times New Roman" w:hAnsi="Times New Roman" w:cs="Times New Roman"/>
        </w:rPr>
        <w:t xml:space="preserve"> (2026).</w:t>
      </w:r>
    </w:p>
    <w:p w14:paraId="5E2D20A4"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24. </w:t>
      </w:r>
      <w:r w:rsidRPr="005B14DE">
        <w:rPr>
          <w:rFonts w:ascii="Times New Roman" w:hAnsi="Times New Roman" w:cs="Times New Roman"/>
        </w:rPr>
        <w:tab/>
        <w:t xml:space="preserve">Goldman, N. B., Maya. Novo Nordisk reduces Ozempic, Wegovy prices. </w:t>
      </w:r>
      <w:r w:rsidRPr="005B14DE">
        <w:rPr>
          <w:rFonts w:ascii="Times New Roman" w:hAnsi="Times New Roman" w:cs="Times New Roman"/>
          <w:i/>
          <w:iCs/>
        </w:rPr>
        <w:t>Axios</w:t>
      </w:r>
      <w:r w:rsidRPr="005B14DE">
        <w:rPr>
          <w:rFonts w:ascii="Times New Roman" w:hAnsi="Times New Roman" w:cs="Times New Roman"/>
        </w:rPr>
        <w:t xml:space="preserve"> https://www.axios.com/2025/11/17/ozempic-wegovy-glp-1-prices (2025).</w:t>
      </w:r>
    </w:p>
    <w:p w14:paraId="044A161D"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25. </w:t>
      </w:r>
      <w:r w:rsidRPr="005B14DE">
        <w:rPr>
          <w:rFonts w:ascii="Times New Roman" w:hAnsi="Times New Roman" w:cs="Times New Roman"/>
        </w:rPr>
        <w:tab/>
        <w:t>IQVIA. Outlook for obesity in 2025: more than a transition year. https://www.iqvia.com/locations/emea/blogs/2025/01/outlook-for-obesity-in-2025-more-than-a-transition-year (2025).</w:t>
      </w:r>
    </w:p>
    <w:p w14:paraId="293F048B"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26. </w:t>
      </w:r>
      <w:r w:rsidRPr="005B14DE">
        <w:rPr>
          <w:rFonts w:ascii="Times New Roman" w:hAnsi="Times New Roman" w:cs="Times New Roman"/>
        </w:rPr>
        <w:tab/>
        <w:t xml:space="preserve">Tsipas, S., Khan, T., Loustalot, F., Myftari, K. &amp; Wozniak, G. Spending on Glucagon-Like Peptide-1 Receptor Agonists Among US Adults. </w:t>
      </w:r>
      <w:r w:rsidRPr="005B14DE">
        <w:rPr>
          <w:rFonts w:ascii="Times New Roman" w:hAnsi="Times New Roman" w:cs="Times New Roman"/>
          <w:i/>
          <w:iCs/>
        </w:rPr>
        <w:t>JAMA Netw. Open</w:t>
      </w:r>
      <w:r w:rsidRPr="005B14DE">
        <w:rPr>
          <w:rFonts w:ascii="Times New Roman" w:hAnsi="Times New Roman" w:cs="Times New Roman"/>
        </w:rPr>
        <w:t xml:space="preserve"> </w:t>
      </w:r>
      <w:r w:rsidRPr="005B14DE">
        <w:rPr>
          <w:rFonts w:ascii="Times New Roman" w:hAnsi="Times New Roman" w:cs="Times New Roman"/>
          <w:b/>
          <w:bCs/>
        </w:rPr>
        <w:t>8</w:t>
      </w:r>
      <w:r w:rsidRPr="005B14DE">
        <w:rPr>
          <w:rFonts w:ascii="Times New Roman" w:hAnsi="Times New Roman" w:cs="Times New Roman"/>
        </w:rPr>
        <w:t>, e252964 (2025).</w:t>
      </w:r>
    </w:p>
    <w:p w14:paraId="719E1033"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27. </w:t>
      </w:r>
      <w:r w:rsidRPr="005B14DE">
        <w:rPr>
          <w:rFonts w:ascii="Times New Roman" w:hAnsi="Times New Roman" w:cs="Times New Roman"/>
        </w:rPr>
        <w:tab/>
        <w:t>CDA-AMC, C.-A. semaglutide | CDA-AMC. https://www.cda-amc.ca/semaglutide-2?utm_source=chatgpt.com (2024).</w:t>
      </w:r>
    </w:p>
    <w:p w14:paraId="57E06E36"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28. </w:t>
      </w:r>
      <w:r w:rsidRPr="005B14DE">
        <w:rPr>
          <w:rFonts w:ascii="Times New Roman" w:hAnsi="Times New Roman" w:cs="Times New Roman"/>
        </w:rPr>
        <w:tab/>
        <w:t>Health Canada. Regulatory Decision Summary for Wegovy. https://dhpp.hpfb-dgpsa.ca/review-documents/resource/RDS00896 (2021).</w:t>
      </w:r>
    </w:p>
    <w:p w14:paraId="57F0E6DB"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29. </w:t>
      </w:r>
      <w:r w:rsidRPr="005B14DE">
        <w:rPr>
          <w:rFonts w:ascii="Times New Roman" w:hAnsi="Times New Roman" w:cs="Times New Roman"/>
        </w:rPr>
        <w:tab/>
        <w:t>CMA. Can you get GLP‑1 drugs in Canada? | CMA. https://www.cma.ca/healthcare-for-real/can-you-get-glp-1-drugs-canada.</w:t>
      </w:r>
    </w:p>
    <w:p w14:paraId="4FD54636"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30. </w:t>
      </w:r>
      <w:r w:rsidRPr="005B14DE">
        <w:rPr>
          <w:rFonts w:ascii="Times New Roman" w:hAnsi="Times New Roman" w:cs="Times New Roman"/>
        </w:rPr>
        <w:tab/>
        <w:t xml:space="preserve">Obesity Canada. A new chapter in obesity pharmacotherapy: What the latest guideline update means for Canadians. </w:t>
      </w:r>
      <w:r w:rsidRPr="005B14DE">
        <w:rPr>
          <w:rFonts w:ascii="Times New Roman" w:hAnsi="Times New Roman" w:cs="Times New Roman"/>
          <w:i/>
          <w:iCs/>
        </w:rPr>
        <w:t>Obesity Canada</w:t>
      </w:r>
      <w:r w:rsidRPr="005B14DE">
        <w:rPr>
          <w:rFonts w:ascii="Times New Roman" w:hAnsi="Times New Roman" w:cs="Times New Roman"/>
        </w:rPr>
        <w:t xml:space="preserve"> https://obesitycanada.ca/news/obesity-pharmacotherapy-guideline-update/ (2025).</w:t>
      </w:r>
    </w:p>
    <w:p w14:paraId="43F3599D"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31. </w:t>
      </w:r>
      <w:r w:rsidRPr="005B14DE">
        <w:rPr>
          <w:rFonts w:ascii="Times New Roman" w:hAnsi="Times New Roman" w:cs="Times New Roman"/>
        </w:rPr>
        <w:tab/>
        <w:t xml:space="preserve">Pedersen, S. D. </w:t>
      </w:r>
      <w:r w:rsidRPr="005B14DE">
        <w:rPr>
          <w:rFonts w:ascii="Times New Roman" w:hAnsi="Times New Roman" w:cs="Times New Roman"/>
          <w:i/>
          <w:iCs/>
        </w:rPr>
        <w:t>et al.</w:t>
      </w:r>
      <w:r w:rsidRPr="005B14DE">
        <w:rPr>
          <w:rFonts w:ascii="Times New Roman" w:hAnsi="Times New Roman" w:cs="Times New Roman"/>
        </w:rPr>
        <w:t xml:space="preserve"> Pharmacotherapy for obesity management in adults: 2025 clinical practice guideline update. </w:t>
      </w:r>
      <w:r w:rsidRPr="005B14DE">
        <w:rPr>
          <w:rFonts w:ascii="Times New Roman" w:hAnsi="Times New Roman" w:cs="Times New Roman"/>
          <w:i/>
          <w:iCs/>
        </w:rPr>
        <w:t>CMAJ Can. Med. Assoc. J. J. Assoc. Medicale Can.</w:t>
      </w:r>
      <w:r w:rsidRPr="005B14DE">
        <w:rPr>
          <w:rFonts w:ascii="Times New Roman" w:hAnsi="Times New Roman" w:cs="Times New Roman"/>
        </w:rPr>
        <w:t xml:space="preserve"> </w:t>
      </w:r>
      <w:r w:rsidRPr="005B14DE">
        <w:rPr>
          <w:rFonts w:ascii="Times New Roman" w:hAnsi="Times New Roman" w:cs="Times New Roman"/>
          <w:b/>
          <w:bCs/>
        </w:rPr>
        <w:t>197</w:t>
      </w:r>
      <w:r w:rsidRPr="005B14DE">
        <w:rPr>
          <w:rFonts w:ascii="Times New Roman" w:hAnsi="Times New Roman" w:cs="Times New Roman"/>
        </w:rPr>
        <w:t>, E797–E809 (2025).</w:t>
      </w:r>
    </w:p>
    <w:p w14:paraId="69C1A743"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32. </w:t>
      </w:r>
      <w:r w:rsidRPr="005B14DE">
        <w:rPr>
          <w:rFonts w:ascii="Times New Roman" w:hAnsi="Times New Roman" w:cs="Times New Roman"/>
        </w:rPr>
        <w:tab/>
        <w:t xml:space="preserve">Chávez-Manzanera, E. A. </w:t>
      </w:r>
      <w:r w:rsidRPr="005B14DE">
        <w:rPr>
          <w:rFonts w:ascii="Times New Roman" w:hAnsi="Times New Roman" w:cs="Times New Roman"/>
          <w:i/>
          <w:iCs/>
        </w:rPr>
        <w:t>et al.</w:t>
      </w:r>
      <w:r w:rsidRPr="005B14DE">
        <w:rPr>
          <w:rFonts w:ascii="Times New Roman" w:hAnsi="Times New Roman" w:cs="Times New Roman"/>
        </w:rPr>
        <w:t xml:space="preserve"> Mexican Clinical Practice Guidelines for Adult Overweight and Obesity Management. </w:t>
      </w:r>
      <w:r w:rsidRPr="005B14DE">
        <w:rPr>
          <w:rFonts w:ascii="Times New Roman" w:hAnsi="Times New Roman" w:cs="Times New Roman"/>
          <w:i/>
          <w:iCs/>
        </w:rPr>
        <w:t>Curr. Obes. Rep.</w:t>
      </w:r>
      <w:r w:rsidRPr="005B14DE">
        <w:rPr>
          <w:rFonts w:ascii="Times New Roman" w:hAnsi="Times New Roman" w:cs="Times New Roman"/>
        </w:rPr>
        <w:t xml:space="preserve"> </w:t>
      </w:r>
      <w:r w:rsidRPr="005B14DE">
        <w:rPr>
          <w:rFonts w:ascii="Times New Roman" w:hAnsi="Times New Roman" w:cs="Times New Roman"/>
          <w:b/>
          <w:bCs/>
        </w:rPr>
        <w:t>13</w:t>
      </w:r>
      <w:r w:rsidRPr="005B14DE">
        <w:rPr>
          <w:rFonts w:ascii="Times New Roman" w:hAnsi="Times New Roman" w:cs="Times New Roman"/>
        </w:rPr>
        <w:t>, 643–666 (2024).</w:t>
      </w:r>
    </w:p>
    <w:p w14:paraId="453A9D44"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33. </w:t>
      </w:r>
      <w:r w:rsidRPr="005B14DE">
        <w:rPr>
          <w:rFonts w:ascii="Times New Roman" w:hAnsi="Times New Roman" w:cs="Times New Roman"/>
        </w:rPr>
        <w:tab/>
        <w:t xml:space="preserve">OPS. </w:t>
      </w:r>
      <w:r w:rsidRPr="005B14DE">
        <w:rPr>
          <w:rFonts w:ascii="Times New Roman" w:hAnsi="Times New Roman" w:cs="Times New Roman"/>
          <w:i/>
          <w:iCs/>
        </w:rPr>
        <w:t>Alerta Epidemiológica: Uso Indebido de Medicamentos Agonistas Del Receptor GLP-1 y Sus Consideraciones Para La Región de Las Américas</w:t>
      </w:r>
      <w:r w:rsidRPr="005B14DE">
        <w:rPr>
          <w:rFonts w:ascii="Times New Roman" w:hAnsi="Times New Roman" w:cs="Times New Roman"/>
        </w:rPr>
        <w:t>. https://www.paho.org/sites/default/files/2026/02/2026-feb-27-phe-alerta-agonistas-glp-1-es.pdf#:~:text=La%20obesidad%20es%20reconocida%20por,un%20abordaje%20integral%20y%20sostenido. (2026).</w:t>
      </w:r>
    </w:p>
    <w:p w14:paraId="74B01111"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34. </w:t>
      </w:r>
      <w:r w:rsidRPr="005B14DE">
        <w:rPr>
          <w:rFonts w:ascii="Times New Roman" w:hAnsi="Times New Roman" w:cs="Times New Roman"/>
        </w:rPr>
        <w:tab/>
        <w:t xml:space="preserve">kfftiffanyf. Poll: 1 in 8 Adults Say They’ve Taken a GLP-1 Drug, Including 4 in 10 of Those with Diabetes and 1 in 4 of Those with Heart Disease. </w:t>
      </w:r>
      <w:r w:rsidRPr="005B14DE">
        <w:rPr>
          <w:rFonts w:ascii="Times New Roman" w:hAnsi="Times New Roman" w:cs="Times New Roman"/>
          <w:i/>
          <w:iCs/>
        </w:rPr>
        <w:t>KFF</w:t>
      </w:r>
      <w:r w:rsidRPr="005B14DE">
        <w:rPr>
          <w:rFonts w:ascii="Times New Roman" w:hAnsi="Times New Roman" w:cs="Times New Roman"/>
        </w:rPr>
        <w:t xml:space="preserve"> https://www.kff.org/health-costs/poll-1-in-8-adults-say-theyve-taken-a-glp-1-drug-including-4-in-10-of-those-with-diabetes-and-1-in-4-of-those-with-heart-disease/ (2024).</w:t>
      </w:r>
    </w:p>
    <w:p w14:paraId="218BB170"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35. </w:t>
      </w:r>
      <w:r w:rsidRPr="005B14DE">
        <w:rPr>
          <w:rFonts w:ascii="Times New Roman" w:hAnsi="Times New Roman" w:cs="Times New Roman"/>
        </w:rPr>
        <w:tab/>
        <w:t xml:space="preserve">U.S. Food and Drug Administration, U. S. F. and D. A. FDA approves weight management drug for patients aged 12 and older. </w:t>
      </w:r>
      <w:r w:rsidRPr="005B14DE">
        <w:rPr>
          <w:rFonts w:ascii="Times New Roman" w:hAnsi="Times New Roman" w:cs="Times New Roman"/>
          <w:i/>
          <w:iCs/>
        </w:rPr>
        <w:t>FDA</w:t>
      </w:r>
      <w:r w:rsidRPr="005B14DE">
        <w:rPr>
          <w:rFonts w:ascii="Times New Roman" w:hAnsi="Times New Roman" w:cs="Times New Roman"/>
        </w:rPr>
        <w:t xml:space="preserve"> https://www.fda.gov/drugs/news-events-human-drugs/fda-approves-weight-management-drug-patients-aged-12-and-older (2021).</w:t>
      </w:r>
    </w:p>
    <w:p w14:paraId="0722DDB3"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36. </w:t>
      </w:r>
      <w:r w:rsidRPr="005B14DE">
        <w:rPr>
          <w:rFonts w:ascii="Times New Roman" w:hAnsi="Times New Roman" w:cs="Times New Roman"/>
        </w:rPr>
        <w:tab/>
        <w:t xml:space="preserve">U.S. Food and Drug Administration, U. S. F. and D. A. FDA Approves New Drug Treatment for Chronic Weight Management, First Since 2014. </w:t>
      </w:r>
      <w:r w:rsidRPr="005B14DE">
        <w:rPr>
          <w:rFonts w:ascii="Times New Roman" w:hAnsi="Times New Roman" w:cs="Times New Roman"/>
          <w:i/>
          <w:iCs/>
        </w:rPr>
        <w:t>U.S. Food and Drug Administration</w:t>
      </w:r>
      <w:r w:rsidRPr="005B14DE">
        <w:rPr>
          <w:rFonts w:ascii="Times New Roman" w:hAnsi="Times New Roman" w:cs="Times New Roman"/>
        </w:rPr>
        <w:t xml:space="preserve"> https://content.govdelivery.com/accounts/USFDA/bulletins/2e2adc7 (2021).</w:t>
      </w:r>
    </w:p>
    <w:p w14:paraId="5F9FBE7E"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37. </w:t>
      </w:r>
      <w:r w:rsidRPr="005B14DE">
        <w:rPr>
          <w:rFonts w:ascii="Times New Roman" w:hAnsi="Times New Roman" w:cs="Times New Roman"/>
        </w:rPr>
        <w:tab/>
        <w:t xml:space="preserve">Novo Nordisk Canada, N. N. C. Wegovy® (semaglutide injection) available in Canada. </w:t>
      </w:r>
      <w:r w:rsidRPr="005B14DE">
        <w:rPr>
          <w:rFonts w:ascii="Times New Roman" w:hAnsi="Times New Roman" w:cs="Times New Roman"/>
          <w:i/>
          <w:iCs/>
        </w:rPr>
        <w:t>Novo Nordisk Canada</w:t>
      </w:r>
      <w:r w:rsidRPr="005B14DE">
        <w:rPr>
          <w:rFonts w:ascii="Times New Roman" w:hAnsi="Times New Roman" w:cs="Times New Roman"/>
        </w:rPr>
        <w:t xml:space="preserve"> https://www.novonordisk.ca/content/dam/nncorp/ca/en/press-releases/2024/wegovy-commercial-availability-press-release-en-may-2-24.pdf (2024).</w:t>
      </w:r>
    </w:p>
    <w:p w14:paraId="0E5BD6E5"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38. </w:t>
      </w:r>
      <w:r w:rsidRPr="005B14DE">
        <w:rPr>
          <w:rFonts w:ascii="Times New Roman" w:hAnsi="Times New Roman" w:cs="Times New Roman"/>
        </w:rPr>
        <w:tab/>
        <w:t xml:space="preserve">COFEPRIS, C. Cofepris advierte sobre riesgos de automedicación con fármacos para bajar de peso: se asocia con depresión e ideas suicidas. </w:t>
      </w:r>
      <w:r w:rsidRPr="005B14DE">
        <w:rPr>
          <w:rFonts w:ascii="Times New Roman" w:hAnsi="Times New Roman" w:cs="Times New Roman"/>
          <w:i/>
          <w:iCs/>
        </w:rPr>
        <w:t>COFEPRIS</w:t>
      </w:r>
      <w:r w:rsidRPr="005B14DE">
        <w:rPr>
          <w:rFonts w:ascii="Times New Roman" w:hAnsi="Times New Roman" w:cs="Times New Roman"/>
        </w:rPr>
        <w:t xml:space="preserve"> http://www.gob.mx/cofepris/articulos/cofepris-advierte-sobre-riesgos-de-automedicacion-con-farmacos-para-bajar-de-peso-se-asocia-con-depresion-e-ideas-suicidas?utm_source=chatgpt.com (2024).</w:t>
      </w:r>
    </w:p>
    <w:p w14:paraId="744FD0FA"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39. </w:t>
      </w:r>
      <w:r w:rsidRPr="005B14DE">
        <w:rPr>
          <w:rFonts w:ascii="Times New Roman" w:hAnsi="Times New Roman" w:cs="Times New Roman"/>
        </w:rPr>
        <w:tab/>
        <w:t xml:space="preserve">Mexico Business News, M. B. N. Novo Nordisk to Launch Semaglutide 2.4mg in Mexico. </w:t>
      </w:r>
      <w:r w:rsidRPr="005B14DE">
        <w:rPr>
          <w:rFonts w:ascii="Times New Roman" w:hAnsi="Times New Roman" w:cs="Times New Roman"/>
          <w:i/>
          <w:iCs/>
        </w:rPr>
        <w:t>Mexico Business</w:t>
      </w:r>
      <w:r w:rsidRPr="005B14DE">
        <w:rPr>
          <w:rFonts w:ascii="Times New Roman" w:hAnsi="Times New Roman" w:cs="Times New Roman"/>
        </w:rPr>
        <w:t xml:space="preserve"> https://mexicobusiness.news/health/news/novo-nordisk-launch-semaglutide-24mg-mexico (2025).</w:t>
      </w:r>
    </w:p>
    <w:p w14:paraId="3510F318"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40. </w:t>
      </w:r>
      <w:r w:rsidRPr="005B14DE">
        <w:rPr>
          <w:rFonts w:ascii="Times New Roman" w:hAnsi="Times New Roman" w:cs="Times New Roman"/>
        </w:rPr>
        <w:tab/>
        <w:t xml:space="preserve">Witters, D. &amp; Maese, E. Injectable Weight Loss Drugs: Who Uses Them, and Do They Work? </w:t>
      </w:r>
      <w:r w:rsidRPr="005B14DE">
        <w:rPr>
          <w:rFonts w:ascii="Times New Roman" w:hAnsi="Times New Roman" w:cs="Times New Roman"/>
          <w:i/>
          <w:iCs/>
        </w:rPr>
        <w:t>Gallup.com</w:t>
      </w:r>
      <w:r w:rsidRPr="005B14DE">
        <w:rPr>
          <w:rFonts w:ascii="Times New Roman" w:hAnsi="Times New Roman" w:cs="Times New Roman"/>
        </w:rPr>
        <w:t xml:space="preserve"> https://news.gallup.com/poll/644861/injectable-weight-loss-drugs-uses-work.aspx (2024).</w:t>
      </w:r>
    </w:p>
    <w:p w14:paraId="664AA553"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41. </w:t>
      </w:r>
      <w:r w:rsidRPr="005B14DE">
        <w:rPr>
          <w:rFonts w:ascii="Times New Roman" w:hAnsi="Times New Roman" w:cs="Times New Roman"/>
        </w:rPr>
        <w:tab/>
        <w:t xml:space="preserve">Montero, A., Sparks, G., Presiado, M. &amp; Hamel, L. KFF Health Tracking Poll May 2024: The Public’s Use and Views of GLP-1 Drugs. </w:t>
      </w:r>
      <w:r w:rsidRPr="005B14DE">
        <w:rPr>
          <w:rFonts w:ascii="Times New Roman" w:hAnsi="Times New Roman" w:cs="Times New Roman"/>
          <w:i/>
          <w:iCs/>
        </w:rPr>
        <w:t>KFF</w:t>
      </w:r>
      <w:r w:rsidRPr="005B14DE">
        <w:rPr>
          <w:rFonts w:ascii="Times New Roman" w:hAnsi="Times New Roman" w:cs="Times New Roman"/>
        </w:rPr>
        <w:t xml:space="preserve"> https://www.kff.org/health-costs/kff-health-tracking-poll-may-2024-the-publics-use-and-views-of-glp-1-drugs/ (2024).</w:t>
      </w:r>
    </w:p>
    <w:p w14:paraId="58B5578A"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42. </w:t>
      </w:r>
      <w:r w:rsidRPr="005B14DE">
        <w:rPr>
          <w:rFonts w:ascii="Times New Roman" w:hAnsi="Times New Roman" w:cs="Times New Roman"/>
        </w:rPr>
        <w:tab/>
        <w:t>Hristakeva, S., Liaukonyte, J. &amp; Feler, L. The No-Hunger Games: How GLP-1 Medication Adoption is Changing Consumer Food Demand. SSRN Scholarly Paper at https://doi.org/10.2139/ssrn.5073929 (2024).</w:t>
      </w:r>
    </w:p>
    <w:p w14:paraId="3FEC22AC"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43. </w:t>
      </w:r>
      <w:r w:rsidRPr="005B14DE">
        <w:rPr>
          <w:rFonts w:ascii="Times New Roman" w:hAnsi="Times New Roman" w:cs="Times New Roman"/>
        </w:rPr>
        <w:tab/>
        <w:t xml:space="preserve">Latif, W., Lambrinos, K. J., Patel, P. &amp; Rodriguez, R. Compare and Contrast the Glucagon-Like Peptide-1 Receptor Agonists (GLP1RAs). in </w:t>
      </w:r>
      <w:r w:rsidRPr="005B14DE">
        <w:rPr>
          <w:rFonts w:ascii="Times New Roman" w:hAnsi="Times New Roman" w:cs="Times New Roman"/>
          <w:i/>
          <w:iCs/>
        </w:rPr>
        <w:t>StatPearls</w:t>
      </w:r>
      <w:r w:rsidRPr="005B14DE">
        <w:rPr>
          <w:rFonts w:ascii="Times New Roman" w:hAnsi="Times New Roman" w:cs="Times New Roman"/>
        </w:rPr>
        <w:t xml:space="preserve"> (StatPearls Publishing, Treasure Island (FL), 2025).</w:t>
      </w:r>
    </w:p>
    <w:p w14:paraId="60FAFCA5"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44. </w:t>
      </w:r>
      <w:r w:rsidRPr="005B14DE">
        <w:rPr>
          <w:rFonts w:ascii="Times New Roman" w:hAnsi="Times New Roman" w:cs="Times New Roman"/>
        </w:rPr>
        <w:tab/>
        <w:t xml:space="preserve">Van den Bulte, C. &amp; Lilien, G. L. Medical Innovation Revisited: Social Contagion versus Marketing Effort. </w:t>
      </w:r>
      <w:r w:rsidRPr="005B14DE">
        <w:rPr>
          <w:rFonts w:ascii="Times New Roman" w:hAnsi="Times New Roman" w:cs="Times New Roman"/>
          <w:i/>
          <w:iCs/>
        </w:rPr>
        <w:t>Am. J. Sociol.</w:t>
      </w:r>
      <w:r w:rsidRPr="005B14DE">
        <w:rPr>
          <w:rFonts w:ascii="Times New Roman" w:hAnsi="Times New Roman" w:cs="Times New Roman"/>
        </w:rPr>
        <w:t xml:space="preserve"> </w:t>
      </w:r>
      <w:r w:rsidRPr="005B14DE">
        <w:rPr>
          <w:rFonts w:ascii="Times New Roman" w:hAnsi="Times New Roman" w:cs="Times New Roman"/>
          <w:b/>
          <w:bCs/>
        </w:rPr>
        <w:t>106</w:t>
      </w:r>
      <w:r w:rsidRPr="005B14DE">
        <w:rPr>
          <w:rFonts w:ascii="Times New Roman" w:hAnsi="Times New Roman" w:cs="Times New Roman"/>
        </w:rPr>
        <w:t>, 1409–1435 (2001).</w:t>
      </w:r>
    </w:p>
    <w:p w14:paraId="17BB2FD1"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45. </w:t>
      </w:r>
      <w:r w:rsidRPr="005B14DE">
        <w:rPr>
          <w:rFonts w:ascii="Times New Roman" w:hAnsi="Times New Roman" w:cs="Times New Roman"/>
        </w:rPr>
        <w:tab/>
        <w:t xml:space="preserve">Dunn, A. G. </w:t>
      </w:r>
      <w:r w:rsidRPr="005B14DE">
        <w:rPr>
          <w:rFonts w:ascii="Times New Roman" w:hAnsi="Times New Roman" w:cs="Times New Roman"/>
          <w:i/>
          <w:iCs/>
        </w:rPr>
        <w:t>et al.</w:t>
      </w:r>
      <w:r w:rsidRPr="005B14DE">
        <w:rPr>
          <w:rFonts w:ascii="Times New Roman" w:hAnsi="Times New Roman" w:cs="Times New Roman"/>
        </w:rPr>
        <w:t xml:space="preserve"> Nation-scale adoption of new medicines by doctors: an application of the Bass diffusion model. </w:t>
      </w:r>
      <w:r w:rsidRPr="005B14DE">
        <w:rPr>
          <w:rFonts w:ascii="Times New Roman" w:hAnsi="Times New Roman" w:cs="Times New Roman"/>
          <w:i/>
          <w:iCs/>
        </w:rPr>
        <w:t>BMC Health Serv. Res.</w:t>
      </w:r>
      <w:r w:rsidRPr="005B14DE">
        <w:rPr>
          <w:rFonts w:ascii="Times New Roman" w:hAnsi="Times New Roman" w:cs="Times New Roman"/>
        </w:rPr>
        <w:t xml:space="preserve"> </w:t>
      </w:r>
      <w:r w:rsidRPr="005B14DE">
        <w:rPr>
          <w:rFonts w:ascii="Times New Roman" w:hAnsi="Times New Roman" w:cs="Times New Roman"/>
          <w:b/>
          <w:bCs/>
        </w:rPr>
        <w:t>12</w:t>
      </w:r>
      <w:r w:rsidRPr="005B14DE">
        <w:rPr>
          <w:rFonts w:ascii="Times New Roman" w:hAnsi="Times New Roman" w:cs="Times New Roman"/>
        </w:rPr>
        <w:t>, 248 (2012).</w:t>
      </w:r>
    </w:p>
    <w:p w14:paraId="032631A8"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46. </w:t>
      </w:r>
      <w:r w:rsidRPr="005B14DE">
        <w:rPr>
          <w:rFonts w:ascii="Times New Roman" w:hAnsi="Times New Roman" w:cs="Times New Roman"/>
        </w:rPr>
        <w:tab/>
        <w:t xml:space="preserve">Vakratsas, D. &amp; Wang, W.-L. Scientific Evidence Production and Specialty Drug Diffusion. </w:t>
      </w:r>
      <w:r w:rsidRPr="005B14DE">
        <w:rPr>
          <w:rFonts w:ascii="Times New Roman" w:hAnsi="Times New Roman" w:cs="Times New Roman"/>
          <w:i/>
          <w:iCs/>
        </w:rPr>
        <w:t>J. Mark.</w:t>
      </w:r>
      <w:r w:rsidRPr="005B14DE">
        <w:rPr>
          <w:rFonts w:ascii="Times New Roman" w:hAnsi="Times New Roman" w:cs="Times New Roman"/>
        </w:rPr>
        <w:t xml:space="preserve"> </w:t>
      </w:r>
      <w:r w:rsidRPr="005B14DE">
        <w:rPr>
          <w:rFonts w:ascii="Times New Roman" w:hAnsi="Times New Roman" w:cs="Times New Roman"/>
          <w:b/>
          <w:bCs/>
        </w:rPr>
        <w:t>88</w:t>
      </w:r>
      <w:r w:rsidRPr="005B14DE">
        <w:rPr>
          <w:rFonts w:ascii="Times New Roman" w:hAnsi="Times New Roman" w:cs="Times New Roman"/>
        </w:rPr>
        <w:t>, 116–137 (2024).</w:t>
      </w:r>
    </w:p>
    <w:p w14:paraId="6B4BAD81"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47. </w:t>
      </w:r>
      <w:r w:rsidRPr="005B14DE">
        <w:rPr>
          <w:rFonts w:ascii="Times New Roman" w:hAnsi="Times New Roman" w:cs="Times New Roman"/>
        </w:rPr>
        <w:tab/>
        <w:t xml:space="preserve">Rizzo, M. </w:t>
      </w:r>
      <w:r w:rsidRPr="005B14DE">
        <w:rPr>
          <w:rFonts w:ascii="Times New Roman" w:hAnsi="Times New Roman" w:cs="Times New Roman"/>
          <w:i/>
          <w:iCs/>
        </w:rPr>
        <w:t>et al.</w:t>
      </w:r>
      <w:r w:rsidRPr="005B14DE">
        <w:rPr>
          <w:rFonts w:ascii="Times New Roman" w:hAnsi="Times New Roman" w:cs="Times New Roman"/>
        </w:rPr>
        <w:t xml:space="preserve"> GLP-1 receptor agonists and reduction of cardiometabolic risk: Potential underlying mechanisms. </w:t>
      </w:r>
      <w:r w:rsidRPr="005B14DE">
        <w:rPr>
          <w:rFonts w:ascii="Times New Roman" w:hAnsi="Times New Roman" w:cs="Times New Roman"/>
          <w:i/>
          <w:iCs/>
        </w:rPr>
        <w:t>Biochim. Biophys. Acta BBA - Mol. Basis Dis.</w:t>
      </w:r>
      <w:r w:rsidRPr="005B14DE">
        <w:rPr>
          <w:rFonts w:ascii="Times New Roman" w:hAnsi="Times New Roman" w:cs="Times New Roman"/>
        </w:rPr>
        <w:t xml:space="preserve"> </w:t>
      </w:r>
      <w:r w:rsidRPr="005B14DE">
        <w:rPr>
          <w:rFonts w:ascii="Times New Roman" w:hAnsi="Times New Roman" w:cs="Times New Roman"/>
          <w:b/>
          <w:bCs/>
        </w:rPr>
        <w:t>1864</w:t>
      </w:r>
      <w:r w:rsidRPr="005B14DE">
        <w:rPr>
          <w:rFonts w:ascii="Times New Roman" w:hAnsi="Times New Roman" w:cs="Times New Roman"/>
        </w:rPr>
        <w:t>, 2814–2821 (2018).</w:t>
      </w:r>
    </w:p>
    <w:p w14:paraId="514C25E6"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48. </w:t>
      </w:r>
      <w:r w:rsidRPr="005B14DE">
        <w:rPr>
          <w:rFonts w:ascii="Times New Roman" w:hAnsi="Times New Roman" w:cs="Times New Roman"/>
        </w:rPr>
        <w:tab/>
        <w:t xml:space="preserve">Han, S. H. </w:t>
      </w:r>
      <w:r w:rsidRPr="005B14DE">
        <w:rPr>
          <w:rFonts w:ascii="Times New Roman" w:hAnsi="Times New Roman" w:cs="Times New Roman"/>
          <w:i/>
          <w:iCs/>
        </w:rPr>
        <w:t>et al.</w:t>
      </w:r>
      <w:r w:rsidRPr="005B14DE">
        <w:rPr>
          <w:rFonts w:ascii="Times New Roman" w:hAnsi="Times New Roman" w:cs="Times New Roman"/>
        </w:rPr>
        <w:t xml:space="preserve"> Public Interest in the Off-Label Use of Glucagon-like Peptide 1 Agonists (Ozempic) for Cosmetic Weight Loss: A Google Trends Analysis. </w:t>
      </w:r>
      <w:r w:rsidRPr="005B14DE">
        <w:rPr>
          <w:rFonts w:ascii="Times New Roman" w:hAnsi="Times New Roman" w:cs="Times New Roman"/>
          <w:i/>
          <w:iCs/>
        </w:rPr>
        <w:t>Aesthet. Surg. J.</w:t>
      </w:r>
      <w:r w:rsidRPr="005B14DE">
        <w:rPr>
          <w:rFonts w:ascii="Times New Roman" w:hAnsi="Times New Roman" w:cs="Times New Roman"/>
        </w:rPr>
        <w:t xml:space="preserve"> </w:t>
      </w:r>
      <w:r w:rsidRPr="005B14DE">
        <w:rPr>
          <w:rFonts w:ascii="Times New Roman" w:hAnsi="Times New Roman" w:cs="Times New Roman"/>
          <w:b/>
          <w:bCs/>
        </w:rPr>
        <w:t>44</w:t>
      </w:r>
      <w:r w:rsidRPr="005B14DE">
        <w:rPr>
          <w:rFonts w:ascii="Times New Roman" w:hAnsi="Times New Roman" w:cs="Times New Roman"/>
        </w:rPr>
        <w:t>, 60–67 (2024).</w:t>
      </w:r>
    </w:p>
    <w:p w14:paraId="7156D905"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49. </w:t>
      </w:r>
      <w:r w:rsidRPr="005B14DE">
        <w:rPr>
          <w:rFonts w:ascii="Times New Roman" w:hAnsi="Times New Roman" w:cs="Times New Roman"/>
        </w:rPr>
        <w:tab/>
        <w:t>Jain, S. 2023 TRENDS SHAPING THE HEALTH ECONOMY. (2023).</w:t>
      </w:r>
    </w:p>
    <w:p w14:paraId="2BD0874F"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50. </w:t>
      </w:r>
      <w:r w:rsidRPr="005B14DE">
        <w:rPr>
          <w:rFonts w:ascii="Times New Roman" w:hAnsi="Times New Roman" w:cs="Times New Roman"/>
        </w:rPr>
        <w:tab/>
        <w:t xml:space="preserve">Van den Bulte, C. Want to know how diffusion speed varies across countries and products? Try using a Bass model. </w:t>
      </w:r>
      <w:r w:rsidRPr="005B14DE">
        <w:rPr>
          <w:rFonts w:ascii="Times New Roman" w:hAnsi="Times New Roman" w:cs="Times New Roman"/>
          <w:i/>
          <w:iCs/>
        </w:rPr>
        <w:t>PDMA Vis.</w:t>
      </w:r>
      <w:r w:rsidRPr="005B14DE">
        <w:rPr>
          <w:rFonts w:ascii="Times New Roman" w:hAnsi="Times New Roman" w:cs="Times New Roman"/>
        </w:rPr>
        <w:t xml:space="preserve"> </w:t>
      </w:r>
      <w:r w:rsidRPr="005B14DE">
        <w:rPr>
          <w:rFonts w:ascii="Times New Roman" w:hAnsi="Times New Roman" w:cs="Times New Roman"/>
          <w:b/>
          <w:bCs/>
        </w:rPr>
        <w:t>26</w:t>
      </w:r>
      <w:r w:rsidRPr="005B14DE">
        <w:rPr>
          <w:rFonts w:ascii="Times New Roman" w:hAnsi="Times New Roman" w:cs="Times New Roman"/>
        </w:rPr>
        <w:t>, 12–15 (2002).</w:t>
      </w:r>
    </w:p>
    <w:p w14:paraId="79E3AA27"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51. </w:t>
      </w:r>
      <w:r w:rsidRPr="005B14DE">
        <w:rPr>
          <w:rFonts w:ascii="Times New Roman" w:hAnsi="Times New Roman" w:cs="Times New Roman"/>
        </w:rPr>
        <w:tab/>
        <w:t xml:space="preserve">Mexico Business News. </w:t>
      </w:r>
      <w:r w:rsidRPr="005B14DE">
        <w:rPr>
          <w:rFonts w:ascii="Times New Roman" w:hAnsi="Times New Roman" w:cs="Times New Roman"/>
          <w:i/>
          <w:iCs/>
        </w:rPr>
        <w:t>Obesity Drugs Reshape Global Health, Policy</w:t>
      </w:r>
      <w:r w:rsidRPr="005B14DE">
        <w:rPr>
          <w:rFonts w:ascii="Times New Roman" w:hAnsi="Times New Roman" w:cs="Times New Roman"/>
        </w:rPr>
        <w:t>. https://mexicobusiness.news/health/news/obesity-drugs-reshape-global-health-policy (2025).</w:t>
      </w:r>
    </w:p>
    <w:p w14:paraId="2E038CCF"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52. </w:t>
      </w:r>
      <w:r w:rsidRPr="005B14DE">
        <w:rPr>
          <w:rFonts w:ascii="Times New Roman" w:hAnsi="Times New Roman" w:cs="Times New Roman"/>
        </w:rPr>
        <w:tab/>
        <w:t xml:space="preserve">Desiraju, R., Nair, H. &amp; Chintagunta, P. Diffusion of new pharmaceutical drugs in developing and developed nations. </w:t>
      </w:r>
      <w:r w:rsidRPr="005B14DE">
        <w:rPr>
          <w:rFonts w:ascii="Times New Roman" w:hAnsi="Times New Roman" w:cs="Times New Roman"/>
          <w:i/>
          <w:iCs/>
        </w:rPr>
        <w:t>Int. J. Res. Mark.</w:t>
      </w:r>
      <w:r w:rsidRPr="005B14DE">
        <w:rPr>
          <w:rFonts w:ascii="Times New Roman" w:hAnsi="Times New Roman" w:cs="Times New Roman"/>
        </w:rPr>
        <w:t xml:space="preserve"> </w:t>
      </w:r>
      <w:r w:rsidRPr="005B14DE">
        <w:rPr>
          <w:rFonts w:ascii="Times New Roman" w:hAnsi="Times New Roman" w:cs="Times New Roman"/>
          <w:b/>
          <w:bCs/>
        </w:rPr>
        <w:t>21</w:t>
      </w:r>
      <w:r w:rsidRPr="005B14DE">
        <w:rPr>
          <w:rFonts w:ascii="Times New Roman" w:hAnsi="Times New Roman" w:cs="Times New Roman"/>
        </w:rPr>
        <w:t>, 341–357 (2004).</w:t>
      </w:r>
    </w:p>
    <w:p w14:paraId="593DB7BD"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53. </w:t>
      </w:r>
      <w:r w:rsidRPr="005B14DE">
        <w:rPr>
          <w:rFonts w:ascii="Times New Roman" w:hAnsi="Times New Roman" w:cs="Times New Roman"/>
        </w:rPr>
        <w:tab/>
        <w:t xml:space="preserve">Sultan, F., Farley, J. U. &amp; Lehmann, D. R. A Meta-Analysis of Applications of Diffusion Models. </w:t>
      </w:r>
      <w:r w:rsidRPr="005B14DE">
        <w:rPr>
          <w:rFonts w:ascii="Times New Roman" w:hAnsi="Times New Roman" w:cs="Times New Roman"/>
          <w:i/>
          <w:iCs/>
        </w:rPr>
        <w:t>J. Mark. Res.</w:t>
      </w:r>
      <w:r w:rsidRPr="005B14DE">
        <w:rPr>
          <w:rFonts w:ascii="Times New Roman" w:hAnsi="Times New Roman" w:cs="Times New Roman"/>
        </w:rPr>
        <w:t xml:space="preserve"> </w:t>
      </w:r>
      <w:r w:rsidRPr="005B14DE">
        <w:rPr>
          <w:rFonts w:ascii="Times New Roman" w:hAnsi="Times New Roman" w:cs="Times New Roman"/>
          <w:b/>
          <w:bCs/>
        </w:rPr>
        <w:t>27</w:t>
      </w:r>
      <w:r w:rsidRPr="005B14DE">
        <w:rPr>
          <w:rFonts w:ascii="Times New Roman" w:hAnsi="Times New Roman" w:cs="Times New Roman"/>
        </w:rPr>
        <w:t>, 70–77 (1990).</w:t>
      </w:r>
    </w:p>
    <w:p w14:paraId="2FBEC5FF"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54. </w:t>
      </w:r>
      <w:r w:rsidRPr="005B14DE">
        <w:rPr>
          <w:rFonts w:ascii="Times New Roman" w:hAnsi="Times New Roman" w:cs="Times New Roman"/>
        </w:rPr>
        <w:tab/>
        <w:t xml:space="preserve">Orbach, Y. Parametric analysis of the Bass model. </w:t>
      </w:r>
      <w:r w:rsidRPr="005B14DE">
        <w:rPr>
          <w:rFonts w:ascii="Times New Roman" w:hAnsi="Times New Roman" w:cs="Times New Roman"/>
          <w:i/>
          <w:iCs/>
        </w:rPr>
        <w:t>Innov. Mark.</w:t>
      </w:r>
      <w:r w:rsidRPr="005B14DE">
        <w:rPr>
          <w:rFonts w:ascii="Times New Roman" w:hAnsi="Times New Roman" w:cs="Times New Roman"/>
        </w:rPr>
        <w:t xml:space="preserve"> </w:t>
      </w:r>
      <w:r w:rsidRPr="005B14DE">
        <w:rPr>
          <w:rFonts w:ascii="Times New Roman" w:hAnsi="Times New Roman" w:cs="Times New Roman"/>
          <w:b/>
          <w:bCs/>
        </w:rPr>
        <w:t>12</w:t>
      </w:r>
      <w:r w:rsidRPr="005B14DE">
        <w:rPr>
          <w:rFonts w:ascii="Times New Roman" w:hAnsi="Times New Roman" w:cs="Times New Roman"/>
        </w:rPr>
        <w:t>, 29–40 (2016).</w:t>
      </w:r>
    </w:p>
    <w:p w14:paraId="44BE9689"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55. </w:t>
      </w:r>
      <w:r w:rsidRPr="005B14DE">
        <w:rPr>
          <w:rFonts w:ascii="Times New Roman" w:hAnsi="Times New Roman" w:cs="Times New Roman"/>
        </w:rPr>
        <w:tab/>
        <w:t xml:space="preserve">Ching, A. &amp; Ishihara, M. The effects of detailing on prescribing decisions under quality uncertainty. </w:t>
      </w:r>
      <w:r w:rsidRPr="005B14DE">
        <w:rPr>
          <w:rFonts w:ascii="Times New Roman" w:hAnsi="Times New Roman" w:cs="Times New Roman"/>
          <w:i/>
          <w:iCs/>
        </w:rPr>
        <w:t>QME</w:t>
      </w:r>
      <w:r w:rsidRPr="005B14DE">
        <w:rPr>
          <w:rFonts w:ascii="Times New Roman" w:hAnsi="Times New Roman" w:cs="Times New Roman"/>
        </w:rPr>
        <w:t xml:space="preserve"> </w:t>
      </w:r>
      <w:r w:rsidRPr="005B14DE">
        <w:rPr>
          <w:rFonts w:ascii="Times New Roman" w:hAnsi="Times New Roman" w:cs="Times New Roman"/>
          <w:b/>
          <w:bCs/>
        </w:rPr>
        <w:t>8</w:t>
      </w:r>
      <w:r w:rsidRPr="005B14DE">
        <w:rPr>
          <w:rFonts w:ascii="Times New Roman" w:hAnsi="Times New Roman" w:cs="Times New Roman"/>
        </w:rPr>
        <w:t>, 123–165 (2010).</w:t>
      </w:r>
    </w:p>
    <w:p w14:paraId="5EA1E9DF"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56. </w:t>
      </w:r>
      <w:r w:rsidRPr="005B14DE">
        <w:rPr>
          <w:rFonts w:ascii="Times New Roman" w:hAnsi="Times New Roman" w:cs="Times New Roman"/>
        </w:rPr>
        <w:tab/>
        <w:t xml:space="preserve">Narayanan, S. &amp; Manchanda, P. Heterogeneous Learning and the Targeting of Marketing Communication for New Products. </w:t>
      </w:r>
      <w:r w:rsidRPr="005B14DE">
        <w:rPr>
          <w:rFonts w:ascii="Times New Roman" w:hAnsi="Times New Roman" w:cs="Times New Roman"/>
          <w:i/>
          <w:iCs/>
        </w:rPr>
        <w:t>Mark. Sci.</w:t>
      </w:r>
      <w:r w:rsidRPr="005B14DE">
        <w:rPr>
          <w:rFonts w:ascii="Times New Roman" w:hAnsi="Times New Roman" w:cs="Times New Roman"/>
        </w:rPr>
        <w:t xml:space="preserve"> </w:t>
      </w:r>
      <w:r w:rsidRPr="005B14DE">
        <w:rPr>
          <w:rFonts w:ascii="Times New Roman" w:hAnsi="Times New Roman" w:cs="Times New Roman"/>
          <w:b/>
          <w:bCs/>
        </w:rPr>
        <w:t>28</w:t>
      </w:r>
      <w:r w:rsidRPr="005B14DE">
        <w:rPr>
          <w:rFonts w:ascii="Times New Roman" w:hAnsi="Times New Roman" w:cs="Times New Roman"/>
        </w:rPr>
        <w:t>, 424–441 (2009).</w:t>
      </w:r>
    </w:p>
    <w:p w14:paraId="049603A1"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57. </w:t>
      </w:r>
      <w:r w:rsidRPr="005B14DE">
        <w:rPr>
          <w:rFonts w:ascii="Times New Roman" w:hAnsi="Times New Roman" w:cs="Times New Roman"/>
        </w:rPr>
        <w:tab/>
        <w:t xml:space="preserve">Rodriguez, P. J. </w:t>
      </w:r>
      <w:r w:rsidRPr="005B14DE">
        <w:rPr>
          <w:rFonts w:ascii="Times New Roman" w:hAnsi="Times New Roman" w:cs="Times New Roman"/>
          <w:i/>
          <w:iCs/>
        </w:rPr>
        <w:t>et al.</w:t>
      </w:r>
      <w:r w:rsidRPr="005B14DE">
        <w:rPr>
          <w:rFonts w:ascii="Times New Roman" w:hAnsi="Times New Roman" w:cs="Times New Roman"/>
        </w:rPr>
        <w:t xml:space="preserve"> Discontinuation and Reinitiation of Dual-Labeled GLP-1 Receptor Agonists Among US Adults With Overweight or Obesity. </w:t>
      </w:r>
      <w:r w:rsidRPr="005B14DE">
        <w:rPr>
          <w:rFonts w:ascii="Times New Roman" w:hAnsi="Times New Roman" w:cs="Times New Roman"/>
          <w:i/>
          <w:iCs/>
        </w:rPr>
        <w:t>JAMA Netw. Open</w:t>
      </w:r>
      <w:r w:rsidRPr="005B14DE">
        <w:rPr>
          <w:rFonts w:ascii="Times New Roman" w:hAnsi="Times New Roman" w:cs="Times New Roman"/>
        </w:rPr>
        <w:t xml:space="preserve"> </w:t>
      </w:r>
      <w:r w:rsidRPr="005B14DE">
        <w:rPr>
          <w:rFonts w:ascii="Times New Roman" w:hAnsi="Times New Roman" w:cs="Times New Roman"/>
          <w:b/>
          <w:bCs/>
        </w:rPr>
        <w:t>8</w:t>
      </w:r>
      <w:r w:rsidRPr="005B14DE">
        <w:rPr>
          <w:rFonts w:ascii="Times New Roman" w:hAnsi="Times New Roman" w:cs="Times New Roman"/>
        </w:rPr>
        <w:t>, e2457349 (2025).</w:t>
      </w:r>
    </w:p>
    <w:p w14:paraId="0A15F562"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58. </w:t>
      </w:r>
      <w:r w:rsidRPr="005B14DE">
        <w:rPr>
          <w:rFonts w:ascii="Times New Roman" w:hAnsi="Times New Roman" w:cs="Times New Roman"/>
        </w:rPr>
        <w:tab/>
        <w:t>Circana. GLP-1 Users Will Represent 35% of U.S. Food and Beverage Sales by 2030. https://www.circana.com/post/glp-1-medication-users-to-represent-35-percent-of-u-s-food-and-beverage-sales-by-2030 (2025).</w:t>
      </w:r>
    </w:p>
    <w:p w14:paraId="0773656E"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59. </w:t>
      </w:r>
      <w:r w:rsidRPr="005B14DE">
        <w:rPr>
          <w:rFonts w:ascii="Times New Roman" w:hAnsi="Times New Roman" w:cs="Times New Roman"/>
        </w:rPr>
        <w:tab/>
        <w:t xml:space="preserve">Watanabe, J. H., Kwon, J., Nan, B. &amp; Reikes, A. Trends in glucagon-like peptide 1 receptor agonist use, 2014 to 2022. </w:t>
      </w:r>
      <w:r w:rsidRPr="005B14DE">
        <w:rPr>
          <w:rFonts w:ascii="Times New Roman" w:hAnsi="Times New Roman" w:cs="Times New Roman"/>
          <w:i/>
          <w:iCs/>
        </w:rPr>
        <w:t>J. Am. Pharm. Assoc. JAPhA</w:t>
      </w:r>
      <w:r w:rsidRPr="005B14DE">
        <w:rPr>
          <w:rFonts w:ascii="Times New Roman" w:hAnsi="Times New Roman" w:cs="Times New Roman"/>
        </w:rPr>
        <w:t xml:space="preserve"> </w:t>
      </w:r>
      <w:r w:rsidRPr="005B14DE">
        <w:rPr>
          <w:rFonts w:ascii="Times New Roman" w:hAnsi="Times New Roman" w:cs="Times New Roman"/>
          <w:b/>
          <w:bCs/>
        </w:rPr>
        <w:t>64</w:t>
      </w:r>
      <w:r w:rsidRPr="005B14DE">
        <w:rPr>
          <w:rFonts w:ascii="Times New Roman" w:hAnsi="Times New Roman" w:cs="Times New Roman"/>
        </w:rPr>
        <w:t>, 133–138 (2024).</w:t>
      </w:r>
    </w:p>
    <w:p w14:paraId="7106E29B"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60. </w:t>
      </w:r>
      <w:r w:rsidRPr="005B14DE">
        <w:rPr>
          <w:rFonts w:ascii="Times New Roman" w:hAnsi="Times New Roman" w:cs="Times New Roman"/>
        </w:rPr>
        <w:tab/>
        <w:t xml:space="preserve">Ukhanova, M., Wozny, J. S., Truong, C. N., Ghosh, L. &amp; Krause, T. M. Trends in glucagon-like peptide 1 receptor agonist prescribing patterns. </w:t>
      </w:r>
      <w:r w:rsidRPr="005B14DE">
        <w:rPr>
          <w:rFonts w:ascii="Times New Roman" w:hAnsi="Times New Roman" w:cs="Times New Roman"/>
          <w:i/>
          <w:iCs/>
        </w:rPr>
        <w:t>Am. J. Manag. Care</w:t>
      </w:r>
      <w:r w:rsidRPr="005B14DE">
        <w:rPr>
          <w:rFonts w:ascii="Times New Roman" w:hAnsi="Times New Roman" w:cs="Times New Roman"/>
        </w:rPr>
        <w:t xml:space="preserve"> </w:t>
      </w:r>
      <w:r w:rsidRPr="005B14DE">
        <w:rPr>
          <w:rFonts w:ascii="Times New Roman" w:hAnsi="Times New Roman" w:cs="Times New Roman"/>
          <w:b/>
          <w:bCs/>
        </w:rPr>
        <w:t>31</w:t>
      </w:r>
      <w:r w:rsidRPr="005B14DE">
        <w:rPr>
          <w:rFonts w:ascii="Times New Roman" w:hAnsi="Times New Roman" w:cs="Times New Roman"/>
        </w:rPr>
        <w:t>, e228–e234 (2025).</w:t>
      </w:r>
    </w:p>
    <w:p w14:paraId="3030569C"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61. </w:t>
      </w:r>
      <w:r w:rsidRPr="005B14DE">
        <w:rPr>
          <w:rFonts w:ascii="Times New Roman" w:hAnsi="Times New Roman" w:cs="Times New Roman"/>
        </w:rPr>
        <w:tab/>
        <w:t>Fair Health. White Paper on Obesity and GLP-1 Drugs Released by FAIR Health. http://www.fairhealth.org/article/white-paper-on-obesity-and-glp-1-drugs-released-by-fair-health (2025).</w:t>
      </w:r>
    </w:p>
    <w:p w14:paraId="497773B7"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62. </w:t>
      </w:r>
      <w:r w:rsidRPr="005B14DE">
        <w:rPr>
          <w:rFonts w:ascii="Times New Roman" w:hAnsi="Times New Roman" w:cs="Times New Roman"/>
        </w:rPr>
        <w:tab/>
        <w:t xml:space="preserve">Gratzl, S. </w:t>
      </w:r>
      <w:r w:rsidRPr="005B14DE">
        <w:rPr>
          <w:rFonts w:ascii="Times New Roman" w:hAnsi="Times New Roman" w:cs="Times New Roman"/>
          <w:i/>
          <w:iCs/>
        </w:rPr>
        <w:t>et al.</w:t>
      </w:r>
      <w:r w:rsidRPr="005B14DE">
        <w:rPr>
          <w:rFonts w:ascii="Times New Roman" w:hAnsi="Times New Roman" w:cs="Times New Roman"/>
        </w:rPr>
        <w:t xml:space="preserve"> Monitoring Report: GLP-1 RA Prescribing Trends - March 2024 Data. 2024.01.18.24301500 Preprint at https://doi.org/10.1101/2024.01.18.24301500 (2024).</w:t>
      </w:r>
    </w:p>
    <w:p w14:paraId="069F138B"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63. </w:t>
      </w:r>
      <w:r w:rsidRPr="005B14DE">
        <w:rPr>
          <w:rFonts w:ascii="Times New Roman" w:hAnsi="Times New Roman" w:cs="Times New Roman"/>
        </w:rPr>
        <w:tab/>
        <w:t>Epic Research. GLP-1 Use Has More Than Quadrupled Since 2021 as Obesity Rates Continue to Show Signs of Decline. https://www.epicresearch.org/articles/glp-1-use-has-more-than-quadrupled-since-2021-as-obesity-rates-continue-to-show-signs-of-decline/ (2026).</w:t>
      </w:r>
    </w:p>
    <w:p w14:paraId="1FBD69BB"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64. </w:t>
      </w:r>
      <w:r w:rsidRPr="005B14DE">
        <w:rPr>
          <w:rFonts w:ascii="Times New Roman" w:hAnsi="Times New Roman" w:cs="Times New Roman"/>
        </w:rPr>
        <w:tab/>
        <w:t xml:space="preserve">Bozick, R., Donofry, S. D. &amp; Rancaño, K. M. </w:t>
      </w:r>
      <w:r w:rsidRPr="005B14DE">
        <w:rPr>
          <w:rFonts w:ascii="Times New Roman" w:hAnsi="Times New Roman" w:cs="Times New Roman"/>
          <w:i/>
          <w:iCs/>
        </w:rPr>
        <w:t>New Weight Loss Drugs: GLP-1 Agonist Use and Side Effects in the United States</w:t>
      </w:r>
      <w:r w:rsidRPr="005B14DE">
        <w:rPr>
          <w:rFonts w:ascii="Times New Roman" w:hAnsi="Times New Roman" w:cs="Times New Roman"/>
        </w:rPr>
        <w:t>. https://www.rand.org/pubs/research_reports/RRA4153-1.html (2025).</w:t>
      </w:r>
    </w:p>
    <w:p w14:paraId="408DE12F"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65. </w:t>
      </w:r>
      <w:r w:rsidRPr="005B14DE">
        <w:rPr>
          <w:rFonts w:ascii="Times New Roman" w:hAnsi="Times New Roman" w:cs="Times New Roman"/>
        </w:rPr>
        <w:tab/>
        <w:t xml:space="preserve">KFF. KFF Health Tracking Poll: Prescription Drug Costs, Views on Trump Administration Actions, and GLP-1 Use. </w:t>
      </w:r>
      <w:r w:rsidRPr="005B14DE">
        <w:rPr>
          <w:rFonts w:ascii="Times New Roman" w:hAnsi="Times New Roman" w:cs="Times New Roman"/>
          <w:i/>
          <w:iCs/>
        </w:rPr>
        <w:t>KFF</w:t>
      </w:r>
      <w:r w:rsidRPr="005B14DE">
        <w:rPr>
          <w:rFonts w:ascii="Times New Roman" w:hAnsi="Times New Roman" w:cs="Times New Roman"/>
        </w:rPr>
        <w:t xml:space="preserve"> https://www.kff.org/public-opinion/kff-health-tracking-poll-prescription-drug-costs-views-on-trump-administration-actions-and-glp-1-use/ (2025).</w:t>
      </w:r>
    </w:p>
    <w:p w14:paraId="1E048F09" w14:textId="77777777" w:rsidR="005B14DE" w:rsidRPr="005B14DE" w:rsidRDefault="005B14DE" w:rsidP="005B14DE">
      <w:pPr>
        <w:pStyle w:val="Bibliography"/>
        <w:rPr>
          <w:rFonts w:ascii="Times New Roman" w:hAnsi="Times New Roman" w:cs="Times New Roman"/>
        </w:rPr>
      </w:pPr>
      <w:r w:rsidRPr="005B14DE">
        <w:rPr>
          <w:rFonts w:ascii="Times New Roman" w:hAnsi="Times New Roman" w:cs="Times New Roman"/>
        </w:rPr>
        <w:t xml:space="preserve">66. </w:t>
      </w:r>
      <w:r w:rsidRPr="005B14DE">
        <w:rPr>
          <w:rFonts w:ascii="Times New Roman" w:hAnsi="Times New Roman" w:cs="Times New Roman"/>
        </w:rPr>
        <w:tab/>
        <w:t xml:space="preserve">Aguiar, A., Corong, E. &amp; van der Mensbrugghe, D. </w:t>
      </w:r>
      <w:r w:rsidRPr="005B14DE">
        <w:rPr>
          <w:rFonts w:ascii="Times New Roman" w:hAnsi="Times New Roman" w:cs="Times New Roman"/>
          <w:i/>
          <w:iCs/>
        </w:rPr>
        <w:t>The GTAP Recursive Dynamic (GTAP-RD) Model: Version 1.0</w:t>
      </w:r>
      <w:r w:rsidRPr="005B14DE">
        <w:rPr>
          <w:rFonts w:ascii="Times New Roman" w:hAnsi="Times New Roman" w:cs="Times New Roman"/>
        </w:rPr>
        <w:t>. (2020).</w:t>
      </w:r>
    </w:p>
    <w:p w14:paraId="7CC86F4E" w14:textId="37824213" w:rsidR="005B14DE" w:rsidRPr="005B14DE" w:rsidRDefault="005B14DE" w:rsidP="005B14DE">
      <w:pPr>
        <w:rPr>
          <w:rFonts w:ascii="Times New Roman" w:hAnsi="Times New Roman" w:cs="Times New Roman"/>
        </w:rPr>
      </w:pPr>
      <w:r w:rsidRPr="005B14DE">
        <w:rPr>
          <w:rFonts w:ascii="Times New Roman" w:hAnsi="Times New Roman" w:cs="Times New Roman"/>
        </w:rPr>
        <w:fldChar w:fldCharType="end"/>
      </w:r>
    </w:p>
    <w:sectPr w:rsidR="005B14DE" w:rsidRPr="005B14DE" w:rsidSect="007638CE">
      <w:headerReference w:type="default" r:id="rId21"/>
      <w:footerReference w:type="default" r:id="rId2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47629" w14:textId="77777777" w:rsidR="001371D5" w:rsidRDefault="001371D5">
      <w:pPr>
        <w:spacing w:after="0" w:line="240" w:lineRule="auto"/>
      </w:pPr>
      <w:r>
        <w:separator/>
      </w:r>
    </w:p>
  </w:endnote>
  <w:endnote w:type="continuationSeparator" w:id="0">
    <w:p w14:paraId="2E3A1BEF" w14:textId="77777777" w:rsidR="001371D5" w:rsidRDefault="00137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17202"/>
      <w:docPartObj>
        <w:docPartGallery w:val="Page Numbers (Bottom of Page)"/>
        <w:docPartUnique/>
      </w:docPartObj>
    </w:sdtPr>
    <w:sdtEndPr>
      <w:rPr>
        <w:noProof/>
      </w:rPr>
    </w:sdtEndPr>
    <w:sdtContent>
      <w:p w14:paraId="759A04E2" w14:textId="46673BD4" w:rsidR="00A748EB" w:rsidRDefault="00A748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C431D5" w14:textId="7AD5374A" w:rsidR="10741CBD" w:rsidRDefault="10741CBD" w:rsidP="10741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47CE3" w14:textId="77777777" w:rsidR="001371D5" w:rsidRDefault="001371D5">
      <w:pPr>
        <w:spacing w:after="0" w:line="240" w:lineRule="auto"/>
      </w:pPr>
      <w:r>
        <w:separator/>
      </w:r>
    </w:p>
  </w:footnote>
  <w:footnote w:type="continuationSeparator" w:id="0">
    <w:p w14:paraId="098FDE23" w14:textId="77777777" w:rsidR="001371D5" w:rsidRDefault="00137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0741CBD" w14:paraId="2C38B26F" w14:textId="77777777" w:rsidTr="10741CBD">
      <w:trPr>
        <w:trHeight w:val="300"/>
      </w:trPr>
      <w:tc>
        <w:tcPr>
          <w:tcW w:w="3120" w:type="dxa"/>
        </w:tcPr>
        <w:p w14:paraId="00DF0BED" w14:textId="19D8FF6B" w:rsidR="10741CBD" w:rsidRDefault="10741CBD" w:rsidP="10741CBD">
          <w:pPr>
            <w:pStyle w:val="Header"/>
            <w:ind w:left="-115"/>
          </w:pPr>
        </w:p>
      </w:tc>
      <w:tc>
        <w:tcPr>
          <w:tcW w:w="3120" w:type="dxa"/>
        </w:tcPr>
        <w:p w14:paraId="167F9AAB" w14:textId="3E06D3E6" w:rsidR="10741CBD" w:rsidRDefault="10741CBD" w:rsidP="10741CBD">
          <w:pPr>
            <w:pStyle w:val="Header"/>
            <w:jc w:val="center"/>
          </w:pPr>
        </w:p>
      </w:tc>
      <w:tc>
        <w:tcPr>
          <w:tcW w:w="3120" w:type="dxa"/>
        </w:tcPr>
        <w:p w14:paraId="5C2909FF" w14:textId="3DA93FF9" w:rsidR="10741CBD" w:rsidRDefault="10741CBD" w:rsidP="10741CBD">
          <w:pPr>
            <w:pStyle w:val="Header"/>
            <w:ind w:right="-115"/>
            <w:jc w:val="right"/>
          </w:pPr>
        </w:p>
      </w:tc>
    </w:tr>
  </w:tbl>
  <w:p w14:paraId="550A9C33" w14:textId="254D2F04" w:rsidR="10741CBD" w:rsidRDefault="10741CBD" w:rsidP="10741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5BB"/>
    <w:multiLevelType w:val="hybridMultilevel"/>
    <w:tmpl w:val="895E4F18"/>
    <w:lvl w:ilvl="0" w:tplc="0409000F">
      <w:start w:val="1"/>
      <w:numFmt w:val="decimal"/>
      <w:lvlText w:val="%1."/>
      <w:lvlJc w:val="left"/>
      <w:pPr>
        <w:ind w:left="360" w:hanging="360"/>
      </w:pPr>
      <w:rPr>
        <w:rFonts w:hint="default"/>
      </w:rPr>
    </w:lvl>
    <w:lvl w:ilvl="1" w:tplc="3050CB5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23D1C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24B071A"/>
    <w:multiLevelType w:val="hybridMultilevel"/>
    <w:tmpl w:val="1C3A5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81116"/>
    <w:multiLevelType w:val="hybridMultilevel"/>
    <w:tmpl w:val="20B4FC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D1E2E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575389D"/>
    <w:multiLevelType w:val="hybridMultilevel"/>
    <w:tmpl w:val="5530A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8551F7"/>
    <w:multiLevelType w:val="multilevel"/>
    <w:tmpl w:val="63AE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3F2BC4"/>
    <w:multiLevelType w:val="hybridMultilevel"/>
    <w:tmpl w:val="D834DBAA"/>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83153562">
    <w:abstractNumId w:val="6"/>
  </w:num>
  <w:num w:numId="2" w16cid:durableId="703477841">
    <w:abstractNumId w:val="5"/>
  </w:num>
  <w:num w:numId="3" w16cid:durableId="993725794">
    <w:abstractNumId w:val="2"/>
  </w:num>
  <w:num w:numId="4" w16cid:durableId="514735808">
    <w:abstractNumId w:val="3"/>
  </w:num>
  <w:num w:numId="5" w16cid:durableId="1558736038">
    <w:abstractNumId w:val="0"/>
  </w:num>
  <w:num w:numId="6" w16cid:durableId="399334351">
    <w:abstractNumId w:val="7"/>
  </w:num>
  <w:num w:numId="7" w16cid:durableId="877935360">
    <w:abstractNumId w:val="1"/>
  </w:num>
  <w:num w:numId="8" w16cid:durableId="1033822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E50"/>
    <w:rsid w:val="000001E2"/>
    <w:rsid w:val="0000631D"/>
    <w:rsid w:val="0000686B"/>
    <w:rsid w:val="00010060"/>
    <w:rsid w:val="00014DB1"/>
    <w:rsid w:val="00016455"/>
    <w:rsid w:val="00016D4F"/>
    <w:rsid w:val="00020D91"/>
    <w:rsid w:val="00023708"/>
    <w:rsid w:val="000238C5"/>
    <w:rsid w:val="000255EB"/>
    <w:rsid w:val="00025C0F"/>
    <w:rsid w:val="00031F30"/>
    <w:rsid w:val="00040D55"/>
    <w:rsid w:val="00041DCB"/>
    <w:rsid w:val="0004342E"/>
    <w:rsid w:val="00044E30"/>
    <w:rsid w:val="00045243"/>
    <w:rsid w:val="0005106D"/>
    <w:rsid w:val="00051C59"/>
    <w:rsid w:val="00052683"/>
    <w:rsid w:val="00053845"/>
    <w:rsid w:val="00053ED3"/>
    <w:rsid w:val="000622F1"/>
    <w:rsid w:val="000731E2"/>
    <w:rsid w:val="0007461D"/>
    <w:rsid w:val="00080FA4"/>
    <w:rsid w:val="00086C70"/>
    <w:rsid w:val="000922A9"/>
    <w:rsid w:val="000B46DB"/>
    <w:rsid w:val="000C0EEC"/>
    <w:rsid w:val="000C58C4"/>
    <w:rsid w:val="000C6F96"/>
    <w:rsid w:val="000D575E"/>
    <w:rsid w:val="000E56E3"/>
    <w:rsid w:val="000E7200"/>
    <w:rsid w:val="000F2878"/>
    <w:rsid w:val="000F6CB9"/>
    <w:rsid w:val="000F7125"/>
    <w:rsid w:val="000F71C0"/>
    <w:rsid w:val="0011267F"/>
    <w:rsid w:val="001135A3"/>
    <w:rsid w:val="001162D1"/>
    <w:rsid w:val="001303B1"/>
    <w:rsid w:val="00133A56"/>
    <w:rsid w:val="00133F62"/>
    <w:rsid w:val="00135072"/>
    <w:rsid w:val="001354E1"/>
    <w:rsid w:val="00135CD9"/>
    <w:rsid w:val="001371D5"/>
    <w:rsid w:val="0014731E"/>
    <w:rsid w:val="00147ECE"/>
    <w:rsid w:val="00151A90"/>
    <w:rsid w:val="00153245"/>
    <w:rsid w:val="00161A5F"/>
    <w:rsid w:val="00161B83"/>
    <w:rsid w:val="0017192C"/>
    <w:rsid w:val="00171A72"/>
    <w:rsid w:val="001739C7"/>
    <w:rsid w:val="00175536"/>
    <w:rsid w:val="00175D14"/>
    <w:rsid w:val="00176D3E"/>
    <w:rsid w:val="00177A1B"/>
    <w:rsid w:val="0018090D"/>
    <w:rsid w:val="00181F11"/>
    <w:rsid w:val="0018662C"/>
    <w:rsid w:val="00190C77"/>
    <w:rsid w:val="0019104A"/>
    <w:rsid w:val="001A1A08"/>
    <w:rsid w:val="001A2F9D"/>
    <w:rsid w:val="001A34EE"/>
    <w:rsid w:val="001A4002"/>
    <w:rsid w:val="001A640F"/>
    <w:rsid w:val="001B3D59"/>
    <w:rsid w:val="001B6820"/>
    <w:rsid w:val="001B6C0D"/>
    <w:rsid w:val="001C0AE3"/>
    <w:rsid w:val="001C4C1D"/>
    <w:rsid w:val="001D0EEB"/>
    <w:rsid w:val="001D1A0A"/>
    <w:rsid w:val="001D77A3"/>
    <w:rsid w:val="001E38A6"/>
    <w:rsid w:val="001E5B8B"/>
    <w:rsid w:val="001F2A17"/>
    <w:rsid w:val="001F39CB"/>
    <w:rsid w:val="001F4A50"/>
    <w:rsid w:val="001F4D24"/>
    <w:rsid w:val="001F60B6"/>
    <w:rsid w:val="0020503A"/>
    <w:rsid w:val="00205E77"/>
    <w:rsid w:val="00212E23"/>
    <w:rsid w:val="00217242"/>
    <w:rsid w:val="002249E5"/>
    <w:rsid w:val="00233624"/>
    <w:rsid w:val="00236744"/>
    <w:rsid w:val="00244C63"/>
    <w:rsid w:val="0024510A"/>
    <w:rsid w:val="002458EB"/>
    <w:rsid w:val="002534D1"/>
    <w:rsid w:val="0025436F"/>
    <w:rsid w:val="00261387"/>
    <w:rsid w:val="00264825"/>
    <w:rsid w:val="00264913"/>
    <w:rsid w:val="00270B09"/>
    <w:rsid w:val="00273ECF"/>
    <w:rsid w:val="00283046"/>
    <w:rsid w:val="00284885"/>
    <w:rsid w:val="002850BD"/>
    <w:rsid w:val="00285766"/>
    <w:rsid w:val="00290A72"/>
    <w:rsid w:val="00291092"/>
    <w:rsid w:val="00293BBA"/>
    <w:rsid w:val="00293E36"/>
    <w:rsid w:val="002A44D5"/>
    <w:rsid w:val="002A4EE2"/>
    <w:rsid w:val="002A61F0"/>
    <w:rsid w:val="002A7407"/>
    <w:rsid w:val="002B07A5"/>
    <w:rsid w:val="002B0B0B"/>
    <w:rsid w:val="002B2B7A"/>
    <w:rsid w:val="002B49D7"/>
    <w:rsid w:val="002B55B0"/>
    <w:rsid w:val="002C3ECD"/>
    <w:rsid w:val="002C4EFF"/>
    <w:rsid w:val="002D02EE"/>
    <w:rsid w:val="002D0FE1"/>
    <w:rsid w:val="002D2670"/>
    <w:rsid w:val="002E2491"/>
    <w:rsid w:val="002E63C5"/>
    <w:rsid w:val="002F087C"/>
    <w:rsid w:val="002F0942"/>
    <w:rsid w:val="002F25BB"/>
    <w:rsid w:val="002F43BE"/>
    <w:rsid w:val="002F5D50"/>
    <w:rsid w:val="002F6388"/>
    <w:rsid w:val="0030539F"/>
    <w:rsid w:val="003179DD"/>
    <w:rsid w:val="0032062F"/>
    <w:rsid w:val="003208BE"/>
    <w:rsid w:val="00321149"/>
    <w:rsid w:val="003219B8"/>
    <w:rsid w:val="00324BC2"/>
    <w:rsid w:val="003305FE"/>
    <w:rsid w:val="003368CF"/>
    <w:rsid w:val="00341589"/>
    <w:rsid w:val="00342EE0"/>
    <w:rsid w:val="00343DF0"/>
    <w:rsid w:val="003449BE"/>
    <w:rsid w:val="0034580B"/>
    <w:rsid w:val="003476C0"/>
    <w:rsid w:val="00353AD6"/>
    <w:rsid w:val="00360F31"/>
    <w:rsid w:val="00367722"/>
    <w:rsid w:val="00373418"/>
    <w:rsid w:val="00381189"/>
    <w:rsid w:val="00381E1E"/>
    <w:rsid w:val="00385F22"/>
    <w:rsid w:val="00387137"/>
    <w:rsid w:val="003942E7"/>
    <w:rsid w:val="003A10AF"/>
    <w:rsid w:val="003A5A05"/>
    <w:rsid w:val="003A65CC"/>
    <w:rsid w:val="003A6ECC"/>
    <w:rsid w:val="003A769E"/>
    <w:rsid w:val="003A77DD"/>
    <w:rsid w:val="003B2F44"/>
    <w:rsid w:val="003B3C5D"/>
    <w:rsid w:val="003B5604"/>
    <w:rsid w:val="003B58B7"/>
    <w:rsid w:val="003B6159"/>
    <w:rsid w:val="003B738A"/>
    <w:rsid w:val="003C010E"/>
    <w:rsid w:val="003C2A00"/>
    <w:rsid w:val="003C2C72"/>
    <w:rsid w:val="003C5595"/>
    <w:rsid w:val="003D073B"/>
    <w:rsid w:val="003D71C9"/>
    <w:rsid w:val="003D75E2"/>
    <w:rsid w:val="003E63A8"/>
    <w:rsid w:val="003F1266"/>
    <w:rsid w:val="003F29BA"/>
    <w:rsid w:val="003F2DD8"/>
    <w:rsid w:val="003F491D"/>
    <w:rsid w:val="003F4FB3"/>
    <w:rsid w:val="003F5628"/>
    <w:rsid w:val="003F5FF8"/>
    <w:rsid w:val="004032B2"/>
    <w:rsid w:val="00407DA0"/>
    <w:rsid w:val="004153B4"/>
    <w:rsid w:val="00423D72"/>
    <w:rsid w:val="00427D4D"/>
    <w:rsid w:val="00432391"/>
    <w:rsid w:val="004335E2"/>
    <w:rsid w:val="004368E6"/>
    <w:rsid w:val="004370C2"/>
    <w:rsid w:val="0043747F"/>
    <w:rsid w:val="00441BEC"/>
    <w:rsid w:val="0044494B"/>
    <w:rsid w:val="00444AF3"/>
    <w:rsid w:val="004458F5"/>
    <w:rsid w:val="004523AB"/>
    <w:rsid w:val="00455FA1"/>
    <w:rsid w:val="00456866"/>
    <w:rsid w:val="00456C77"/>
    <w:rsid w:val="00456CFE"/>
    <w:rsid w:val="00457974"/>
    <w:rsid w:val="00457D7E"/>
    <w:rsid w:val="00461B91"/>
    <w:rsid w:val="00462AE2"/>
    <w:rsid w:val="00471D80"/>
    <w:rsid w:val="00471EA8"/>
    <w:rsid w:val="004720D2"/>
    <w:rsid w:val="00473808"/>
    <w:rsid w:val="004740A3"/>
    <w:rsid w:val="0047442C"/>
    <w:rsid w:val="0047786D"/>
    <w:rsid w:val="004817FE"/>
    <w:rsid w:val="00482C86"/>
    <w:rsid w:val="00482F3F"/>
    <w:rsid w:val="004867C0"/>
    <w:rsid w:val="004941EC"/>
    <w:rsid w:val="0049591D"/>
    <w:rsid w:val="004A06A8"/>
    <w:rsid w:val="004A5B14"/>
    <w:rsid w:val="004B3249"/>
    <w:rsid w:val="004B3E23"/>
    <w:rsid w:val="004B4726"/>
    <w:rsid w:val="004B49D6"/>
    <w:rsid w:val="004C25F1"/>
    <w:rsid w:val="004C287C"/>
    <w:rsid w:val="004C58ED"/>
    <w:rsid w:val="004C6E6E"/>
    <w:rsid w:val="004D0CE8"/>
    <w:rsid w:val="004D1AB1"/>
    <w:rsid w:val="004D514A"/>
    <w:rsid w:val="004E3599"/>
    <w:rsid w:val="004E4521"/>
    <w:rsid w:val="004E708F"/>
    <w:rsid w:val="004F03F7"/>
    <w:rsid w:val="004F07FC"/>
    <w:rsid w:val="004F26CC"/>
    <w:rsid w:val="004F6026"/>
    <w:rsid w:val="004F7E0B"/>
    <w:rsid w:val="00503D7E"/>
    <w:rsid w:val="005041C1"/>
    <w:rsid w:val="005127E8"/>
    <w:rsid w:val="0051620D"/>
    <w:rsid w:val="005216DB"/>
    <w:rsid w:val="00526B64"/>
    <w:rsid w:val="00526E2D"/>
    <w:rsid w:val="0052785D"/>
    <w:rsid w:val="00531678"/>
    <w:rsid w:val="00532200"/>
    <w:rsid w:val="00534AC7"/>
    <w:rsid w:val="00535A2E"/>
    <w:rsid w:val="005438C5"/>
    <w:rsid w:val="00551A25"/>
    <w:rsid w:val="00552095"/>
    <w:rsid w:val="00552440"/>
    <w:rsid w:val="00557332"/>
    <w:rsid w:val="005605A1"/>
    <w:rsid w:val="0056087C"/>
    <w:rsid w:val="005641BB"/>
    <w:rsid w:val="00565565"/>
    <w:rsid w:val="0056756D"/>
    <w:rsid w:val="00570FC8"/>
    <w:rsid w:val="00572962"/>
    <w:rsid w:val="00572A44"/>
    <w:rsid w:val="00574ADF"/>
    <w:rsid w:val="00580778"/>
    <w:rsid w:val="00583E02"/>
    <w:rsid w:val="0058454A"/>
    <w:rsid w:val="00587FDA"/>
    <w:rsid w:val="0059560B"/>
    <w:rsid w:val="00597E44"/>
    <w:rsid w:val="005A0C53"/>
    <w:rsid w:val="005A1C9A"/>
    <w:rsid w:val="005A3834"/>
    <w:rsid w:val="005A3D90"/>
    <w:rsid w:val="005A444F"/>
    <w:rsid w:val="005A4F0E"/>
    <w:rsid w:val="005A69E3"/>
    <w:rsid w:val="005A6CFD"/>
    <w:rsid w:val="005B14DE"/>
    <w:rsid w:val="005B22F5"/>
    <w:rsid w:val="005B2A1F"/>
    <w:rsid w:val="005B2B50"/>
    <w:rsid w:val="005B75C7"/>
    <w:rsid w:val="005C0C6C"/>
    <w:rsid w:val="005C1DE9"/>
    <w:rsid w:val="005C2CEA"/>
    <w:rsid w:val="005C6DDA"/>
    <w:rsid w:val="005C704D"/>
    <w:rsid w:val="005D3126"/>
    <w:rsid w:val="005D37F8"/>
    <w:rsid w:val="005D5189"/>
    <w:rsid w:val="005D5DE7"/>
    <w:rsid w:val="005E0F52"/>
    <w:rsid w:val="005E2AF9"/>
    <w:rsid w:val="005E37A3"/>
    <w:rsid w:val="005E52DE"/>
    <w:rsid w:val="005E7B76"/>
    <w:rsid w:val="005F192C"/>
    <w:rsid w:val="005F6E37"/>
    <w:rsid w:val="006029F7"/>
    <w:rsid w:val="00603235"/>
    <w:rsid w:val="00604FCD"/>
    <w:rsid w:val="006050FD"/>
    <w:rsid w:val="0061081D"/>
    <w:rsid w:val="006118D9"/>
    <w:rsid w:val="00612215"/>
    <w:rsid w:val="00614D4E"/>
    <w:rsid w:val="0062738A"/>
    <w:rsid w:val="006351FF"/>
    <w:rsid w:val="00640055"/>
    <w:rsid w:val="00641086"/>
    <w:rsid w:val="00645C4F"/>
    <w:rsid w:val="00646474"/>
    <w:rsid w:val="00651949"/>
    <w:rsid w:val="00654FE2"/>
    <w:rsid w:val="006577FF"/>
    <w:rsid w:val="006636C0"/>
    <w:rsid w:val="006644B4"/>
    <w:rsid w:val="00666730"/>
    <w:rsid w:val="00667245"/>
    <w:rsid w:val="00670C0F"/>
    <w:rsid w:val="00682743"/>
    <w:rsid w:val="006855A7"/>
    <w:rsid w:val="0069075C"/>
    <w:rsid w:val="006945CA"/>
    <w:rsid w:val="006945E4"/>
    <w:rsid w:val="006949B8"/>
    <w:rsid w:val="006A051D"/>
    <w:rsid w:val="006A7A5B"/>
    <w:rsid w:val="006B152C"/>
    <w:rsid w:val="006B3169"/>
    <w:rsid w:val="006B32BA"/>
    <w:rsid w:val="006C1E93"/>
    <w:rsid w:val="006C22CC"/>
    <w:rsid w:val="006C3863"/>
    <w:rsid w:val="006D3726"/>
    <w:rsid w:val="006E09A5"/>
    <w:rsid w:val="006E3D93"/>
    <w:rsid w:val="006E4A37"/>
    <w:rsid w:val="006E5A3C"/>
    <w:rsid w:val="006F23DD"/>
    <w:rsid w:val="006F3690"/>
    <w:rsid w:val="006F64AE"/>
    <w:rsid w:val="006F6ADC"/>
    <w:rsid w:val="006F7DD9"/>
    <w:rsid w:val="00704675"/>
    <w:rsid w:val="007067AB"/>
    <w:rsid w:val="00707957"/>
    <w:rsid w:val="00707ADB"/>
    <w:rsid w:val="00707FC9"/>
    <w:rsid w:val="00711C53"/>
    <w:rsid w:val="0071205B"/>
    <w:rsid w:val="00715AEB"/>
    <w:rsid w:val="007166E2"/>
    <w:rsid w:val="00723902"/>
    <w:rsid w:val="00727830"/>
    <w:rsid w:val="00730749"/>
    <w:rsid w:val="00734E27"/>
    <w:rsid w:val="0073661C"/>
    <w:rsid w:val="00737C92"/>
    <w:rsid w:val="00740FB9"/>
    <w:rsid w:val="00744E93"/>
    <w:rsid w:val="00745E72"/>
    <w:rsid w:val="007470C2"/>
    <w:rsid w:val="007531F9"/>
    <w:rsid w:val="007561F1"/>
    <w:rsid w:val="0075693F"/>
    <w:rsid w:val="0076004F"/>
    <w:rsid w:val="007638CE"/>
    <w:rsid w:val="00765EB2"/>
    <w:rsid w:val="00766D3E"/>
    <w:rsid w:val="007750A0"/>
    <w:rsid w:val="007757EB"/>
    <w:rsid w:val="00777BFC"/>
    <w:rsid w:val="00781985"/>
    <w:rsid w:val="00783672"/>
    <w:rsid w:val="007903FA"/>
    <w:rsid w:val="00790A09"/>
    <w:rsid w:val="0079166A"/>
    <w:rsid w:val="00792FB7"/>
    <w:rsid w:val="007938F2"/>
    <w:rsid w:val="00795FF7"/>
    <w:rsid w:val="007971CB"/>
    <w:rsid w:val="007976F9"/>
    <w:rsid w:val="007A5712"/>
    <w:rsid w:val="007B1E7B"/>
    <w:rsid w:val="007B3335"/>
    <w:rsid w:val="007B4E36"/>
    <w:rsid w:val="007C2415"/>
    <w:rsid w:val="007C348B"/>
    <w:rsid w:val="007C7897"/>
    <w:rsid w:val="007C7FE7"/>
    <w:rsid w:val="007D1921"/>
    <w:rsid w:val="007D1D6B"/>
    <w:rsid w:val="007D1D84"/>
    <w:rsid w:val="007D2D3C"/>
    <w:rsid w:val="007D34DA"/>
    <w:rsid w:val="007D426B"/>
    <w:rsid w:val="007D5695"/>
    <w:rsid w:val="007E1390"/>
    <w:rsid w:val="007E1E18"/>
    <w:rsid w:val="007E3183"/>
    <w:rsid w:val="007E4A00"/>
    <w:rsid w:val="007E76EC"/>
    <w:rsid w:val="007F219E"/>
    <w:rsid w:val="007F4C57"/>
    <w:rsid w:val="007F4E85"/>
    <w:rsid w:val="007F5D78"/>
    <w:rsid w:val="007F78B8"/>
    <w:rsid w:val="008011FA"/>
    <w:rsid w:val="0080143A"/>
    <w:rsid w:val="00807A9A"/>
    <w:rsid w:val="00814677"/>
    <w:rsid w:val="00814928"/>
    <w:rsid w:val="00816B62"/>
    <w:rsid w:val="00817DB0"/>
    <w:rsid w:val="008210E1"/>
    <w:rsid w:val="00822639"/>
    <w:rsid w:val="00822E36"/>
    <w:rsid w:val="00824851"/>
    <w:rsid w:val="008250EB"/>
    <w:rsid w:val="00833867"/>
    <w:rsid w:val="00837108"/>
    <w:rsid w:val="00837F27"/>
    <w:rsid w:val="00842850"/>
    <w:rsid w:val="00851FC1"/>
    <w:rsid w:val="00860544"/>
    <w:rsid w:val="00866837"/>
    <w:rsid w:val="00866A1C"/>
    <w:rsid w:val="008724E3"/>
    <w:rsid w:val="00873D30"/>
    <w:rsid w:val="00875287"/>
    <w:rsid w:val="00876E0D"/>
    <w:rsid w:val="0088231C"/>
    <w:rsid w:val="00884A0A"/>
    <w:rsid w:val="008866BC"/>
    <w:rsid w:val="00886786"/>
    <w:rsid w:val="0089314B"/>
    <w:rsid w:val="0089484A"/>
    <w:rsid w:val="00897287"/>
    <w:rsid w:val="008975D5"/>
    <w:rsid w:val="008A6579"/>
    <w:rsid w:val="008B0DA1"/>
    <w:rsid w:val="008B0FB7"/>
    <w:rsid w:val="008B5581"/>
    <w:rsid w:val="008B5976"/>
    <w:rsid w:val="008B5C4C"/>
    <w:rsid w:val="008B63EA"/>
    <w:rsid w:val="008C1538"/>
    <w:rsid w:val="008C3DD5"/>
    <w:rsid w:val="008C42E9"/>
    <w:rsid w:val="008C6B11"/>
    <w:rsid w:val="008D4ACE"/>
    <w:rsid w:val="008E16C0"/>
    <w:rsid w:val="008E2531"/>
    <w:rsid w:val="008E2859"/>
    <w:rsid w:val="008E39DB"/>
    <w:rsid w:val="008E5FA0"/>
    <w:rsid w:val="008E6449"/>
    <w:rsid w:val="008F0990"/>
    <w:rsid w:val="008F3251"/>
    <w:rsid w:val="008F7DDE"/>
    <w:rsid w:val="00900906"/>
    <w:rsid w:val="0090355C"/>
    <w:rsid w:val="00907639"/>
    <w:rsid w:val="009106C3"/>
    <w:rsid w:val="00917534"/>
    <w:rsid w:val="00920BDD"/>
    <w:rsid w:val="0093026F"/>
    <w:rsid w:val="0093144D"/>
    <w:rsid w:val="0093203E"/>
    <w:rsid w:val="00932B1F"/>
    <w:rsid w:val="00934DB1"/>
    <w:rsid w:val="00940CF8"/>
    <w:rsid w:val="00944C7F"/>
    <w:rsid w:val="0094631D"/>
    <w:rsid w:val="00947EC0"/>
    <w:rsid w:val="00956B1B"/>
    <w:rsid w:val="00957540"/>
    <w:rsid w:val="009608C2"/>
    <w:rsid w:val="009622EE"/>
    <w:rsid w:val="00963B35"/>
    <w:rsid w:val="009642D4"/>
    <w:rsid w:val="009646BB"/>
    <w:rsid w:val="009873A7"/>
    <w:rsid w:val="0099187B"/>
    <w:rsid w:val="009922FF"/>
    <w:rsid w:val="009A4A8B"/>
    <w:rsid w:val="009B6C45"/>
    <w:rsid w:val="009B71F0"/>
    <w:rsid w:val="009C109E"/>
    <w:rsid w:val="009C117B"/>
    <w:rsid w:val="009C3536"/>
    <w:rsid w:val="009C50DD"/>
    <w:rsid w:val="009E1827"/>
    <w:rsid w:val="009E1C2B"/>
    <w:rsid w:val="009E61C5"/>
    <w:rsid w:val="009E62EF"/>
    <w:rsid w:val="009F24BD"/>
    <w:rsid w:val="009F52B8"/>
    <w:rsid w:val="009F6D6A"/>
    <w:rsid w:val="009F6E89"/>
    <w:rsid w:val="00A0078B"/>
    <w:rsid w:val="00A02C94"/>
    <w:rsid w:val="00A05B06"/>
    <w:rsid w:val="00A07055"/>
    <w:rsid w:val="00A075A9"/>
    <w:rsid w:val="00A11F68"/>
    <w:rsid w:val="00A20036"/>
    <w:rsid w:val="00A2596B"/>
    <w:rsid w:val="00A27EEA"/>
    <w:rsid w:val="00A33D74"/>
    <w:rsid w:val="00A36A0A"/>
    <w:rsid w:val="00A41A32"/>
    <w:rsid w:val="00A455CD"/>
    <w:rsid w:val="00A4598F"/>
    <w:rsid w:val="00A46124"/>
    <w:rsid w:val="00A504E1"/>
    <w:rsid w:val="00A50BBD"/>
    <w:rsid w:val="00A549F3"/>
    <w:rsid w:val="00A55D0E"/>
    <w:rsid w:val="00A560E6"/>
    <w:rsid w:val="00A56E17"/>
    <w:rsid w:val="00A611C6"/>
    <w:rsid w:val="00A61B80"/>
    <w:rsid w:val="00A63AF6"/>
    <w:rsid w:val="00A63F6A"/>
    <w:rsid w:val="00A65160"/>
    <w:rsid w:val="00A7074B"/>
    <w:rsid w:val="00A736DF"/>
    <w:rsid w:val="00A748EB"/>
    <w:rsid w:val="00A75A10"/>
    <w:rsid w:val="00A76655"/>
    <w:rsid w:val="00A8044A"/>
    <w:rsid w:val="00A836F0"/>
    <w:rsid w:val="00A846EA"/>
    <w:rsid w:val="00A855A4"/>
    <w:rsid w:val="00A8606D"/>
    <w:rsid w:val="00A8657A"/>
    <w:rsid w:val="00A869B1"/>
    <w:rsid w:val="00A86EDB"/>
    <w:rsid w:val="00A8755F"/>
    <w:rsid w:val="00A906B4"/>
    <w:rsid w:val="00A907B7"/>
    <w:rsid w:val="00A937DC"/>
    <w:rsid w:val="00A962B7"/>
    <w:rsid w:val="00A97B7D"/>
    <w:rsid w:val="00AA0100"/>
    <w:rsid w:val="00AA30CF"/>
    <w:rsid w:val="00AA35A8"/>
    <w:rsid w:val="00AA6AFE"/>
    <w:rsid w:val="00AB192C"/>
    <w:rsid w:val="00AB379E"/>
    <w:rsid w:val="00AB6670"/>
    <w:rsid w:val="00AB7183"/>
    <w:rsid w:val="00AB73C8"/>
    <w:rsid w:val="00AC0427"/>
    <w:rsid w:val="00AC1036"/>
    <w:rsid w:val="00AC30B0"/>
    <w:rsid w:val="00AC52D8"/>
    <w:rsid w:val="00AC638E"/>
    <w:rsid w:val="00AD0ACF"/>
    <w:rsid w:val="00AD1052"/>
    <w:rsid w:val="00AE0942"/>
    <w:rsid w:val="00AE1A74"/>
    <w:rsid w:val="00AE38F6"/>
    <w:rsid w:val="00AE5476"/>
    <w:rsid w:val="00AE5A60"/>
    <w:rsid w:val="00AE6DBA"/>
    <w:rsid w:val="00AE72F1"/>
    <w:rsid w:val="00AE7D77"/>
    <w:rsid w:val="00AF0ACB"/>
    <w:rsid w:val="00AF39EE"/>
    <w:rsid w:val="00AF54C0"/>
    <w:rsid w:val="00AF7FFA"/>
    <w:rsid w:val="00B0221F"/>
    <w:rsid w:val="00B0232D"/>
    <w:rsid w:val="00B06226"/>
    <w:rsid w:val="00B11F0A"/>
    <w:rsid w:val="00B131FF"/>
    <w:rsid w:val="00B14133"/>
    <w:rsid w:val="00B21233"/>
    <w:rsid w:val="00B2357A"/>
    <w:rsid w:val="00B30FD8"/>
    <w:rsid w:val="00B31E50"/>
    <w:rsid w:val="00B33CC1"/>
    <w:rsid w:val="00B34F79"/>
    <w:rsid w:val="00B3572B"/>
    <w:rsid w:val="00B37A4D"/>
    <w:rsid w:val="00B4204D"/>
    <w:rsid w:val="00B44D01"/>
    <w:rsid w:val="00B52D68"/>
    <w:rsid w:val="00B6057E"/>
    <w:rsid w:val="00B64FA4"/>
    <w:rsid w:val="00B66436"/>
    <w:rsid w:val="00B76404"/>
    <w:rsid w:val="00B77711"/>
    <w:rsid w:val="00B8530D"/>
    <w:rsid w:val="00B90607"/>
    <w:rsid w:val="00B919BA"/>
    <w:rsid w:val="00B924F8"/>
    <w:rsid w:val="00B925BD"/>
    <w:rsid w:val="00B92ECB"/>
    <w:rsid w:val="00B94ECD"/>
    <w:rsid w:val="00BB2522"/>
    <w:rsid w:val="00BC771C"/>
    <w:rsid w:val="00BD02A2"/>
    <w:rsid w:val="00BD51EB"/>
    <w:rsid w:val="00BD5412"/>
    <w:rsid w:val="00BD5FEB"/>
    <w:rsid w:val="00BD7460"/>
    <w:rsid w:val="00BE36F7"/>
    <w:rsid w:val="00BE4B0D"/>
    <w:rsid w:val="00BE6724"/>
    <w:rsid w:val="00BE75AA"/>
    <w:rsid w:val="00BF1CDB"/>
    <w:rsid w:val="00BF7665"/>
    <w:rsid w:val="00C019C7"/>
    <w:rsid w:val="00C02593"/>
    <w:rsid w:val="00C03AC1"/>
    <w:rsid w:val="00C068EA"/>
    <w:rsid w:val="00C20AD6"/>
    <w:rsid w:val="00C2193D"/>
    <w:rsid w:val="00C220E3"/>
    <w:rsid w:val="00C26AC8"/>
    <w:rsid w:val="00C30043"/>
    <w:rsid w:val="00C350CF"/>
    <w:rsid w:val="00C40697"/>
    <w:rsid w:val="00C44D2F"/>
    <w:rsid w:val="00C47CBF"/>
    <w:rsid w:val="00C54134"/>
    <w:rsid w:val="00C60A2D"/>
    <w:rsid w:val="00C612B1"/>
    <w:rsid w:val="00C64017"/>
    <w:rsid w:val="00C64165"/>
    <w:rsid w:val="00C66CB8"/>
    <w:rsid w:val="00C72010"/>
    <w:rsid w:val="00C721D1"/>
    <w:rsid w:val="00C73003"/>
    <w:rsid w:val="00C732E7"/>
    <w:rsid w:val="00C73378"/>
    <w:rsid w:val="00C742F5"/>
    <w:rsid w:val="00C80BD8"/>
    <w:rsid w:val="00C90526"/>
    <w:rsid w:val="00C91141"/>
    <w:rsid w:val="00C92F29"/>
    <w:rsid w:val="00C94105"/>
    <w:rsid w:val="00C958BF"/>
    <w:rsid w:val="00CA5160"/>
    <w:rsid w:val="00CA6766"/>
    <w:rsid w:val="00CA70A1"/>
    <w:rsid w:val="00CA71DD"/>
    <w:rsid w:val="00CB2143"/>
    <w:rsid w:val="00CC0403"/>
    <w:rsid w:val="00CC6A2B"/>
    <w:rsid w:val="00CC7E30"/>
    <w:rsid w:val="00CD2351"/>
    <w:rsid w:val="00CD4DAA"/>
    <w:rsid w:val="00CE0248"/>
    <w:rsid w:val="00CE0778"/>
    <w:rsid w:val="00CE7FB8"/>
    <w:rsid w:val="00CF31A3"/>
    <w:rsid w:val="00CF385D"/>
    <w:rsid w:val="00CF5B33"/>
    <w:rsid w:val="00D016A5"/>
    <w:rsid w:val="00D069F5"/>
    <w:rsid w:val="00D126CF"/>
    <w:rsid w:val="00D168C2"/>
    <w:rsid w:val="00D30692"/>
    <w:rsid w:val="00D319C8"/>
    <w:rsid w:val="00D33AF4"/>
    <w:rsid w:val="00D342E6"/>
    <w:rsid w:val="00D40B60"/>
    <w:rsid w:val="00D4143A"/>
    <w:rsid w:val="00D429D5"/>
    <w:rsid w:val="00D44B67"/>
    <w:rsid w:val="00D4649C"/>
    <w:rsid w:val="00D468E6"/>
    <w:rsid w:val="00D52CE3"/>
    <w:rsid w:val="00D649BB"/>
    <w:rsid w:val="00D6687C"/>
    <w:rsid w:val="00D674A2"/>
    <w:rsid w:val="00D711A0"/>
    <w:rsid w:val="00D7193D"/>
    <w:rsid w:val="00D7572C"/>
    <w:rsid w:val="00D75CDE"/>
    <w:rsid w:val="00D77727"/>
    <w:rsid w:val="00D9177C"/>
    <w:rsid w:val="00D91E45"/>
    <w:rsid w:val="00DA2C3C"/>
    <w:rsid w:val="00DA65AC"/>
    <w:rsid w:val="00DA6607"/>
    <w:rsid w:val="00DB1B71"/>
    <w:rsid w:val="00DB2194"/>
    <w:rsid w:val="00DB306F"/>
    <w:rsid w:val="00DB3768"/>
    <w:rsid w:val="00DB3894"/>
    <w:rsid w:val="00DB5E99"/>
    <w:rsid w:val="00DC3A96"/>
    <w:rsid w:val="00DC51CF"/>
    <w:rsid w:val="00DC5C74"/>
    <w:rsid w:val="00DD2BC3"/>
    <w:rsid w:val="00DD3286"/>
    <w:rsid w:val="00DE48B7"/>
    <w:rsid w:val="00DE56E5"/>
    <w:rsid w:val="00DE6198"/>
    <w:rsid w:val="00DF6EF7"/>
    <w:rsid w:val="00E02969"/>
    <w:rsid w:val="00E02D86"/>
    <w:rsid w:val="00E037B5"/>
    <w:rsid w:val="00E03ADA"/>
    <w:rsid w:val="00E04DC9"/>
    <w:rsid w:val="00E11A3C"/>
    <w:rsid w:val="00E1215E"/>
    <w:rsid w:val="00E14BEC"/>
    <w:rsid w:val="00E15581"/>
    <w:rsid w:val="00E2740A"/>
    <w:rsid w:val="00E27B41"/>
    <w:rsid w:val="00E34893"/>
    <w:rsid w:val="00E37C59"/>
    <w:rsid w:val="00E42C97"/>
    <w:rsid w:val="00E4388F"/>
    <w:rsid w:val="00E45D5F"/>
    <w:rsid w:val="00E539A9"/>
    <w:rsid w:val="00E54C05"/>
    <w:rsid w:val="00E55B43"/>
    <w:rsid w:val="00E5645F"/>
    <w:rsid w:val="00E62C38"/>
    <w:rsid w:val="00E70E1F"/>
    <w:rsid w:val="00E71D58"/>
    <w:rsid w:val="00E72945"/>
    <w:rsid w:val="00E72AA1"/>
    <w:rsid w:val="00E73B43"/>
    <w:rsid w:val="00E73C77"/>
    <w:rsid w:val="00E73CD0"/>
    <w:rsid w:val="00E7699B"/>
    <w:rsid w:val="00E80DD6"/>
    <w:rsid w:val="00E828CF"/>
    <w:rsid w:val="00E9099C"/>
    <w:rsid w:val="00E90B98"/>
    <w:rsid w:val="00E91900"/>
    <w:rsid w:val="00E95C02"/>
    <w:rsid w:val="00E97B5F"/>
    <w:rsid w:val="00EA0A9E"/>
    <w:rsid w:val="00EA38C6"/>
    <w:rsid w:val="00EA4A99"/>
    <w:rsid w:val="00EB06D1"/>
    <w:rsid w:val="00EB18B8"/>
    <w:rsid w:val="00EC0FBB"/>
    <w:rsid w:val="00EC10A9"/>
    <w:rsid w:val="00EC11EE"/>
    <w:rsid w:val="00EC30E8"/>
    <w:rsid w:val="00EC4769"/>
    <w:rsid w:val="00EC4BE9"/>
    <w:rsid w:val="00EC5AC3"/>
    <w:rsid w:val="00EE2B97"/>
    <w:rsid w:val="00EF088A"/>
    <w:rsid w:val="00EF1589"/>
    <w:rsid w:val="00EF3E21"/>
    <w:rsid w:val="00EF4F30"/>
    <w:rsid w:val="00F07968"/>
    <w:rsid w:val="00F10626"/>
    <w:rsid w:val="00F11DE8"/>
    <w:rsid w:val="00F12230"/>
    <w:rsid w:val="00F1462C"/>
    <w:rsid w:val="00F15CE6"/>
    <w:rsid w:val="00F23C26"/>
    <w:rsid w:val="00F250FD"/>
    <w:rsid w:val="00F274D8"/>
    <w:rsid w:val="00F31616"/>
    <w:rsid w:val="00F344B9"/>
    <w:rsid w:val="00F34D03"/>
    <w:rsid w:val="00F40859"/>
    <w:rsid w:val="00F4121C"/>
    <w:rsid w:val="00F41D31"/>
    <w:rsid w:val="00F42275"/>
    <w:rsid w:val="00F456AA"/>
    <w:rsid w:val="00F47ACA"/>
    <w:rsid w:val="00F54649"/>
    <w:rsid w:val="00F5702A"/>
    <w:rsid w:val="00F606AB"/>
    <w:rsid w:val="00F662EE"/>
    <w:rsid w:val="00F67E51"/>
    <w:rsid w:val="00F7178E"/>
    <w:rsid w:val="00F74A58"/>
    <w:rsid w:val="00F76008"/>
    <w:rsid w:val="00F76F1D"/>
    <w:rsid w:val="00F92E76"/>
    <w:rsid w:val="00F92F45"/>
    <w:rsid w:val="00F94DD8"/>
    <w:rsid w:val="00F95DE8"/>
    <w:rsid w:val="00FA111D"/>
    <w:rsid w:val="00FA6ACE"/>
    <w:rsid w:val="00FC1CFB"/>
    <w:rsid w:val="00FC215E"/>
    <w:rsid w:val="00FC39DA"/>
    <w:rsid w:val="00FD0FAA"/>
    <w:rsid w:val="00FE0A7B"/>
    <w:rsid w:val="00FE0D02"/>
    <w:rsid w:val="00FE173F"/>
    <w:rsid w:val="00FF2EAE"/>
    <w:rsid w:val="00FF47A8"/>
    <w:rsid w:val="00FF4B37"/>
    <w:rsid w:val="00FF5864"/>
    <w:rsid w:val="00FF6BDE"/>
    <w:rsid w:val="01ADD87B"/>
    <w:rsid w:val="04E87516"/>
    <w:rsid w:val="06A0B2B8"/>
    <w:rsid w:val="09CD6BAD"/>
    <w:rsid w:val="0B9E5038"/>
    <w:rsid w:val="0CB7044C"/>
    <w:rsid w:val="0F52AA91"/>
    <w:rsid w:val="10741CBD"/>
    <w:rsid w:val="16818181"/>
    <w:rsid w:val="185CCF35"/>
    <w:rsid w:val="193FF0C4"/>
    <w:rsid w:val="1BBE0857"/>
    <w:rsid w:val="1BD02F17"/>
    <w:rsid w:val="1C8669BD"/>
    <w:rsid w:val="1E1C4830"/>
    <w:rsid w:val="1E2F280D"/>
    <w:rsid w:val="21A51D64"/>
    <w:rsid w:val="22D743F9"/>
    <w:rsid w:val="24CE9985"/>
    <w:rsid w:val="2614AFE6"/>
    <w:rsid w:val="26E36C25"/>
    <w:rsid w:val="27913677"/>
    <w:rsid w:val="289E1FC4"/>
    <w:rsid w:val="2B8ED211"/>
    <w:rsid w:val="2C22A7B5"/>
    <w:rsid w:val="2F26B5FC"/>
    <w:rsid w:val="2F6A5CA7"/>
    <w:rsid w:val="333301E0"/>
    <w:rsid w:val="33AF37D5"/>
    <w:rsid w:val="3842E14B"/>
    <w:rsid w:val="3AE90EEF"/>
    <w:rsid w:val="3CCFFBF3"/>
    <w:rsid w:val="41BA703F"/>
    <w:rsid w:val="44F278B6"/>
    <w:rsid w:val="45B888FF"/>
    <w:rsid w:val="47BE8E4C"/>
    <w:rsid w:val="48FB0336"/>
    <w:rsid w:val="496758C8"/>
    <w:rsid w:val="49B640EE"/>
    <w:rsid w:val="4A7E35F1"/>
    <w:rsid w:val="4B484526"/>
    <w:rsid w:val="4F2442FE"/>
    <w:rsid w:val="5180F635"/>
    <w:rsid w:val="527C153B"/>
    <w:rsid w:val="52E34EB2"/>
    <w:rsid w:val="592C6F3A"/>
    <w:rsid w:val="5CEC0B3F"/>
    <w:rsid w:val="5E75DA56"/>
    <w:rsid w:val="5E87BF64"/>
    <w:rsid w:val="67099801"/>
    <w:rsid w:val="68012394"/>
    <w:rsid w:val="68CAB9D6"/>
    <w:rsid w:val="6AEE7102"/>
    <w:rsid w:val="6BACC957"/>
    <w:rsid w:val="6FB9C094"/>
    <w:rsid w:val="7316CC9B"/>
    <w:rsid w:val="731F5FE2"/>
    <w:rsid w:val="743C4E4A"/>
    <w:rsid w:val="74C72945"/>
    <w:rsid w:val="7534CD97"/>
    <w:rsid w:val="7647F674"/>
    <w:rsid w:val="77C569BA"/>
    <w:rsid w:val="78A4C344"/>
    <w:rsid w:val="79268E10"/>
    <w:rsid w:val="7B2E2F3D"/>
    <w:rsid w:val="7EF31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C342C"/>
  <w15:chartTrackingRefBased/>
  <w15:docId w15:val="{811F5A8F-D060-4710-AD68-19E2EF37B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7F8"/>
    <w:pPr>
      <w:spacing w:line="276" w:lineRule="auto"/>
    </w:pPr>
  </w:style>
  <w:style w:type="paragraph" w:styleId="Heading1">
    <w:name w:val="heading 1"/>
    <w:basedOn w:val="Normal"/>
    <w:next w:val="Normal"/>
    <w:link w:val="Heading1Char"/>
    <w:uiPriority w:val="9"/>
    <w:qFormat/>
    <w:rsid w:val="00B31E5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1E5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E5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E50"/>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E50"/>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E50"/>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E50"/>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E50"/>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E50"/>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1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E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E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E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E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E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E50"/>
    <w:rPr>
      <w:rFonts w:eastAsiaTheme="majorEastAsia" w:cstheme="majorBidi"/>
      <w:color w:val="272727" w:themeColor="text1" w:themeTint="D8"/>
    </w:rPr>
  </w:style>
  <w:style w:type="paragraph" w:styleId="Title">
    <w:name w:val="Title"/>
    <w:basedOn w:val="Normal"/>
    <w:next w:val="Normal"/>
    <w:link w:val="TitleChar"/>
    <w:uiPriority w:val="10"/>
    <w:qFormat/>
    <w:rsid w:val="00B31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E5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E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E50"/>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B31E50"/>
    <w:rPr>
      <w:i/>
      <w:iCs/>
      <w:color w:val="404040" w:themeColor="text1" w:themeTint="BF"/>
    </w:rPr>
  </w:style>
  <w:style w:type="paragraph" w:styleId="ListParagraph">
    <w:name w:val="List Paragraph"/>
    <w:basedOn w:val="Normal"/>
    <w:uiPriority w:val="34"/>
    <w:qFormat/>
    <w:rsid w:val="00B31E50"/>
    <w:pPr>
      <w:spacing w:line="278" w:lineRule="auto"/>
      <w:ind w:left="720"/>
      <w:contextualSpacing/>
    </w:pPr>
  </w:style>
  <w:style w:type="character" w:styleId="IntenseEmphasis">
    <w:name w:val="Intense Emphasis"/>
    <w:basedOn w:val="DefaultParagraphFont"/>
    <w:uiPriority w:val="21"/>
    <w:qFormat/>
    <w:rsid w:val="00B31E50"/>
    <w:rPr>
      <w:i/>
      <w:iCs/>
      <w:color w:val="0F4761" w:themeColor="accent1" w:themeShade="BF"/>
    </w:rPr>
  </w:style>
  <w:style w:type="paragraph" w:styleId="IntenseQuote">
    <w:name w:val="Intense Quote"/>
    <w:basedOn w:val="Normal"/>
    <w:next w:val="Normal"/>
    <w:link w:val="IntenseQuoteChar"/>
    <w:uiPriority w:val="30"/>
    <w:qFormat/>
    <w:rsid w:val="00B31E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E50"/>
    <w:rPr>
      <w:i/>
      <w:iCs/>
      <w:color w:val="0F4761" w:themeColor="accent1" w:themeShade="BF"/>
    </w:rPr>
  </w:style>
  <w:style w:type="character" w:styleId="IntenseReference">
    <w:name w:val="Intense Reference"/>
    <w:basedOn w:val="DefaultParagraphFont"/>
    <w:uiPriority w:val="32"/>
    <w:qFormat/>
    <w:rsid w:val="00B31E50"/>
    <w:rPr>
      <w:b/>
      <w:bCs/>
      <w:smallCaps/>
      <w:color w:val="0F4761" w:themeColor="accent1" w:themeShade="BF"/>
      <w:spacing w:val="5"/>
    </w:rPr>
  </w:style>
  <w:style w:type="table" w:styleId="TableGrid">
    <w:name w:val="Table Grid"/>
    <w:basedOn w:val="TableNormal"/>
    <w:uiPriority w:val="39"/>
    <w:rsid w:val="005D37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10741CBD"/>
    <w:pPr>
      <w:tabs>
        <w:tab w:val="center" w:pos="4680"/>
        <w:tab w:val="right" w:pos="9360"/>
      </w:tabs>
      <w:spacing w:after="0"/>
    </w:pPr>
  </w:style>
  <w:style w:type="paragraph" w:styleId="Footer">
    <w:name w:val="footer"/>
    <w:basedOn w:val="Normal"/>
    <w:link w:val="FooterChar"/>
    <w:uiPriority w:val="99"/>
    <w:unhideWhenUsed/>
    <w:rsid w:val="10741CBD"/>
    <w:pPr>
      <w:tabs>
        <w:tab w:val="center" w:pos="4680"/>
        <w:tab w:val="right" w:pos="9360"/>
      </w:tabs>
      <w:spacing w:after="0"/>
    </w:pPr>
  </w:style>
  <w:style w:type="character" w:styleId="PlaceholderText">
    <w:name w:val="Placeholder Text"/>
    <w:basedOn w:val="DefaultParagraphFont"/>
    <w:uiPriority w:val="99"/>
    <w:semiHidden/>
    <w:rsid w:val="002534D1"/>
    <w:rPr>
      <w:color w:val="666666"/>
    </w:rPr>
  </w:style>
  <w:style w:type="character" w:styleId="CommentReference">
    <w:name w:val="annotation reference"/>
    <w:basedOn w:val="DefaultParagraphFont"/>
    <w:uiPriority w:val="99"/>
    <w:semiHidden/>
    <w:unhideWhenUsed/>
    <w:rsid w:val="00526E2D"/>
    <w:rPr>
      <w:sz w:val="16"/>
      <w:szCs w:val="16"/>
    </w:rPr>
  </w:style>
  <w:style w:type="paragraph" w:styleId="CommentText">
    <w:name w:val="annotation text"/>
    <w:basedOn w:val="Normal"/>
    <w:link w:val="CommentTextChar"/>
    <w:uiPriority w:val="99"/>
    <w:unhideWhenUsed/>
    <w:rsid w:val="00526E2D"/>
    <w:pPr>
      <w:spacing w:line="240" w:lineRule="auto"/>
    </w:pPr>
    <w:rPr>
      <w:sz w:val="20"/>
      <w:szCs w:val="20"/>
    </w:rPr>
  </w:style>
  <w:style w:type="character" w:customStyle="1" w:styleId="CommentTextChar">
    <w:name w:val="Comment Text Char"/>
    <w:basedOn w:val="DefaultParagraphFont"/>
    <w:link w:val="CommentText"/>
    <w:uiPriority w:val="99"/>
    <w:rsid w:val="00526E2D"/>
    <w:rPr>
      <w:sz w:val="20"/>
      <w:szCs w:val="20"/>
    </w:rPr>
  </w:style>
  <w:style w:type="paragraph" w:styleId="CommentSubject">
    <w:name w:val="annotation subject"/>
    <w:basedOn w:val="CommentText"/>
    <w:next w:val="CommentText"/>
    <w:link w:val="CommentSubjectChar"/>
    <w:uiPriority w:val="99"/>
    <w:semiHidden/>
    <w:unhideWhenUsed/>
    <w:rsid w:val="00526E2D"/>
    <w:rPr>
      <w:b/>
      <w:bCs/>
    </w:rPr>
  </w:style>
  <w:style w:type="character" w:customStyle="1" w:styleId="CommentSubjectChar">
    <w:name w:val="Comment Subject Char"/>
    <w:basedOn w:val="CommentTextChar"/>
    <w:link w:val="CommentSubject"/>
    <w:uiPriority w:val="99"/>
    <w:semiHidden/>
    <w:rsid w:val="00526E2D"/>
    <w:rPr>
      <w:b/>
      <w:bCs/>
      <w:sz w:val="20"/>
      <w:szCs w:val="20"/>
    </w:rPr>
  </w:style>
  <w:style w:type="character" w:styleId="LineNumber">
    <w:name w:val="line number"/>
    <w:basedOn w:val="DefaultParagraphFont"/>
    <w:uiPriority w:val="99"/>
    <w:semiHidden/>
    <w:unhideWhenUsed/>
    <w:rsid w:val="007638CE"/>
  </w:style>
  <w:style w:type="paragraph" w:styleId="Bibliography">
    <w:name w:val="Bibliography"/>
    <w:basedOn w:val="Normal"/>
    <w:next w:val="Normal"/>
    <w:uiPriority w:val="37"/>
    <w:unhideWhenUsed/>
    <w:rsid w:val="006636C0"/>
    <w:pPr>
      <w:spacing w:after="0" w:line="480" w:lineRule="auto"/>
      <w:ind w:left="720" w:hanging="720"/>
    </w:pPr>
  </w:style>
  <w:style w:type="paragraph" w:styleId="NormalWeb">
    <w:name w:val="Normal (Web)"/>
    <w:basedOn w:val="Normal"/>
    <w:uiPriority w:val="99"/>
    <w:semiHidden/>
    <w:unhideWhenUsed/>
    <w:rsid w:val="00E80DD6"/>
    <w:rPr>
      <w:rFonts w:ascii="Times New Roman" w:hAnsi="Times New Roman" w:cs="Times New Roman"/>
    </w:rPr>
  </w:style>
  <w:style w:type="paragraph" w:styleId="TOCHeading">
    <w:name w:val="TOC Heading"/>
    <w:basedOn w:val="Heading1"/>
    <w:next w:val="Normal"/>
    <w:uiPriority w:val="39"/>
    <w:unhideWhenUsed/>
    <w:qFormat/>
    <w:rsid w:val="0066673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66730"/>
    <w:pPr>
      <w:spacing w:after="100"/>
    </w:pPr>
  </w:style>
  <w:style w:type="paragraph" w:styleId="TOC2">
    <w:name w:val="toc 2"/>
    <w:basedOn w:val="Normal"/>
    <w:next w:val="Normal"/>
    <w:autoRedefine/>
    <w:uiPriority w:val="39"/>
    <w:unhideWhenUsed/>
    <w:rsid w:val="00666730"/>
    <w:pPr>
      <w:spacing w:after="100"/>
      <w:ind w:left="240"/>
    </w:pPr>
  </w:style>
  <w:style w:type="character" w:styleId="Hyperlink">
    <w:name w:val="Hyperlink"/>
    <w:basedOn w:val="DefaultParagraphFont"/>
    <w:uiPriority w:val="99"/>
    <w:unhideWhenUsed/>
    <w:rsid w:val="00666730"/>
    <w:rPr>
      <w:color w:val="467886" w:themeColor="hyperlink"/>
      <w:u w:val="single"/>
    </w:rPr>
  </w:style>
  <w:style w:type="paragraph" w:styleId="Revision">
    <w:name w:val="Revision"/>
    <w:hidden/>
    <w:uiPriority w:val="99"/>
    <w:semiHidden/>
    <w:rsid w:val="005216DB"/>
    <w:pPr>
      <w:spacing w:after="0" w:line="240" w:lineRule="auto"/>
    </w:pPr>
  </w:style>
  <w:style w:type="character" w:styleId="Strong">
    <w:name w:val="Strong"/>
    <w:basedOn w:val="DefaultParagraphFont"/>
    <w:uiPriority w:val="22"/>
    <w:qFormat/>
    <w:rsid w:val="00C2193D"/>
    <w:rPr>
      <w:b/>
      <w:bCs/>
    </w:rPr>
  </w:style>
  <w:style w:type="character" w:customStyle="1" w:styleId="FooterChar">
    <w:name w:val="Footer Char"/>
    <w:basedOn w:val="DefaultParagraphFont"/>
    <w:link w:val="Footer"/>
    <w:uiPriority w:val="99"/>
    <w:rsid w:val="00A748EB"/>
  </w:style>
  <w:style w:type="character" w:styleId="UnresolvedMention">
    <w:name w:val="Unresolved Mention"/>
    <w:basedOn w:val="DefaultParagraphFont"/>
    <w:uiPriority w:val="99"/>
    <w:semiHidden/>
    <w:unhideWhenUsed/>
    <w:rsid w:val="00190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A232C-E056-4D1D-AC53-E12DD088B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34096</Words>
  <Characters>194349</Characters>
  <Application>Microsoft Office Word</Application>
  <DocSecurity>0</DocSecurity>
  <Lines>1619</Lines>
  <Paragraphs>455</Paragraphs>
  <ScaleCrop>false</ScaleCrop>
  <Company/>
  <LinksUpToDate>false</LinksUpToDate>
  <CharactersWithSpaces>227990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emiliano lopez barrera</cp:lastModifiedBy>
  <cp:revision>2</cp:revision>
  <dcterms:created xsi:type="dcterms:W3CDTF">2026-09-21T18:33:00Z</dcterms:created>
  <dcterms:modified xsi:type="dcterms:W3CDTF">2026-09-21T18:34:00Z</dcterms:modified>
</cp:coreProperties>
</file>