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96E02" w14:textId="77777777" w:rsidR="00A02D49" w:rsidRPr="00296F99" w:rsidRDefault="00A02D49" w:rsidP="00A02D49">
      <w:pPr>
        <w:spacing w:line="480" w:lineRule="auto"/>
        <w:rPr>
          <w:b/>
          <w:bCs/>
          <w:sz w:val="22"/>
          <w:szCs w:val="22"/>
        </w:rPr>
      </w:pPr>
      <w:r w:rsidRPr="00296F99">
        <w:rPr>
          <w:b/>
          <w:bCs/>
          <w:sz w:val="22"/>
          <w:szCs w:val="22"/>
        </w:rPr>
        <w:t>Supplemental Tables.</w:t>
      </w:r>
    </w:p>
    <w:p w14:paraId="318E07A9" w14:textId="77777777" w:rsidR="00A02D49" w:rsidRPr="00296F99" w:rsidRDefault="00A02D49" w:rsidP="00A02D49">
      <w:pPr>
        <w:spacing w:line="480" w:lineRule="auto"/>
        <w:rPr>
          <w:b/>
          <w:bCs/>
          <w:sz w:val="22"/>
          <w:szCs w:val="22"/>
        </w:rPr>
      </w:pPr>
      <w:r w:rsidRPr="00296F99">
        <w:rPr>
          <w:b/>
          <w:bCs/>
          <w:sz w:val="22"/>
          <w:szCs w:val="22"/>
        </w:rPr>
        <w:t>Supplemental Table. Neonatal Intensive Care Course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75"/>
        <w:gridCol w:w="1494"/>
        <w:gridCol w:w="2149"/>
        <w:gridCol w:w="1932"/>
      </w:tblGrid>
      <w:tr w:rsidR="00A02D49" w:rsidRPr="00296F99" w14:paraId="5EF8EBC8" w14:textId="77777777" w:rsidTr="00A02D49">
        <w:trPr>
          <w:trHeight w:val="665"/>
        </w:trPr>
        <w:tc>
          <w:tcPr>
            <w:tcW w:w="2019" w:type="pct"/>
          </w:tcPr>
          <w:p w14:paraId="30C8BC6E" w14:textId="437BE8C2" w:rsidR="00A02D49" w:rsidRPr="00296F99" w:rsidRDefault="00A02D49" w:rsidP="00A02D49">
            <w:pPr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NICU Characteristics</w:t>
            </w:r>
          </w:p>
        </w:tc>
        <w:tc>
          <w:tcPr>
            <w:tcW w:w="799" w:type="pct"/>
            <w:vAlign w:val="center"/>
          </w:tcPr>
          <w:p w14:paraId="1FF1A03B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Total</w:t>
            </w:r>
          </w:p>
          <w:p w14:paraId="139CA9DD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(n=48)</w:t>
            </w:r>
          </w:p>
        </w:tc>
        <w:tc>
          <w:tcPr>
            <w:tcW w:w="1149" w:type="pct"/>
            <w:vAlign w:val="center"/>
          </w:tcPr>
          <w:p w14:paraId="7C2D4020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Cases</w:t>
            </w:r>
            <w:r w:rsidRPr="00296F99">
              <w:rPr>
                <w:b/>
                <w:bCs/>
                <w:sz w:val="22"/>
                <w:szCs w:val="22"/>
                <w:vertAlign w:val="superscript"/>
              </w:rPr>
              <w:t>¢</w:t>
            </w:r>
          </w:p>
          <w:p w14:paraId="6F01F858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(n=24)</w:t>
            </w:r>
          </w:p>
        </w:tc>
        <w:tc>
          <w:tcPr>
            <w:tcW w:w="1033" w:type="pct"/>
            <w:vAlign w:val="center"/>
          </w:tcPr>
          <w:p w14:paraId="39A13763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Controls</w:t>
            </w:r>
            <w:r w:rsidRPr="00296F99">
              <w:rPr>
                <w:b/>
                <w:bCs/>
                <w:sz w:val="22"/>
                <w:szCs w:val="22"/>
                <w:vertAlign w:val="superscript"/>
              </w:rPr>
              <w:t>¢</w:t>
            </w:r>
          </w:p>
          <w:p w14:paraId="78D6AEB2" w14:textId="77777777" w:rsidR="00A02D49" w:rsidRPr="00296F99" w:rsidRDefault="00A02D49" w:rsidP="00A02D4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(n=24)</w:t>
            </w:r>
          </w:p>
        </w:tc>
      </w:tr>
      <w:tr w:rsidR="00A02D49" w:rsidRPr="00296F99" w14:paraId="48CE3566" w14:textId="77777777" w:rsidTr="00E516CF">
        <w:trPr>
          <w:trHeight w:val="20"/>
        </w:trPr>
        <w:tc>
          <w:tcPr>
            <w:tcW w:w="2019" w:type="pct"/>
          </w:tcPr>
          <w:p w14:paraId="0E7A40EF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 xml:space="preserve">HS-Patent Ductus Arteriosus </w:t>
            </w:r>
          </w:p>
        </w:tc>
        <w:tc>
          <w:tcPr>
            <w:tcW w:w="799" w:type="pct"/>
            <w:vAlign w:val="center"/>
          </w:tcPr>
          <w:p w14:paraId="0319CC2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18 (39%)</w:t>
            </w:r>
          </w:p>
        </w:tc>
        <w:tc>
          <w:tcPr>
            <w:tcW w:w="1149" w:type="pct"/>
            <w:vAlign w:val="center"/>
          </w:tcPr>
          <w:p w14:paraId="0FBA6212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10 (42%)</w:t>
            </w:r>
          </w:p>
        </w:tc>
        <w:tc>
          <w:tcPr>
            <w:tcW w:w="1033" w:type="pct"/>
            <w:vAlign w:val="center"/>
          </w:tcPr>
          <w:p w14:paraId="7C50F4D9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8/22 (36%)</w:t>
            </w:r>
          </w:p>
        </w:tc>
      </w:tr>
      <w:tr w:rsidR="00A02D49" w:rsidRPr="00296F99" w14:paraId="0161ADE7" w14:textId="77777777" w:rsidTr="00E516CF">
        <w:trPr>
          <w:trHeight w:val="20"/>
        </w:trPr>
        <w:tc>
          <w:tcPr>
            <w:tcW w:w="2019" w:type="pct"/>
          </w:tcPr>
          <w:p w14:paraId="29E35A9B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Hypotension</w:t>
            </w:r>
            <w:r w:rsidRPr="00296F99">
              <w:rPr>
                <w:sz w:val="22"/>
                <w:szCs w:val="22"/>
              </w:rPr>
              <w:t>²</w:t>
            </w:r>
            <w:r w:rsidRPr="00296F9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99" w:type="pct"/>
            <w:vAlign w:val="center"/>
          </w:tcPr>
          <w:p w14:paraId="1217A9E7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14 (30%)</w:t>
            </w:r>
          </w:p>
        </w:tc>
        <w:tc>
          <w:tcPr>
            <w:tcW w:w="1149" w:type="pct"/>
            <w:vAlign w:val="center"/>
          </w:tcPr>
          <w:p w14:paraId="30DDC23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6 (25%)</w:t>
            </w:r>
          </w:p>
        </w:tc>
        <w:tc>
          <w:tcPr>
            <w:tcW w:w="1033" w:type="pct"/>
            <w:vAlign w:val="center"/>
          </w:tcPr>
          <w:p w14:paraId="46713DEE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8/22 (36%)</w:t>
            </w:r>
          </w:p>
        </w:tc>
      </w:tr>
      <w:tr w:rsidR="00A02D49" w:rsidRPr="00296F99" w14:paraId="19CFF6B2" w14:textId="77777777" w:rsidTr="00E516CF">
        <w:trPr>
          <w:trHeight w:val="20"/>
        </w:trPr>
        <w:tc>
          <w:tcPr>
            <w:tcW w:w="2019" w:type="pct"/>
          </w:tcPr>
          <w:p w14:paraId="1B59339D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Bronchopulmonary dysplasia</w:t>
            </w:r>
          </w:p>
        </w:tc>
        <w:tc>
          <w:tcPr>
            <w:tcW w:w="799" w:type="pct"/>
            <w:vAlign w:val="center"/>
          </w:tcPr>
          <w:p w14:paraId="481DC675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39 (85%)</w:t>
            </w:r>
          </w:p>
        </w:tc>
        <w:tc>
          <w:tcPr>
            <w:tcW w:w="1149" w:type="pct"/>
            <w:vAlign w:val="center"/>
          </w:tcPr>
          <w:p w14:paraId="3953533A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21 (88%)</w:t>
            </w:r>
          </w:p>
        </w:tc>
        <w:tc>
          <w:tcPr>
            <w:tcW w:w="1033" w:type="pct"/>
            <w:vAlign w:val="center"/>
          </w:tcPr>
          <w:p w14:paraId="4CACBCB3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18/22 (82%)</w:t>
            </w:r>
          </w:p>
        </w:tc>
      </w:tr>
      <w:tr w:rsidR="00A02D49" w:rsidRPr="00296F99" w14:paraId="4EF6CE3E" w14:textId="77777777" w:rsidTr="00E516CF">
        <w:trPr>
          <w:trHeight w:val="20"/>
        </w:trPr>
        <w:tc>
          <w:tcPr>
            <w:tcW w:w="2019" w:type="pct"/>
          </w:tcPr>
          <w:p w14:paraId="5A37D212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Supplemental oxygen at home</w:t>
            </w:r>
          </w:p>
        </w:tc>
        <w:tc>
          <w:tcPr>
            <w:tcW w:w="799" w:type="pct"/>
            <w:vAlign w:val="center"/>
          </w:tcPr>
          <w:p w14:paraId="2A82DA5A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12 (27%)</w:t>
            </w:r>
          </w:p>
        </w:tc>
        <w:tc>
          <w:tcPr>
            <w:tcW w:w="1149" w:type="pct"/>
            <w:vAlign w:val="center"/>
          </w:tcPr>
          <w:p w14:paraId="78FF720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4/23 (17%)</w:t>
            </w:r>
          </w:p>
        </w:tc>
        <w:tc>
          <w:tcPr>
            <w:tcW w:w="1033" w:type="pct"/>
            <w:vAlign w:val="center"/>
          </w:tcPr>
          <w:p w14:paraId="7AC7683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8/21 (38%)</w:t>
            </w:r>
          </w:p>
        </w:tc>
      </w:tr>
      <w:tr w:rsidR="00A02D49" w:rsidRPr="00296F99" w14:paraId="67CADA14" w14:textId="77777777" w:rsidTr="00E516CF">
        <w:trPr>
          <w:trHeight w:val="20"/>
        </w:trPr>
        <w:tc>
          <w:tcPr>
            <w:tcW w:w="2019" w:type="pct"/>
          </w:tcPr>
          <w:p w14:paraId="6D52F185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Tracheostomy</w:t>
            </w:r>
          </w:p>
        </w:tc>
        <w:tc>
          <w:tcPr>
            <w:tcW w:w="799" w:type="pct"/>
            <w:vAlign w:val="center"/>
          </w:tcPr>
          <w:p w14:paraId="220862B8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 (18%)</w:t>
            </w:r>
          </w:p>
        </w:tc>
        <w:tc>
          <w:tcPr>
            <w:tcW w:w="1149" w:type="pct"/>
            <w:vAlign w:val="center"/>
          </w:tcPr>
          <w:p w14:paraId="36BFF9C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8/23 (35%)</w:t>
            </w:r>
          </w:p>
        </w:tc>
        <w:tc>
          <w:tcPr>
            <w:tcW w:w="1033" w:type="pct"/>
            <w:vAlign w:val="center"/>
          </w:tcPr>
          <w:p w14:paraId="7DDECF7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0</w:t>
            </w:r>
          </w:p>
        </w:tc>
      </w:tr>
      <w:tr w:rsidR="00A02D49" w:rsidRPr="00296F99" w14:paraId="1059635C" w14:textId="77777777" w:rsidTr="00E516CF">
        <w:trPr>
          <w:trHeight w:val="20"/>
        </w:trPr>
        <w:tc>
          <w:tcPr>
            <w:tcW w:w="2019" w:type="pct"/>
          </w:tcPr>
          <w:p w14:paraId="6C1D3237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Gastrostomy</w:t>
            </w:r>
          </w:p>
        </w:tc>
        <w:tc>
          <w:tcPr>
            <w:tcW w:w="799" w:type="pct"/>
            <w:vAlign w:val="center"/>
          </w:tcPr>
          <w:p w14:paraId="371C58F9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8 (19%)</w:t>
            </w:r>
          </w:p>
        </w:tc>
        <w:tc>
          <w:tcPr>
            <w:tcW w:w="1149" w:type="pct"/>
            <w:vAlign w:val="center"/>
          </w:tcPr>
          <w:p w14:paraId="558E1F00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4/22 (18%)</w:t>
            </w:r>
          </w:p>
        </w:tc>
        <w:tc>
          <w:tcPr>
            <w:tcW w:w="1033" w:type="pct"/>
            <w:vAlign w:val="center"/>
          </w:tcPr>
          <w:p w14:paraId="484814F9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4/21 (19%)</w:t>
            </w:r>
          </w:p>
        </w:tc>
      </w:tr>
      <w:tr w:rsidR="00A02D49" w:rsidRPr="00296F99" w14:paraId="267CB907" w14:textId="77777777" w:rsidTr="00E516CF">
        <w:trPr>
          <w:trHeight w:val="20"/>
        </w:trPr>
        <w:tc>
          <w:tcPr>
            <w:tcW w:w="2019" w:type="pct"/>
          </w:tcPr>
          <w:p w14:paraId="50457E2A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Spontaneous intestinal perforation</w:t>
            </w:r>
          </w:p>
        </w:tc>
        <w:tc>
          <w:tcPr>
            <w:tcW w:w="799" w:type="pct"/>
            <w:vAlign w:val="center"/>
          </w:tcPr>
          <w:p w14:paraId="1505DE83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 (2%)</w:t>
            </w:r>
          </w:p>
        </w:tc>
        <w:tc>
          <w:tcPr>
            <w:tcW w:w="1149" w:type="pct"/>
            <w:vAlign w:val="center"/>
          </w:tcPr>
          <w:p w14:paraId="1D36057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1/23 (4%)</w:t>
            </w:r>
          </w:p>
        </w:tc>
        <w:tc>
          <w:tcPr>
            <w:tcW w:w="1033" w:type="pct"/>
            <w:vAlign w:val="center"/>
          </w:tcPr>
          <w:p w14:paraId="3C7D1ADF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0</w:t>
            </w:r>
          </w:p>
        </w:tc>
      </w:tr>
      <w:tr w:rsidR="00A02D49" w:rsidRPr="00296F99" w14:paraId="6ADAE91C" w14:textId="77777777" w:rsidTr="00E516CF">
        <w:trPr>
          <w:trHeight w:val="20"/>
        </w:trPr>
        <w:tc>
          <w:tcPr>
            <w:tcW w:w="2019" w:type="pct"/>
          </w:tcPr>
          <w:p w14:paraId="19D2F71F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Necrotizing enterocolitis</w:t>
            </w:r>
          </w:p>
        </w:tc>
        <w:tc>
          <w:tcPr>
            <w:tcW w:w="799" w:type="pct"/>
            <w:vAlign w:val="center"/>
          </w:tcPr>
          <w:p w14:paraId="4D5F0EDE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7 (15%)</w:t>
            </w:r>
          </w:p>
        </w:tc>
        <w:tc>
          <w:tcPr>
            <w:tcW w:w="1149" w:type="pct"/>
            <w:vAlign w:val="center"/>
          </w:tcPr>
          <w:p w14:paraId="52CA33B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3 (13%)</w:t>
            </w:r>
          </w:p>
        </w:tc>
        <w:tc>
          <w:tcPr>
            <w:tcW w:w="1033" w:type="pct"/>
            <w:vAlign w:val="center"/>
          </w:tcPr>
          <w:p w14:paraId="322FB260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4/23 (17%)</w:t>
            </w:r>
          </w:p>
        </w:tc>
      </w:tr>
      <w:tr w:rsidR="00A02D49" w:rsidRPr="00296F99" w14:paraId="4DE2B752" w14:textId="77777777" w:rsidTr="00E516CF">
        <w:trPr>
          <w:trHeight w:val="20"/>
        </w:trPr>
        <w:tc>
          <w:tcPr>
            <w:tcW w:w="2019" w:type="pct"/>
          </w:tcPr>
          <w:p w14:paraId="6B2DC803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Sepsis</w:t>
            </w:r>
          </w:p>
        </w:tc>
        <w:tc>
          <w:tcPr>
            <w:tcW w:w="799" w:type="pct"/>
            <w:vAlign w:val="center"/>
          </w:tcPr>
          <w:p w14:paraId="565F0A0F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25 (54%)</w:t>
            </w:r>
          </w:p>
        </w:tc>
        <w:tc>
          <w:tcPr>
            <w:tcW w:w="1149" w:type="pct"/>
            <w:vAlign w:val="center"/>
          </w:tcPr>
          <w:p w14:paraId="1711BBBE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9 (38%)</w:t>
            </w:r>
          </w:p>
        </w:tc>
        <w:tc>
          <w:tcPr>
            <w:tcW w:w="1033" w:type="pct"/>
            <w:vAlign w:val="center"/>
          </w:tcPr>
          <w:p w14:paraId="1E5C16C8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16/22 (73%)</w:t>
            </w:r>
          </w:p>
        </w:tc>
      </w:tr>
      <w:tr w:rsidR="00A02D49" w:rsidRPr="00296F99" w14:paraId="788E6E03" w14:textId="77777777" w:rsidTr="00E516CF">
        <w:trPr>
          <w:trHeight w:val="20"/>
        </w:trPr>
        <w:tc>
          <w:tcPr>
            <w:tcW w:w="2019" w:type="pct"/>
          </w:tcPr>
          <w:p w14:paraId="0D9F9544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Meningitis</w:t>
            </w:r>
          </w:p>
        </w:tc>
        <w:tc>
          <w:tcPr>
            <w:tcW w:w="799" w:type="pct"/>
            <w:vAlign w:val="center"/>
          </w:tcPr>
          <w:p w14:paraId="3E2E0854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7 (15%)</w:t>
            </w:r>
          </w:p>
        </w:tc>
        <w:tc>
          <w:tcPr>
            <w:tcW w:w="1149" w:type="pct"/>
            <w:vAlign w:val="center"/>
          </w:tcPr>
          <w:p w14:paraId="070241F4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 (4%)</w:t>
            </w:r>
          </w:p>
        </w:tc>
        <w:tc>
          <w:tcPr>
            <w:tcW w:w="1033" w:type="pct"/>
            <w:vAlign w:val="center"/>
          </w:tcPr>
          <w:p w14:paraId="7CA8F365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6/22 (27%)</w:t>
            </w:r>
          </w:p>
        </w:tc>
      </w:tr>
      <w:tr w:rsidR="00A02D49" w:rsidRPr="00296F99" w14:paraId="3EE2DA11" w14:textId="77777777" w:rsidTr="00E516CF">
        <w:trPr>
          <w:trHeight w:val="20"/>
        </w:trPr>
        <w:tc>
          <w:tcPr>
            <w:tcW w:w="2019" w:type="pct"/>
          </w:tcPr>
          <w:p w14:paraId="0B1F60C1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Periventricular leukomalacia</w:t>
            </w:r>
          </w:p>
        </w:tc>
        <w:tc>
          <w:tcPr>
            <w:tcW w:w="799" w:type="pct"/>
            <w:vAlign w:val="center"/>
          </w:tcPr>
          <w:p w14:paraId="4DCF82B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24 (51%)</w:t>
            </w:r>
          </w:p>
        </w:tc>
        <w:tc>
          <w:tcPr>
            <w:tcW w:w="1149" w:type="pct"/>
            <w:vAlign w:val="center"/>
          </w:tcPr>
          <w:p w14:paraId="2CD75019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12 (50%)</w:t>
            </w:r>
          </w:p>
        </w:tc>
        <w:tc>
          <w:tcPr>
            <w:tcW w:w="1033" w:type="pct"/>
            <w:vAlign w:val="center"/>
          </w:tcPr>
          <w:p w14:paraId="5B2894D7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12/23 (52%)</w:t>
            </w:r>
          </w:p>
        </w:tc>
      </w:tr>
      <w:tr w:rsidR="00A02D49" w:rsidRPr="00296F99" w14:paraId="14EE1DE7" w14:textId="77777777" w:rsidTr="00E516CF">
        <w:trPr>
          <w:trHeight w:val="20"/>
        </w:trPr>
        <w:tc>
          <w:tcPr>
            <w:tcW w:w="2019" w:type="pct"/>
          </w:tcPr>
          <w:p w14:paraId="1FD48F7A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Failed hearing screen</w:t>
            </w:r>
          </w:p>
        </w:tc>
        <w:tc>
          <w:tcPr>
            <w:tcW w:w="799" w:type="pct"/>
            <w:vAlign w:val="center"/>
          </w:tcPr>
          <w:p w14:paraId="3890F1DE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6 (15%)</w:t>
            </w:r>
          </w:p>
        </w:tc>
        <w:tc>
          <w:tcPr>
            <w:tcW w:w="1149" w:type="pct"/>
            <w:vAlign w:val="center"/>
          </w:tcPr>
          <w:p w14:paraId="2B9BB47B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4/20 (20%)</w:t>
            </w:r>
          </w:p>
        </w:tc>
        <w:tc>
          <w:tcPr>
            <w:tcW w:w="1033" w:type="pct"/>
            <w:vAlign w:val="center"/>
          </w:tcPr>
          <w:p w14:paraId="0F679C91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2/19 (11%)</w:t>
            </w:r>
          </w:p>
        </w:tc>
      </w:tr>
      <w:tr w:rsidR="00A02D49" w:rsidRPr="00296F99" w14:paraId="6A79E06E" w14:textId="77777777" w:rsidTr="00E516CF">
        <w:trPr>
          <w:trHeight w:val="20"/>
        </w:trPr>
        <w:tc>
          <w:tcPr>
            <w:tcW w:w="2019" w:type="pct"/>
          </w:tcPr>
          <w:p w14:paraId="0DFDD560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Retinopathy of prematurity</w:t>
            </w:r>
          </w:p>
        </w:tc>
        <w:tc>
          <w:tcPr>
            <w:tcW w:w="799" w:type="pct"/>
            <w:vAlign w:val="center"/>
          </w:tcPr>
          <w:p w14:paraId="5DEF8F07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96F99">
              <w:rPr>
                <w:sz w:val="22"/>
                <w:szCs w:val="22"/>
              </w:rPr>
              <w:t>8 (</w:t>
            </w:r>
            <w:r>
              <w:rPr>
                <w:sz w:val="22"/>
                <w:szCs w:val="22"/>
              </w:rPr>
              <w:t>58</w:t>
            </w:r>
            <w:r w:rsidRPr="00296F99">
              <w:rPr>
                <w:sz w:val="22"/>
                <w:szCs w:val="22"/>
              </w:rPr>
              <w:t>%)</w:t>
            </w:r>
          </w:p>
        </w:tc>
        <w:tc>
          <w:tcPr>
            <w:tcW w:w="1149" w:type="pct"/>
            <w:vAlign w:val="center"/>
          </w:tcPr>
          <w:p w14:paraId="4A4EE080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15/23 (65%)</w:t>
            </w:r>
          </w:p>
        </w:tc>
        <w:tc>
          <w:tcPr>
            <w:tcW w:w="1033" w:type="pct"/>
            <w:vAlign w:val="center"/>
          </w:tcPr>
          <w:p w14:paraId="4F0769F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13/22 (59%)</w:t>
            </w:r>
          </w:p>
        </w:tc>
      </w:tr>
      <w:tr w:rsidR="00A02D49" w:rsidRPr="00296F99" w14:paraId="054E6C25" w14:textId="77777777" w:rsidTr="00E516CF">
        <w:trPr>
          <w:trHeight w:val="20"/>
        </w:trPr>
        <w:tc>
          <w:tcPr>
            <w:tcW w:w="2019" w:type="pct"/>
          </w:tcPr>
          <w:p w14:paraId="60A3CDC6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 xml:space="preserve">     Stage 1</w:t>
            </w:r>
          </w:p>
        </w:tc>
        <w:tc>
          <w:tcPr>
            <w:tcW w:w="799" w:type="pct"/>
            <w:vAlign w:val="center"/>
          </w:tcPr>
          <w:p w14:paraId="071A21C4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6 (33%)</w:t>
            </w:r>
          </w:p>
        </w:tc>
        <w:tc>
          <w:tcPr>
            <w:tcW w:w="1149" w:type="pct"/>
            <w:vAlign w:val="center"/>
          </w:tcPr>
          <w:p w14:paraId="108E00D9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 (27%)</w:t>
            </w:r>
          </w:p>
        </w:tc>
        <w:tc>
          <w:tcPr>
            <w:tcW w:w="1033" w:type="pct"/>
            <w:vAlign w:val="center"/>
          </w:tcPr>
          <w:p w14:paraId="32C3317E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 (15%)</w:t>
            </w:r>
          </w:p>
        </w:tc>
      </w:tr>
      <w:tr w:rsidR="00A02D49" w:rsidRPr="00296F99" w14:paraId="334E69E8" w14:textId="77777777" w:rsidTr="00E516CF">
        <w:trPr>
          <w:trHeight w:val="20"/>
        </w:trPr>
        <w:tc>
          <w:tcPr>
            <w:tcW w:w="2019" w:type="pct"/>
          </w:tcPr>
          <w:p w14:paraId="2C9771DA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 xml:space="preserve">     Stage 2</w:t>
            </w:r>
          </w:p>
        </w:tc>
        <w:tc>
          <w:tcPr>
            <w:tcW w:w="799" w:type="pct"/>
            <w:vAlign w:val="center"/>
          </w:tcPr>
          <w:p w14:paraId="48F78AB1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13 (72%)</w:t>
            </w:r>
          </w:p>
        </w:tc>
        <w:tc>
          <w:tcPr>
            <w:tcW w:w="1149" w:type="pct"/>
            <w:vAlign w:val="center"/>
          </w:tcPr>
          <w:p w14:paraId="5B90819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6 (40%)</w:t>
            </w:r>
          </w:p>
        </w:tc>
        <w:tc>
          <w:tcPr>
            <w:tcW w:w="1033" w:type="pct"/>
            <w:vAlign w:val="center"/>
          </w:tcPr>
          <w:p w14:paraId="51C951A8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7 (54%)</w:t>
            </w:r>
          </w:p>
        </w:tc>
      </w:tr>
      <w:tr w:rsidR="00A02D49" w:rsidRPr="00296F99" w14:paraId="3D863BE6" w14:textId="77777777" w:rsidTr="00E516CF">
        <w:trPr>
          <w:trHeight w:val="20"/>
        </w:trPr>
        <w:tc>
          <w:tcPr>
            <w:tcW w:w="2019" w:type="pct"/>
          </w:tcPr>
          <w:p w14:paraId="6241B4E2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 xml:space="preserve">     Stage 3</w:t>
            </w:r>
          </w:p>
        </w:tc>
        <w:tc>
          <w:tcPr>
            <w:tcW w:w="799" w:type="pct"/>
            <w:vAlign w:val="center"/>
          </w:tcPr>
          <w:p w14:paraId="0DC52682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9 (50%)</w:t>
            </w:r>
          </w:p>
        </w:tc>
        <w:tc>
          <w:tcPr>
            <w:tcW w:w="1149" w:type="pct"/>
            <w:vAlign w:val="center"/>
          </w:tcPr>
          <w:p w14:paraId="5F630BF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5 (33%)</w:t>
            </w:r>
          </w:p>
        </w:tc>
        <w:tc>
          <w:tcPr>
            <w:tcW w:w="1033" w:type="pct"/>
            <w:vAlign w:val="center"/>
          </w:tcPr>
          <w:p w14:paraId="75CFBCAD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 (31%)</w:t>
            </w:r>
          </w:p>
        </w:tc>
      </w:tr>
      <w:tr w:rsidR="00A02D49" w:rsidRPr="00296F99" w14:paraId="3E2BF7CD" w14:textId="77777777" w:rsidTr="00E516CF">
        <w:trPr>
          <w:trHeight w:val="20"/>
        </w:trPr>
        <w:tc>
          <w:tcPr>
            <w:tcW w:w="2019" w:type="pct"/>
          </w:tcPr>
          <w:p w14:paraId="61B4B48E" w14:textId="77777777" w:rsidR="00A02D49" w:rsidRPr="00296F99" w:rsidRDefault="00A02D49" w:rsidP="00E516CF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296F99">
              <w:rPr>
                <w:b/>
                <w:bCs/>
                <w:sz w:val="22"/>
                <w:szCs w:val="22"/>
              </w:rPr>
              <w:t>Ventriculoperitoneal shunt*</w:t>
            </w:r>
          </w:p>
        </w:tc>
        <w:tc>
          <w:tcPr>
            <w:tcW w:w="799" w:type="pct"/>
            <w:vAlign w:val="center"/>
          </w:tcPr>
          <w:p w14:paraId="6C7F88CB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41 (85%)</w:t>
            </w:r>
          </w:p>
        </w:tc>
        <w:tc>
          <w:tcPr>
            <w:tcW w:w="1149" w:type="pct"/>
            <w:vAlign w:val="center"/>
          </w:tcPr>
          <w:p w14:paraId="73AFD272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20 (83%)</w:t>
            </w:r>
          </w:p>
        </w:tc>
        <w:tc>
          <w:tcPr>
            <w:tcW w:w="1033" w:type="pct"/>
            <w:vAlign w:val="center"/>
          </w:tcPr>
          <w:p w14:paraId="3B29659C" w14:textId="77777777" w:rsidR="00A02D49" w:rsidRPr="00296F99" w:rsidRDefault="00A02D49" w:rsidP="00E516C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296F99">
              <w:rPr>
                <w:sz w:val="22"/>
                <w:szCs w:val="22"/>
              </w:rPr>
              <w:t>21 (88%)</w:t>
            </w:r>
          </w:p>
        </w:tc>
      </w:tr>
    </w:tbl>
    <w:p w14:paraId="0149E840" w14:textId="37CE3D0E" w:rsidR="00420CE7" w:rsidRDefault="00A02D49">
      <w:r w:rsidRPr="00296F99">
        <w:rPr>
          <w:sz w:val="22"/>
          <w:szCs w:val="22"/>
        </w:rPr>
        <w:t xml:space="preserve">Categorical variables presented as count (percentage). </w:t>
      </w:r>
      <w:r w:rsidRPr="00296F99">
        <w:rPr>
          <w:b/>
          <w:bCs/>
          <w:sz w:val="22"/>
          <w:szCs w:val="22"/>
          <w:vertAlign w:val="superscript"/>
        </w:rPr>
        <w:t>¢</w:t>
      </w:r>
      <w:r w:rsidRPr="00296F99">
        <w:rPr>
          <w:sz w:val="22"/>
          <w:szCs w:val="22"/>
        </w:rPr>
        <w:t xml:space="preserve">Denominator indicated if any datapoints were missing, otherwise n=24.  There were no significant differences detected between groups (all p&gt;0.05). HS-patent ductus arteriosus, hemodynamically significant patent ductus arteriosus. </w:t>
      </w:r>
      <w:proofErr w:type="gramStart"/>
      <w:r w:rsidRPr="00296F99">
        <w:rPr>
          <w:sz w:val="22"/>
          <w:szCs w:val="22"/>
        </w:rPr>
        <w:t>Hypotension</w:t>
      </w:r>
      <w:proofErr w:type="gramEnd"/>
      <w:r w:rsidRPr="00296F99">
        <w:rPr>
          <w:sz w:val="22"/>
          <w:szCs w:val="22"/>
        </w:rPr>
        <w:t>² defined as receipt of ionotropic support. *Ventriculoperitoneal shunt may have been placed following discharge from the neonatal intensive care unit.</w:t>
      </w:r>
    </w:p>
    <w:sectPr w:rsidR="00420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49"/>
    <w:rsid w:val="0001626F"/>
    <w:rsid w:val="00023DB9"/>
    <w:rsid w:val="0006296B"/>
    <w:rsid w:val="00071DD1"/>
    <w:rsid w:val="00080552"/>
    <w:rsid w:val="00087AF4"/>
    <w:rsid w:val="000930CF"/>
    <w:rsid w:val="000A0D52"/>
    <w:rsid w:val="000A5165"/>
    <w:rsid w:val="000C3938"/>
    <w:rsid w:val="000C59CB"/>
    <w:rsid w:val="000E6C6E"/>
    <w:rsid w:val="000F2841"/>
    <w:rsid w:val="000F3732"/>
    <w:rsid w:val="0016078A"/>
    <w:rsid w:val="0016120F"/>
    <w:rsid w:val="001652E9"/>
    <w:rsid w:val="00167340"/>
    <w:rsid w:val="001862EF"/>
    <w:rsid w:val="001B05EB"/>
    <w:rsid w:val="001B6A90"/>
    <w:rsid w:val="00225395"/>
    <w:rsid w:val="00277D92"/>
    <w:rsid w:val="00282465"/>
    <w:rsid w:val="002A247F"/>
    <w:rsid w:val="002B4B59"/>
    <w:rsid w:val="002C3AA3"/>
    <w:rsid w:val="002E3643"/>
    <w:rsid w:val="00305EDA"/>
    <w:rsid w:val="0030777A"/>
    <w:rsid w:val="003077B7"/>
    <w:rsid w:val="00311D94"/>
    <w:rsid w:val="00350B39"/>
    <w:rsid w:val="00354A3E"/>
    <w:rsid w:val="00361EA4"/>
    <w:rsid w:val="00373B1F"/>
    <w:rsid w:val="003927F5"/>
    <w:rsid w:val="003A79DF"/>
    <w:rsid w:val="003C0E2E"/>
    <w:rsid w:val="003D132D"/>
    <w:rsid w:val="003E082B"/>
    <w:rsid w:val="003E0C42"/>
    <w:rsid w:val="003F0739"/>
    <w:rsid w:val="003F2A66"/>
    <w:rsid w:val="003F32CE"/>
    <w:rsid w:val="00420CE7"/>
    <w:rsid w:val="00431D0F"/>
    <w:rsid w:val="00470074"/>
    <w:rsid w:val="00475174"/>
    <w:rsid w:val="00487515"/>
    <w:rsid w:val="004C659B"/>
    <w:rsid w:val="004D3FE0"/>
    <w:rsid w:val="004E4A1B"/>
    <w:rsid w:val="004E58C8"/>
    <w:rsid w:val="0053283C"/>
    <w:rsid w:val="0056703F"/>
    <w:rsid w:val="00572482"/>
    <w:rsid w:val="00587218"/>
    <w:rsid w:val="005A60CC"/>
    <w:rsid w:val="005B0CC4"/>
    <w:rsid w:val="005C163D"/>
    <w:rsid w:val="005C2150"/>
    <w:rsid w:val="005C45D8"/>
    <w:rsid w:val="005D0E2A"/>
    <w:rsid w:val="005E55A2"/>
    <w:rsid w:val="005F6094"/>
    <w:rsid w:val="00633309"/>
    <w:rsid w:val="0066767D"/>
    <w:rsid w:val="00670949"/>
    <w:rsid w:val="006A3CB9"/>
    <w:rsid w:val="006D64E9"/>
    <w:rsid w:val="006F784B"/>
    <w:rsid w:val="00712230"/>
    <w:rsid w:val="00715097"/>
    <w:rsid w:val="00716B1D"/>
    <w:rsid w:val="0072178A"/>
    <w:rsid w:val="00722DD7"/>
    <w:rsid w:val="00774306"/>
    <w:rsid w:val="00782137"/>
    <w:rsid w:val="007C504D"/>
    <w:rsid w:val="00853797"/>
    <w:rsid w:val="00894936"/>
    <w:rsid w:val="008A2F27"/>
    <w:rsid w:val="008C745E"/>
    <w:rsid w:val="008E7FD0"/>
    <w:rsid w:val="008F257B"/>
    <w:rsid w:val="008F51E6"/>
    <w:rsid w:val="009054E2"/>
    <w:rsid w:val="00911567"/>
    <w:rsid w:val="0092340C"/>
    <w:rsid w:val="009355D8"/>
    <w:rsid w:val="009428BD"/>
    <w:rsid w:val="009658EF"/>
    <w:rsid w:val="009817D7"/>
    <w:rsid w:val="0098548D"/>
    <w:rsid w:val="009967E8"/>
    <w:rsid w:val="009A23FB"/>
    <w:rsid w:val="009A3E01"/>
    <w:rsid w:val="009C7171"/>
    <w:rsid w:val="009E43E6"/>
    <w:rsid w:val="009F07ED"/>
    <w:rsid w:val="009F48E5"/>
    <w:rsid w:val="00A004E1"/>
    <w:rsid w:val="00A02D49"/>
    <w:rsid w:val="00A03AD3"/>
    <w:rsid w:val="00A10566"/>
    <w:rsid w:val="00A443D0"/>
    <w:rsid w:val="00A563CF"/>
    <w:rsid w:val="00A56537"/>
    <w:rsid w:val="00A71FAC"/>
    <w:rsid w:val="00A735D4"/>
    <w:rsid w:val="00A85BED"/>
    <w:rsid w:val="00AA4EB8"/>
    <w:rsid w:val="00AF1AAF"/>
    <w:rsid w:val="00B0279E"/>
    <w:rsid w:val="00B12321"/>
    <w:rsid w:val="00B25AA7"/>
    <w:rsid w:val="00B506A9"/>
    <w:rsid w:val="00B71688"/>
    <w:rsid w:val="00B80375"/>
    <w:rsid w:val="00BD6F57"/>
    <w:rsid w:val="00BE2A1F"/>
    <w:rsid w:val="00BE6E9C"/>
    <w:rsid w:val="00C0624B"/>
    <w:rsid w:val="00C24B2E"/>
    <w:rsid w:val="00C2538C"/>
    <w:rsid w:val="00C3655B"/>
    <w:rsid w:val="00C53CF5"/>
    <w:rsid w:val="00C56E08"/>
    <w:rsid w:val="00C733A9"/>
    <w:rsid w:val="00C93E26"/>
    <w:rsid w:val="00CE2FE6"/>
    <w:rsid w:val="00D26E55"/>
    <w:rsid w:val="00D443B4"/>
    <w:rsid w:val="00D67A38"/>
    <w:rsid w:val="00D9053F"/>
    <w:rsid w:val="00DC0B24"/>
    <w:rsid w:val="00DF5DA4"/>
    <w:rsid w:val="00DF7455"/>
    <w:rsid w:val="00DF77B2"/>
    <w:rsid w:val="00E308F5"/>
    <w:rsid w:val="00E357B1"/>
    <w:rsid w:val="00E3798C"/>
    <w:rsid w:val="00E42029"/>
    <w:rsid w:val="00E45B29"/>
    <w:rsid w:val="00E56F0A"/>
    <w:rsid w:val="00E73649"/>
    <w:rsid w:val="00E73BA3"/>
    <w:rsid w:val="00E83A47"/>
    <w:rsid w:val="00ED1ABA"/>
    <w:rsid w:val="00ED1D32"/>
    <w:rsid w:val="00EE04D4"/>
    <w:rsid w:val="00EE5066"/>
    <w:rsid w:val="00EF16C8"/>
    <w:rsid w:val="00EF4D4E"/>
    <w:rsid w:val="00F0798F"/>
    <w:rsid w:val="00F25387"/>
    <w:rsid w:val="00F26A28"/>
    <w:rsid w:val="00F368B9"/>
    <w:rsid w:val="00F53AC4"/>
    <w:rsid w:val="00FF30D5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2FC1"/>
  <w15:chartTrackingRefBased/>
  <w15:docId w15:val="{21B0CD1A-FE91-574F-BEC1-4518C6B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D49"/>
  </w:style>
  <w:style w:type="paragraph" w:styleId="Heading1">
    <w:name w:val="heading 1"/>
    <w:basedOn w:val="Normal"/>
    <w:next w:val="Normal"/>
    <w:link w:val="Heading1Char"/>
    <w:uiPriority w:val="9"/>
    <w:qFormat/>
    <w:rsid w:val="00A02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D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Menon, Sarisha</dc:creator>
  <cp:keywords/>
  <dc:description/>
  <cp:lastModifiedBy>Menon, Sarisha</cp:lastModifiedBy>
  <cp:revision>1</cp:revision>
  <dcterms:created xsi:type="dcterms:W3CDTF">2026-09-21T17:18:00Z</dcterms:created>
  <dcterms:modified xsi:type="dcterms:W3CDTF">2026-09-21T17:19:00Z</dcterms:modified>
</cp:coreProperties>
</file>