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32AA9" w14:textId="1A041948" w:rsidR="00EF4B94" w:rsidRDefault="00914C56" w:rsidP="00914C56">
      <w:pPr>
        <w:rPr>
          <w:rFonts w:eastAsia="Times New Roman"/>
          <w:b/>
          <w:sz w:val="20"/>
          <w:szCs w:val="20"/>
          <w:lang w:eastAsia="en-GB"/>
        </w:rPr>
      </w:pPr>
      <w:bookmarkStart w:id="0" w:name="_GoBack"/>
      <w:bookmarkEnd w:id="0"/>
      <w:r w:rsidRPr="00F3611A">
        <w:rPr>
          <w:rFonts w:eastAsia="Times New Roman"/>
          <w:b/>
          <w:sz w:val="20"/>
          <w:szCs w:val="20"/>
          <w:lang w:eastAsia="en-GB"/>
        </w:rPr>
        <w:t xml:space="preserve">STROBE-MR checklist of recommended items to address </w:t>
      </w:r>
      <w:r>
        <w:rPr>
          <w:rFonts w:eastAsia="Times New Roman"/>
          <w:b/>
          <w:sz w:val="20"/>
          <w:szCs w:val="20"/>
          <w:lang w:eastAsia="en-GB"/>
        </w:rPr>
        <w:t>in reports of Mendelian randomiz</w:t>
      </w:r>
      <w:r w:rsidRPr="00F3611A">
        <w:rPr>
          <w:rFonts w:eastAsia="Times New Roman"/>
          <w:b/>
          <w:sz w:val="20"/>
          <w:szCs w:val="20"/>
          <w:lang w:eastAsia="en-GB"/>
        </w:rPr>
        <w:t>ation studies</w:t>
      </w:r>
      <w:r w:rsidR="009854A9">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009854A9">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1</w:t>
      </w:r>
      <w:r w:rsidR="009854A9">
        <w:rPr>
          <w:rFonts w:eastAsia="Times New Roman"/>
          <w:b/>
          <w:sz w:val="20"/>
          <w:szCs w:val="20"/>
          <w:lang w:eastAsia="en-GB"/>
        </w:rPr>
        <w:fldChar w:fldCharType="end"/>
      </w:r>
      <w:r w:rsidR="009854A9">
        <w:rPr>
          <w:rFonts w:eastAsia="Times New Roman"/>
          <w:b/>
          <w:sz w:val="20"/>
          <w:szCs w:val="20"/>
          <w:lang w:eastAsia="en-GB"/>
        </w:rPr>
        <w:t xml:space="preserve"> </w:t>
      </w:r>
      <w:r w:rsidR="00804498">
        <w:rPr>
          <w:rFonts w:eastAsia="Times New Roman"/>
          <w:b/>
          <w:sz w:val="20"/>
          <w:szCs w:val="20"/>
          <w:lang w:eastAsia="en-GB"/>
        </w:rPr>
        <w:fldChar w:fldCharType="begin" w:fldLock="1"/>
      </w:r>
      <w:r w:rsidR="009854A9">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00804498">
        <w:rPr>
          <w:rFonts w:eastAsia="Times New Roman"/>
          <w:b/>
          <w:sz w:val="20"/>
          <w:szCs w:val="20"/>
          <w:lang w:eastAsia="en-GB"/>
        </w:rPr>
        <w:fldChar w:fldCharType="separate"/>
      </w:r>
      <w:r w:rsidR="009854A9" w:rsidRPr="009854A9">
        <w:rPr>
          <w:rFonts w:eastAsia="Times New Roman"/>
          <w:noProof/>
          <w:sz w:val="20"/>
          <w:szCs w:val="20"/>
          <w:vertAlign w:val="superscript"/>
          <w:lang w:eastAsia="en-GB"/>
        </w:rPr>
        <w:t>2</w:t>
      </w:r>
      <w:r w:rsidR="00804498">
        <w:rPr>
          <w:rFonts w:eastAsia="Times New Roman"/>
          <w:b/>
          <w:sz w:val="20"/>
          <w:szCs w:val="20"/>
          <w:lang w:eastAsia="en-GB"/>
        </w:rPr>
        <w:fldChar w:fldCharType="end"/>
      </w:r>
      <w:r w:rsidRPr="00F3611A">
        <w:rPr>
          <w:rFonts w:eastAsia="Times New Roman"/>
          <w:b/>
          <w:sz w:val="20"/>
          <w:szCs w:val="20"/>
          <w:lang w:eastAsia="en-GB"/>
        </w:rPr>
        <w:t> </w:t>
      </w:r>
    </w:p>
    <w:p w14:paraId="3EE539AD" w14:textId="77777777" w:rsidR="005520ED" w:rsidRPr="005520ED" w:rsidRDefault="005520ED" w:rsidP="00914C56">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41"/>
        <w:gridCol w:w="720"/>
        <w:gridCol w:w="4320"/>
      </w:tblGrid>
      <w:tr w:rsidR="00D8098C" w:rsidRPr="00B853C6" w14:paraId="68BC94E2" w14:textId="1CEFEAFD" w:rsidTr="003D447D">
        <w:tc>
          <w:tcPr>
            <w:tcW w:w="587" w:type="dxa"/>
            <w:tcBorders>
              <w:top w:val="single" w:sz="4" w:space="0" w:color="auto"/>
              <w:bottom w:val="single" w:sz="6" w:space="0" w:color="7F7F7F"/>
            </w:tcBorders>
            <w:shd w:val="clear" w:color="auto" w:fill="auto"/>
          </w:tcPr>
          <w:p w14:paraId="00DEF8A5"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Item No.</w:t>
            </w:r>
          </w:p>
        </w:tc>
        <w:tc>
          <w:tcPr>
            <w:tcW w:w="1822" w:type="dxa"/>
            <w:tcBorders>
              <w:top w:val="single" w:sz="4" w:space="0" w:color="auto"/>
              <w:bottom w:val="single" w:sz="6" w:space="0" w:color="7F7F7F"/>
            </w:tcBorders>
            <w:shd w:val="clear" w:color="auto" w:fill="auto"/>
          </w:tcPr>
          <w:p w14:paraId="04F587D2"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Section</w:t>
            </w:r>
          </w:p>
        </w:tc>
        <w:tc>
          <w:tcPr>
            <w:tcW w:w="7041" w:type="dxa"/>
            <w:tcBorders>
              <w:top w:val="single" w:sz="4" w:space="0" w:color="auto"/>
              <w:bottom w:val="single" w:sz="6" w:space="0" w:color="7F7F7F"/>
            </w:tcBorders>
            <w:shd w:val="clear" w:color="auto" w:fill="auto"/>
          </w:tcPr>
          <w:p w14:paraId="5A682768" w14:textId="77777777" w:rsidR="00D8098C" w:rsidRPr="00F0337F" w:rsidRDefault="00D8098C" w:rsidP="00426603">
            <w:pPr>
              <w:spacing w:beforeLines="40" w:before="96" w:afterLines="40" w:after="96" w:line="24" w:lineRule="atLeast"/>
              <w:rPr>
                <w:rFonts w:eastAsia="Cambria"/>
                <w:b/>
                <w:bCs/>
                <w:sz w:val="18"/>
                <w:szCs w:val="18"/>
                <w:lang w:val="en-GB" w:eastAsia="en-US"/>
              </w:rPr>
            </w:pPr>
            <w:r w:rsidRPr="00F0337F">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26D050FB" w14:textId="497E77E4" w:rsidR="00D8098C" w:rsidRPr="00F0337F"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Page No.</w:t>
            </w:r>
          </w:p>
        </w:tc>
        <w:tc>
          <w:tcPr>
            <w:tcW w:w="4320" w:type="dxa"/>
            <w:tcBorders>
              <w:top w:val="single" w:sz="4" w:space="0" w:color="auto"/>
              <w:bottom w:val="single" w:sz="6" w:space="0" w:color="7F7F7F"/>
            </w:tcBorders>
          </w:tcPr>
          <w:p w14:paraId="3B169EDD" w14:textId="040F4512" w:rsidR="00D8098C" w:rsidRDefault="00EF4B94" w:rsidP="00426603">
            <w:pPr>
              <w:spacing w:beforeLines="40" w:before="96" w:afterLines="40" w:after="96" w:line="24" w:lineRule="atLeast"/>
              <w:rPr>
                <w:rFonts w:eastAsia="Cambria"/>
                <w:b/>
                <w:bCs/>
                <w:sz w:val="18"/>
                <w:szCs w:val="18"/>
                <w:lang w:val="en-GB" w:eastAsia="en-US"/>
              </w:rPr>
            </w:pPr>
            <w:r>
              <w:rPr>
                <w:rFonts w:eastAsia="Cambria"/>
                <w:b/>
                <w:bCs/>
                <w:sz w:val="18"/>
                <w:szCs w:val="18"/>
                <w:lang w:val="en-GB" w:eastAsia="en-US"/>
              </w:rPr>
              <w:t>Relevant text from manuscript</w:t>
            </w:r>
          </w:p>
        </w:tc>
      </w:tr>
      <w:tr w:rsidR="00D8098C" w:rsidRPr="00B853C6" w14:paraId="6D71F361" w14:textId="15A67F44" w:rsidTr="003D447D">
        <w:tc>
          <w:tcPr>
            <w:tcW w:w="587" w:type="dxa"/>
            <w:tcBorders>
              <w:top w:val="single" w:sz="6" w:space="0" w:color="7F7F7F"/>
              <w:bottom w:val="single" w:sz="6" w:space="0" w:color="7F7F7F"/>
            </w:tcBorders>
            <w:shd w:val="clear" w:color="auto" w:fill="EEEEEE"/>
          </w:tcPr>
          <w:p w14:paraId="25A8835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4CC4316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1DA8BD46" w14:textId="22BBD1AD" w:rsidR="00D8098C" w:rsidRPr="00F0337F" w:rsidRDefault="00D8098C" w:rsidP="006912BF">
            <w:pPr>
              <w:spacing w:beforeLines="40" w:before="96" w:afterLines="40" w:after="96" w:line="24" w:lineRule="atLeast"/>
              <w:rPr>
                <w:rFonts w:eastAsia="Cambria"/>
                <w:sz w:val="18"/>
                <w:szCs w:val="18"/>
                <w:lang w:val="en-GB" w:eastAsia="en-US"/>
              </w:rPr>
            </w:pPr>
            <w:r w:rsidRPr="00F0337F">
              <w:rPr>
                <w:rFonts w:eastAsia="Times New Roman"/>
                <w:sz w:val="18"/>
                <w:szCs w:val="18"/>
                <w:lang w:val="en-GB" w:eastAsia="en-GB"/>
              </w:rPr>
              <w:t>Indicate Mendelian randomization</w:t>
            </w:r>
            <w:r w:rsidR="000A4CE8">
              <w:rPr>
                <w:rFonts w:eastAsia="Times New Roman"/>
                <w:sz w:val="18"/>
                <w:szCs w:val="18"/>
                <w:lang w:val="en-GB" w:eastAsia="en-GB"/>
              </w:rPr>
              <w:t xml:space="preserve"> (MR)</w:t>
            </w:r>
            <w:r w:rsidRPr="00F0337F">
              <w:rPr>
                <w:rFonts w:eastAsia="Times New Roman"/>
                <w:sz w:val="18"/>
                <w:szCs w:val="18"/>
                <w:lang w:val="en-GB" w:eastAsia="en-GB"/>
              </w:rPr>
              <w:t xml:space="preserve"> as the study</w:t>
            </w:r>
            <w:r w:rsidR="006912BF">
              <w:rPr>
                <w:rFonts w:eastAsia="Times New Roman"/>
                <w:sz w:val="18"/>
                <w:szCs w:val="18"/>
                <w:lang w:val="en-GB" w:eastAsia="en-GB"/>
              </w:rPr>
              <w:t>’</w:t>
            </w:r>
            <w:r w:rsidRPr="00F0337F">
              <w:rPr>
                <w:rFonts w:eastAsia="Times New Roman"/>
                <w:sz w:val="18"/>
                <w:szCs w:val="18"/>
                <w:lang w:val="en-GB" w:eastAsia="en-GB"/>
              </w:rPr>
              <w:t>s design in the title and/or the abstract if that is a main purpose of the study</w:t>
            </w:r>
          </w:p>
        </w:tc>
        <w:tc>
          <w:tcPr>
            <w:tcW w:w="720" w:type="dxa"/>
            <w:tcBorders>
              <w:top w:val="single" w:sz="6" w:space="0" w:color="7F7F7F"/>
              <w:bottom w:val="single" w:sz="6" w:space="0" w:color="7F7F7F"/>
            </w:tcBorders>
            <w:shd w:val="clear" w:color="auto" w:fill="EEEEEE"/>
          </w:tcPr>
          <w:p>
            <w:r>
              <w:rPr>
                <w:sz w:val="18"/>
              </w:rPr>
              <w:t>1</w:t>
            </w:r>
          </w:p>
        </w:tc>
        <w:tc>
          <w:tcPr>
            <w:tcW w:w="4320" w:type="dxa"/>
            <w:tcBorders>
              <w:top w:val="single" w:sz="6" w:space="0" w:color="7F7F7F"/>
              <w:bottom w:val="single" w:sz="6" w:space="0" w:color="7F7F7F"/>
            </w:tcBorders>
            <w:shd w:val="clear" w:color="auto" w:fill="EEEEEE"/>
          </w:tcPr>
          <w:p>
            <w:r>
              <w:rPr>
                <w:sz w:val="18"/>
              </w:rPr>
              <w:t>Title names Mendelian randomization as the study design.</w:t>
            </w:r>
          </w:p>
        </w:tc>
      </w:tr>
      <w:tr w:rsidR="00D8098C" w:rsidRPr="00B853C6" w14:paraId="641E6A58" w14:textId="3A4EC1CE" w:rsidTr="003D447D">
        <w:tc>
          <w:tcPr>
            <w:tcW w:w="587" w:type="dxa"/>
            <w:tcBorders>
              <w:top w:val="single" w:sz="6" w:space="0" w:color="7F7F7F"/>
            </w:tcBorders>
            <w:shd w:val="clear" w:color="auto" w:fill="auto"/>
          </w:tcPr>
          <w:p w14:paraId="4792BEF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63B58F01"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INTRODUCTION</w:t>
            </w:r>
          </w:p>
        </w:tc>
        <w:tc>
          <w:tcPr>
            <w:tcW w:w="7041" w:type="dxa"/>
            <w:tcBorders>
              <w:top w:val="single" w:sz="6" w:space="0" w:color="7F7F7F"/>
            </w:tcBorders>
            <w:shd w:val="clear" w:color="auto" w:fill="auto"/>
          </w:tcPr>
          <w:p w14:paraId="473C01D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6681F500"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7A6DC6E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7DB622D8" w14:textId="3921B7E8" w:rsidTr="003D447D">
        <w:tc>
          <w:tcPr>
            <w:tcW w:w="587" w:type="dxa"/>
            <w:shd w:val="clear" w:color="auto" w:fill="EEEEEE"/>
          </w:tcPr>
          <w:p w14:paraId="7DE28D61"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w:t>
            </w:r>
          </w:p>
        </w:tc>
        <w:tc>
          <w:tcPr>
            <w:tcW w:w="1822" w:type="dxa"/>
            <w:shd w:val="clear" w:color="auto" w:fill="EEEEEE"/>
          </w:tcPr>
          <w:p w14:paraId="7756B327"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Background</w:t>
            </w:r>
          </w:p>
        </w:tc>
        <w:tc>
          <w:tcPr>
            <w:tcW w:w="7041" w:type="dxa"/>
            <w:shd w:val="clear" w:color="auto" w:fill="EEEEEE"/>
          </w:tcPr>
          <w:p w14:paraId="5423D52E" w14:textId="5998ED56"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Explain the scientific background and rationale for the reported study. What is the exposure? Is </w:t>
            </w:r>
            <w:r w:rsidR="00514462">
              <w:rPr>
                <w:rFonts w:eastAsia="Times New Roman"/>
                <w:sz w:val="18"/>
                <w:szCs w:val="18"/>
                <w:lang w:val="en-GB" w:eastAsia="en-GB"/>
              </w:rPr>
              <w:t xml:space="preserve">a </w:t>
            </w:r>
            <w:r>
              <w:rPr>
                <w:rFonts w:eastAsia="Times New Roman"/>
                <w:sz w:val="18"/>
                <w:szCs w:val="18"/>
                <w:lang w:val="en-GB" w:eastAsia="en-GB"/>
              </w:rPr>
              <w:t>potential causal relationship</w:t>
            </w:r>
            <w:r w:rsidRPr="00F0337F">
              <w:rPr>
                <w:rFonts w:eastAsia="Times New Roman"/>
                <w:sz w:val="18"/>
                <w:szCs w:val="18"/>
                <w:lang w:val="en-GB" w:eastAsia="en-GB"/>
              </w:rPr>
              <w:t xml:space="preserve"> between exposure and outcome plausible? Justify why MR is a helpful method to address the study question</w:t>
            </w:r>
          </w:p>
        </w:tc>
        <w:tc>
          <w:tcPr>
            <w:tcW w:w="720" w:type="dxa"/>
            <w:shd w:val="clear" w:color="auto" w:fill="EEEEEE"/>
          </w:tcPr>
          <w:p>
            <w:r>
              <w:rPr>
                <w:sz w:val="18"/>
              </w:rPr>
              <w:t>2</w:t>
            </w:r>
          </w:p>
        </w:tc>
        <w:tc>
          <w:tcPr>
            <w:tcW w:w="4320" w:type="dxa"/>
            <w:shd w:val="clear" w:color="auto" w:fill="EEEEEE"/>
          </w:tcPr>
          <w:p>
            <w:r>
              <w:rPr>
                <w:sz w:val="18"/>
              </w:rPr>
              <w:t>Background explains that MR is used to test whether ligand and receptor cis-pQTL estimates are interchangeable evidence about a shared pathway.</w:t>
            </w:r>
          </w:p>
        </w:tc>
      </w:tr>
      <w:tr w:rsidR="00D8098C" w:rsidRPr="00B853C6" w14:paraId="7907A3D3" w14:textId="5AB948A7" w:rsidTr="003D447D">
        <w:tc>
          <w:tcPr>
            <w:tcW w:w="587" w:type="dxa"/>
            <w:tcBorders>
              <w:bottom w:val="single" w:sz="6" w:space="0" w:color="7F7F7F"/>
            </w:tcBorders>
            <w:shd w:val="clear" w:color="auto" w:fill="auto"/>
          </w:tcPr>
          <w:p w14:paraId="4F63B03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3</w:t>
            </w:r>
          </w:p>
        </w:tc>
        <w:tc>
          <w:tcPr>
            <w:tcW w:w="1822" w:type="dxa"/>
            <w:tcBorders>
              <w:bottom w:val="single" w:sz="6" w:space="0" w:color="7F7F7F"/>
            </w:tcBorders>
            <w:shd w:val="clear" w:color="auto" w:fill="auto"/>
          </w:tcPr>
          <w:p w14:paraId="3E6B9EE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Objectives</w:t>
            </w:r>
          </w:p>
        </w:tc>
        <w:tc>
          <w:tcPr>
            <w:tcW w:w="7041" w:type="dxa"/>
            <w:tcBorders>
              <w:bottom w:val="single" w:sz="6" w:space="0" w:color="7F7F7F"/>
            </w:tcBorders>
            <w:shd w:val="clear" w:color="auto" w:fill="auto"/>
          </w:tcPr>
          <w:p w14:paraId="41BC8A0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r>
              <w:rPr>
                <w:sz w:val="18"/>
              </w:rPr>
              <w:t>3</w:t>
            </w:r>
          </w:p>
        </w:tc>
        <w:tc>
          <w:tcPr>
            <w:tcW w:w="4320" w:type="dxa"/>
            <w:tcBorders>
              <w:bottom w:val="single" w:sz="6" w:space="0" w:color="7F7F7F"/>
            </w:tcBorders>
          </w:tcPr>
          <w:p>
            <w:r>
              <w:rPr>
                <w:sz w:val="18"/>
              </w:rPr>
              <w:t>States the objective, to test the pathway assumption using a permutation null that respects the ligand-receptor network.</w:t>
            </w:r>
          </w:p>
        </w:tc>
      </w:tr>
      <w:tr w:rsidR="00D8098C" w:rsidRPr="00B853C6" w14:paraId="59599383" w14:textId="2880B554" w:rsidTr="003D447D">
        <w:tc>
          <w:tcPr>
            <w:tcW w:w="587" w:type="dxa"/>
            <w:tcBorders>
              <w:top w:val="single" w:sz="6" w:space="0" w:color="7F7F7F"/>
            </w:tcBorders>
            <w:shd w:val="clear" w:color="auto" w:fill="EEEEEE"/>
          </w:tcPr>
          <w:p w14:paraId="3524D6D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6152628C"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METHODS</w:t>
            </w:r>
          </w:p>
        </w:tc>
        <w:tc>
          <w:tcPr>
            <w:tcW w:w="7041" w:type="dxa"/>
            <w:tcBorders>
              <w:top w:val="single" w:sz="6" w:space="0" w:color="7F7F7F"/>
            </w:tcBorders>
            <w:shd w:val="clear" w:color="auto" w:fill="EEEEEE"/>
          </w:tcPr>
          <w:p w14:paraId="309B85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2FFEF450"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shd w:val="clear" w:color="auto" w:fill="EEEEEE"/>
          </w:tcPr>
          <w:p w14:paraId="6CB9315A"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440155E" w14:textId="16610A1F" w:rsidTr="003D447D">
        <w:tc>
          <w:tcPr>
            <w:tcW w:w="587" w:type="dxa"/>
            <w:shd w:val="clear" w:color="auto" w:fill="auto"/>
          </w:tcPr>
          <w:p w14:paraId="5C7CF34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4</w:t>
            </w:r>
          </w:p>
        </w:tc>
        <w:tc>
          <w:tcPr>
            <w:tcW w:w="1822" w:type="dxa"/>
            <w:shd w:val="clear" w:color="auto" w:fill="auto"/>
          </w:tcPr>
          <w:p w14:paraId="408E2A8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Study design and data sources</w:t>
            </w:r>
          </w:p>
        </w:tc>
        <w:tc>
          <w:tcPr>
            <w:tcW w:w="7041" w:type="dxa"/>
            <w:shd w:val="clear" w:color="auto" w:fill="auto"/>
          </w:tcPr>
          <w:p w14:paraId="29029CA4"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r>
              <w:rPr>
                <w:sz w:val="18"/>
              </w:rPr>
              <w:t>3</w:t>
            </w:r>
          </w:p>
        </w:tc>
        <w:tc>
          <w:tcPr>
            <w:tcW w:w="4320" w:type="dxa"/>
          </w:tcPr>
          <w:p>
            <w:r>
              <w:rPr>
                <w:sz w:val="18"/>
              </w:rPr>
              <w:t>Data sources subsection states this is a two-sample summary-data MR study using published GWAS summary statistics only.</w:t>
            </w:r>
          </w:p>
        </w:tc>
      </w:tr>
      <w:tr w:rsidR="00D8098C" w:rsidRPr="00B853C6" w14:paraId="47D5AE21" w14:textId="3CA8D4AF" w:rsidTr="003D447D">
        <w:tc>
          <w:tcPr>
            <w:tcW w:w="587" w:type="dxa"/>
            <w:shd w:val="clear" w:color="auto" w:fill="EEEEEE"/>
          </w:tcPr>
          <w:p w14:paraId="0980B68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9E72ACB"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246167BE"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shd w:val="clear" w:color="auto" w:fill="FFFFFF"/>
                <w:lang w:val="en-GB" w:eastAsia="en-GB"/>
              </w:rPr>
              <w:t xml:space="preserve">Setting: </w:t>
            </w:r>
            <w:r w:rsidRPr="00A1236D">
              <w:rPr>
                <w:rFonts w:eastAsia="Times New Roman"/>
                <w:sz w:val="18"/>
                <w:szCs w:val="18"/>
                <w:lang w:val="en-GB" w:eastAsia="en-GB"/>
              </w:rPr>
              <w:t xml:space="preserve">Describe the study design and the underlying population, if possible. </w:t>
            </w:r>
            <w:r w:rsidRPr="00A1236D">
              <w:rPr>
                <w:rFonts w:eastAsia="Times New Roman"/>
                <w:sz w:val="18"/>
                <w:szCs w:val="18"/>
                <w:shd w:val="clear" w:color="auto" w:fill="FFFFFF"/>
                <w:lang w:val="en-GB" w:eastAsia="en-GB"/>
              </w:rPr>
              <w:t xml:space="preserve">Describe the setting, locations, and relevant dates, including periods </w:t>
            </w:r>
            <w:r w:rsidRPr="00A1236D">
              <w:rPr>
                <w:rFonts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r>
              <w:rPr>
                <w:sz w:val="18"/>
              </w:rPr>
              <w:t>1</w:t>
            </w:r>
          </w:p>
        </w:tc>
        <w:tc>
          <w:tcPr>
            <w:tcW w:w="4320" w:type="dxa"/>
            <w:shd w:val="clear" w:color="auto" w:fill="EEEEEE"/>
          </w:tcPr>
          <w:p>
            <w:r>
              <w:rPr>
                <w:sz w:val="18"/>
              </w:rPr>
              <w:t>Abstract states the MR design, cis-pQTL instruments, and the analyzed population, 660 of 661 proteins across 1,129 pairs.</w:t>
            </w:r>
          </w:p>
        </w:tc>
      </w:tr>
      <w:tr w:rsidR="00D8098C" w:rsidRPr="00B853C6" w14:paraId="376A6F82" w14:textId="43693FDC" w:rsidTr="003D447D">
        <w:tc>
          <w:tcPr>
            <w:tcW w:w="587" w:type="dxa"/>
            <w:shd w:val="clear" w:color="auto" w:fill="auto"/>
          </w:tcPr>
          <w:p w14:paraId="6B85F4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CF2EB5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5E3BCE69"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 xml:space="preserve">Participants: Give the eligibility criteria, and the sources and methods of selection of participants. </w:t>
            </w:r>
            <w:r w:rsidRPr="00A1236D">
              <w:rPr>
                <w:rFonts w:eastAsia="Times New Roman"/>
                <w:color w:val="000000"/>
                <w:sz w:val="18"/>
                <w:szCs w:val="18"/>
              </w:rPr>
              <w:t>Report the sample size, and whether any power or sample size calculations were carried out prior to the main analysis</w:t>
            </w:r>
            <w:r w:rsidRPr="00A1236D">
              <w:rPr>
                <w:rFonts w:eastAsia="Times New Roman"/>
                <w:sz w:val="18"/>
                <w:szCs w:val="18"/>
                <w:lang w:val="en-GB" w:eastAsia="en-GB"/>
              </w:rPr>
              <w:t> </w:t>
            </w:r>
          </w:p>
        </w:tc>
        <w:tc>
          <w:tcPr>
            <w:tcW w:w="720" w:type="dxa"/>
          </w:tcPr>
          <w:p>
            <w:r>
              <w:rPr>
                <w:sz w:val="18"/>
              </w:rPr>
              <w:t>6</w:t>
            </w:r>
          </w:p>
        </w:tc>
        <w:tc>
          <w:tcPr>
            <w:tcW w:w="4320" w:type="dxa"/>
          </w:tcPr>
          <w:p>
            <w:r>
              <w:rPr>
                <w:sz w:val="18"/>
              </w:rPr>
              <w:t>Reports the median exposure sample size and its range for the 552 instrumented proteins.</w:t>
            </w:r>
          </w:p>
        </w:tc>
      </w:tr>
      <w:tr w:rsidR="00D8098C" w:rsidRPr="00B853C6" w14:paraId="04B065C7" w14:textId="72F11B68" w:rsidTr="003D447D">
        <w:tc>
          <w:tcPr>
            <w:tcW w:w="587" w:type="dxa"/>
            <w:shd w:val="clear" w:color="auto" w:fill="EEEEEE"/>
          </w:tcPr>
          <w:p w14:paraId="09448E2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60DD29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7B54F10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measurement, quality control and selection of genetic variants</w:t>
            </w:r>
          </w:p>
        </w:tc>
        <w:tc>
          <w:tcPr>
            <w:tcW w:w="720" w:type="dxa"/>
            <w:shd w:val="clear" w:color="auto" w:fill="EEEEEE"/>
          </w:tcPr>
          <w:p>
            <w:r>
              <w:rPr>
                <w:sz w:val="18"/>
              </w:rPr>
              <w:t>6</w:t>
            </w:r>
          </w:p>
        </w:tc>
        <w:tc>
          <w:tcPr>
            <w:tcW w:w="4320" w:type="dxa"/>
            <w:shd w:val="clear" w:color="auto" w:fill="EEEEEE"/>
          </w:tcPr>
          <w:p>
            <w:r>
              <w:rPr>
                <w:sz w:val="18"/>
              </w:rPr>
              <w:t>Describes instrument selection, the genome-wide significance threshold, the cis window, and the F less than or equal to 10 exclusion rule.</w:t>
            </w:r>
          </w:p>
        </w:tc>
      </w:tr>
      <w:tr w:rsidR="00D8098C" w:rsidRPr="00B853C6" w14:paraId="215DDE8E" w14:textId="5C8C984B" w:rsidTr="003D447D">
        <w:tc>
          <w:tcPr>
            <w:tcW w:w="587" w:type="dxa"/>
            <w:shd w:val="clear" w:color="auto" w:fill="auto"/>
          </w:tcPr>
          <w:p w14:paraId="7E3D460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0FB55AD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3B6B6065"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r>
              <w:rPr>
                <w:sz w:val="18"/>
              </w:rPr>
              <w:t>6</w:t>
            </w:r>
          </w:p>
        </w:tc>
        <w:tc>
          <w:tcPr>
            <w:tcW w:w="4320" w:type="dxa"/>
          </w:tcPr>
          <w:p>
            <w:r>
              <w:rPr>
                <w:sz w:val="18"/>
              </w:rPr>
              <w:t>States the Olink antibody-based proximity extension assay used to measure the protein exposures.</w:t>
            </w:r>
          </w:p>
        </w:tc>
      </w:tr>
      <w:tr w:rsidR="00D8098C" w:rsidRPr="00B853C6" w14:paraId="69A6C8B1" w14:textId="39D94CE4" w:rsidTr="003D447D">
        <w:tc>
          <w:tcPr>
            <w:tcW w:w="587" w:type="dxa"/>
            <w:shd w:val="clear" w:color="auto" w:fill="EEEEEE"/>
          </w:tcPr>
          <w:p w14:paraId="292FBB9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3C46B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EEEEEE"/>
          </w:tcPr>
          <w:p w14:paraId="4E713FBB" w14:textId="77777777" w:rsidR="00D8098C" w:rsidRPr="00A1236D" w:rsidRDefault="00D8098C" w:rsidP="00426603">
            <w:pPr>
              <w:spacing w:beforeLines="40" w:before="96" w:afterLines="40" w:after="96" w:line="24" w:lineRule="atLeast"/>
              <w:textAlignment w:val="baseline"/>
              <w:rPr>
                <w:rFonts w:eastAsia="Cambria"/>
                <w:sz w:val="18"/>
                <w:szCs w:val="18"/>
                <w:lang w:val="en-GB" w:eastAsia="en-US"/>
              </w:rPr>
            </w:pPr>
            <w:r w:rsidRPr="00A1236D">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r>
              <w:rPr>
                <w:sz w:val="18"/>
              </w:rPr>
              <w:t>21</w:t>
            </w:r>
          </w:p>
        </w:tc>
        <w:tc>
          <w:tcPr>
            <w:tcW w:w="4320" w:type="dxa"/>
            <w:shd w:val="clear" w:color="auto" w:fill="EEEEEE"/>
          </w:tcPr>
          <w:p>
            <w:r>
              <w:rPr>
                <w:sz w:val="18"/>
              </w:rPr>
              <w:t>States ethics approval and consent are not applicable because only public summary statistics with their own approvals were used.</w:t>
            </w:r>
          </w:p>
        </w:tc>
      </w:tr>
      <w:tr w:rsidR="00D8098C" w:rsidRPr="00B853C6" w14:paraId="23EA53EC" w14:textId="1D3E4E77" w:rsidTr="003D447D">
        <w:tc>
          <w:tcPr>
            <w:tcW w:w="587" w:type="dxa"/>
            <w:shd w:val="clear" w:color="auto" w:fill="auto"/>
          </w:tcPr>
          <w:p w14:paraId="3E6E0D6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5</w:t>
            </w:r>
          </w:p>
        </w:tc>
        <w:tc>
          <w:tcPr>
            <w:tcW w:w="1822" w:type="dxa"/>
            <w:shd w:val="clear" w:color="auto" w:fill="auto"/>
          </w:tcPr>
          <w:p w14:paraId="1F0455B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Assumptions</w:t>
            </w:r>
          </w:p>
          <w:p w14:paraId="0458797D" w14:textId="77777777" w:rsidR="00D8098C" w:rsidRPr="00F0337F" w:rsidRDefault="00D8098C" w:rsidP="00426603">
            <w:pPr>
              <w:spacing w:beforeLines="40" w:before="96" w:afterLines="40" w:after="96" w:line="24" w:lineRule="atLeast"/>
              <w:jc w:val="center"/>
              <w:rPr>
                <w:rFonts w:eastAsia="Cambria"/>
                <w:sz w:val="18"/>
                <w:szCs w:val="18"/>
                <w:lang w:val="en-GB" w:eastAsia="en-US"/>
              </w:rPr>
            </w:pPr>
          </w:p>
        </w:tc>
        <w:tc>
          <w:tcPr>
            <w:tcW w:w="7041" w:type="dxa"/>
            <w:shd w:val="clear" w:color="auto" w:fill="auto"/>
          </w:tcPr>
          <w:p w14:paraId="5139727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r>
              <w:rPr>
                <w:sz w:val="18"/>
              </w:rPr>
              <w:t>5</w:t>
            </w:r>
          </w:p>
        </w:tc>
        <w:tc>
          <w:tcPr>
            <w:tcW w:w="4320" w:type="dxa"/>
          </w:tcPr>
          <w:p>
            <w:r>
              <w:rPr>
                <w:sz w:val="18"/>
              </w:rPr>
              <w:t>Instrumental variable assumptions subsection states the three core IV assumptions and how each is addressed, noting independence and exclusion cannot be directly tested.</w:t>
            </w:r>
          </w:p>
        </w:tc>
      </w:tr>
      <w:tr w:rsidR="00D8098C" w:rsidRPr="00B853C6" w14:paraId="6209F8C8" w14:textId="78A53B40" w:rsidTr="003D447D">
        <w:tc>
          <w:tcPr>
            <w:tcW w:w="587" w:type="dxa"/>
            <w:shd w:val="clear" w:color="auto" w:fill="EEEEEE"/>
          </w:tcPr>
          <w:p w14:paraId="6FA239C8"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6</w:t>
            </w:r>
          </w:p>
        </w:tc>
        <w:tc>
          <w:tcPr>
            <w:tcW w:w="1822" w:type="dxa"/>
            <w:shd w:val="clear" w:color="auto" w:fill="EEEEEE"/>
          </w:tcPr>
          <w:p w14:paraId="3D8F9E93"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Statistical methods: main analysis</w:t>
            </w:r>
          </w:p>
        </w:tc>
        <w:tc>
          <w:tcPr>
            <w:tcW w:w="7041" w:type="dxa"/>
            <w:shd w:val="clear" w:color="auto" w:fill="EEEEEE"/>
          </w:tcPr>
          <w:p w14:paraId="49C33D0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statistical methods and statistics used</w:t>
            </w:r>
          </w:p>
        </w:tc>
        <w:tc>
          <w:tcPr>
            <w:tcW w:w="720" w:type="dxa"/>
            <w:shd w:val="clear" w:color="auto" w:fill="EEEEEE"/>
          </w:tcPr>
          <w:p>
            <w:r>
              <w:rPr>
                <w:sz w:val="18"/>
              </w:rPr>
              <w:t>8</w:t>
            </w:r>
          </w:p>
        </w:tc>
        <w:tc>
          <w:tcPr>
            <w:tcW w:w="4320" w:type="dxa"/>
            <w:shd w:val="clear" w:color="auto" w:fill="EEEEEE"/>
          </w:tcPr>
          <w:p>
            <w:r>
              <w:rPr>
                <w:sz w:val="18"/>
              </w:rPr>
              <w:t>Describes validation of the MR estimators against cases with known answers before use in the main analysis.</w:t>
            </w:r>
          </w:p>
        </w:tc>
      </w:tr>
      <w:tr w:rsidR="00D8098C" w:rsidRPr="00B853C6" w14:paraId="4346E621" w14:textId="11B8B572" w:rsidTr="003D447D">
        <w:tc>
          <w:tcPr>
            <w:tcW w:w="587" w:type="dxa"/>
            <w:shd w:val="clear" w:color="auto" w:fill="auto"/>
          </w:tcPr>
          <w:p w14:paraId="339A016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3635743C"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3BB90022"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quantitative variables were handled in the analyses (i.e., scale, units, model)</w:t>
            </w:r>
          </w:p>
        </w:tc>
        <w:tc>
          <w:tcPr>
            <w:tcW w:w="720" w:type="dxa"/>
          </w:tcPr>
          <w:p>
            <w:r>
              <w:rPr>
                <w:sz w:val="18"/>
              </w:rPr>
              <w:t>9</w:t>
            </w:r>
          </w:p>
        </w:tc>
        <w:tc>
          <w:tcPr>
            <w:tcW w:w="4320" w:type="dxa"/>
          </w:tcPr>
          <w:p>
            <w:r>
              <w:rPr>
                <w:sz w:val="18"/>
              </w:rPr>
              <w:t>States effects are per SD of inverse-normal transformed protein level on the log-odds of coronary artery disease.</w:t>
            </w:r>
          </w:p>
        </w:tc>
      </w:tr>
      <w:tr w:rsidR="00D8098C" w:rsidRPr="00B853C6" w14:paraId="642A4D4B" w14:textId="4880F3BA" w:rsidTr="003D447D">
        <w:tc>
          <w:tcPr>
            <w:tcW w:w="587" w:type="dxa"/>
            <w:shd w:val="clear" w:color="auto" w:fill="EEEEEE"/>
          </w:tcPr>
          <w:p w14:paraId="11F7484C"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69D49F3"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6B2ACDE9"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r>
              <w:rPr>
                <w:sz w:val="18"/>
              </w:rPr>
              <w:t>6</w:t>
            </w:r>
          </w:p>
        </w:tc>
        <w:tc>
          <w:tcPr>
            <w:tcW w:w="4320" w:type="dxa"/>
            <w:shd w:val="clear" w:color="auto" w:fill="EEEEEE"/>
          </w:tcPr>
          <w:p>
            <w:r>
              <w:rPr>
                <w:sz w:val="18"/>
              </w:rPr>
              <w:t>States the lead, smallest p-value, variant within 1 Mb of the gene is taken as the single instrument.</w:t>
            </w:r>
          </w:p>
        </w:tc>
      </w:tr>
      <w:tr w:rsidR="00D8098C" w:rsidRPr="00B853C6" w14:paraId="70378831" w14:textId="0868B0A4" w:rsidTr="003D447D">
        <w:tc>
          <w:tcPr>
            <w:tcW w:w="587" w:type="dxa"/>
            <w:shd w:val="clear" w:color="auto" w:fill="auto"/>
          </w:tcPr>
          <w:p w14:paraId="45E414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9F665E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5CB03D9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r>
              <w:rPr>
                <w:sz w:val="18"/>
              </w:rPr>
              <w:t>5</w:t>
            </w:r>
          </w:p>
        </w:tc>
        <w:tc>
          <w:tcPr>
            <w:tcW w:w="4320" w:type="dxa"/>
          </w:tcPr>
          <w:p>
            <w:r>
              <w:rPr>
                <w:sz w:val="18"/>
              </w:rPr>
              <w:t>Names the Wald ratio, with a first-order standard error, as the main estimator, with estimates taken as published.</w:t>
            </w:r>
          </w:p>
        </w:tc>
      </w:tr>
      <w:tr w:rsidR="00D8098C" w:rsidRPr="00B853C6" w14:paraId="0D8F3A7E" w14:textId="14623463" w:rsidTr="003D447D">
        <w:tc>
          <w:tcPr>
            <w:tcW w:w="587" w:type="dxa"/>
            <w:shd w:val="clear" w:color="auto" w:fill="EEEEEE"/>
          </w:tcPr>
          <w:p w14:paraId="1D70C4C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0A3AAFD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0878638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Explain how missing data were addressed</w:t>
            </w:r>
          </w:p>
        </w:tc>
        <w:tc>
          <w:tcPr>
            <w:tcW w:w="720" w:type="dxa"/>
            <w:shd w:val="clear" w:color="auto" w:fill="EEEEEE"/>
          </w:tcPr>
          <w:p>
            <w:r>
              <w:rPr>
                <w:sz w:val="18"/>
              </w:rPr>
              <w:t>6</w:t>
            </w:r>
          </w:p>
        </w:tc>
        <w:tc>
          <w:tcPr>
            <w:tcW w:w="4320" w:type="dxa"/>
            <w:shd w:val="clear" w:color="auto" w:fill="EEEEEE"/>
          </w:tcPr>
          <w:p>
            <w:r>
              <w:rPr>
                <w:sz w:val="18"/>
              </w:rPr>
              <w:t>States that summary statistics for one protein, CGN, could not be retrieved, so it was not analyzed.</w:t>
            </w:r>
          </w:p>
        </w:tc>
      </w:tr>
      <w:tr w:rsidR="00D8098C" w:rsidRPr="00B853C6" w14:paraId="77F037B8" w14:textId="6696FA54" w:rsidTr="003D447D">
        <w:tc>
          <w:tcPr>
            <w:tcW w:w="587" w:type="dxa"/>
            <w:shd w:val="clear" w:color="auto" w:fill="auto"/>
          </w:tcPr>
          <w:p w14:paraId="4AC39E5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D9E035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shd w:val="clear" w:color="auto" w:fill="auto"/>
          </w:tcPr>
          <w:p w14:paraId="41F1E52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applicable, indicate how multiple testing was addressed</w:t>
            </w:r>
          </w:p>
        </w:tc>
        <w:tc>
          <w:tcPr>
            <w:tcW w:w="720" w:type="dxa"/>
          </w:tcPr>
          <w:p>
            <w:r>
              <w:rPr>
                <w:sz w:val="18"/>
              </w:rPr>
              <w:t>9</w:t>
            </w:r>
          </w:p>
        </w:tc>
        <w:tc>
          <w:tcPr>
            <w:tcW w:w="4320" w:type="dxa"/>
          </w:tcPr>
          <w:p>
            <w:r>
              <w:rPr>
                <w:sz w:val="18"/>
              </w:rPr>
              <w:t>States Bonferroni and Benjamini-Hochberg adjustment of protein-level MR p-values across the 359 proteins comparable in both GWAS.</w:t>
            </w:r>
          </w:p>
        </w:tc>
      </w:tr>
      <w:tr w:rsidR="00D8098C" w:rsidRPr="00B853C6" w14:paraId="585043CE" w14:textId="4922F612" w:rsidTr="003D447D">
        <w:tc>
          <w:tcPr>
            <w:tcW w:w="587" w:type="dxa"/>
            <w:shd w:val="clear" w:color="auto" w:fill="EEEEEE"/>
          </w:tcPr>
          <w:p w14:paraId="55967D0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7</w:t>
            </w:r>
          </w:p>
        </w:tc>
        <w:tc>
          <w:tcPr>
            <w:tcW w:w="1822" w:type="dxa"/>
            <w:shd w:val="clear" w:color="auto" w:fill="EEEEEE"/>
          </w:tcPr>
          <w:p w14:paraId="0947B164"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1E6D0B1E" w14:textId="77777777" w:rsidR="00D8098C" w:rsidRPr="00A1236D" w:rsidRDefault="00D8098C" w:rsidP="00426603">
            <w:pPr>
              <w:tabs>
                <w:tab w:val="left" w:pos="162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methods or prior knowledge used to assess the assumptions or justify their validity</w:t>
            </w:r>
            <w:r w:rsidRPr="00A1236D">
              <w:rPr>
                <w:rFonts w:eastAsia="Cambria"/>
                <w:sz w:val="18"/>
                <w:szCs w:val="18"/>
                <w:lang w:val="en-GB" w:eastAsia="en-US"/>
              </w:rPr>
              <w:tab/>
            </w:r>
          </w:p>
        </w:tc>
        <w:tc>
          <w:tcPr>
            <w:tcW w:w="720" w:type="dxa"/>
            <w:shd w:val="clear" w:color="auto" w:fill="EEEEEE"/>
          </w:tcPr>
          <w:p>
            <w:r>
              <w:rPr>
                <w:sz w:val="18"/>
              </w:rPr>
              <w:t>5</w:t>
            </w:r>
          </w:p>
        </w:tc>
        <w:tc>
          <w:tcPr>
            <w:tcW w:w="4320" w:type="dxa"/>
            <w:shd w:val="clear" w:color="auto" w:fill="EEEEEE"/>
          </w:tcPr>
          <w:p>
            <w:r>
              <w:rPr>
                <w:sz w:val="18"/>
              </w:rPr>
              <w:t>Explains how relevance, independence, and exclusion are each addressed, including the cis window and the validation checks.</w:t>
            </w:r>
          </w:p>
        </w:tc>
      </w:tr>
      <w:tr w:rsidR="00D8098C" w:rsidRPr="00B853C6" w14:paraId="383932D9" w14:textId="2C1AFE56" w:rsidTr="003D447D">
        <w:tc>
          <w:tcPr>
            <w:tcW w:w="587" w:type="dxa"/>
            <w:shd w:val="clear" w:color="auto" w:fill="auto"/>
          </w:tcPr>
          <w:p w14:paraId="1A4621B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8</w:t>
            </w:r>
          </w:p>
        </w:tc>
        <w:tc>
          <w:tcPr>
            <w:tcW w:w="1822" w:type="dxa"/>
            <w:shd w:val="clear" w:color="auto" w:fill="auto"/>
          </w:tcPr>
          <w:p w14:paraId="0F88F25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Sensitivity analyses and additional analyses</w:t>
            </w:r>
          </w:p>
        </w:tc>
        <w:tc>
          <w:tcPr>
            <w:tcW w:w="7041" w:type="dxa"/>
            <w:shd w:val="clear" w:color="auto" w:fill="auto"/>
          </w:tcPr>
          <w:p w14:paraId="13C6445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r>
              <w:rPr>
                <w:sz w:val="18"/>
              </w:rPr>
              <w:t>10</w:t>
            </w:r>
          </w:p>
        </w:tc>
        <w:tc>
          <w:tcPr>
            <w:tcW w:w="4320" w:type="dxa"/>
          </w:tcPr>
          <w:p>
            <w:r>
              <w:rPr>
                <w:sz w:val="18"/>
              </w:rPr>
              <w:t>Describes colocalization and cross-platform SomaScan replication as additional analyses testing whether MR findings hold up under other approaches.</w:t>
            </w:r>
          </w:p>
        </w:tc>
      </w:tr>
      <w:tr w:rsidR="00D8098C" w:rsidRPr="00B853C6" w14:paraId="55C7A410" w14:textId="0BAB653A" w:rsidTr="003D447D">
        <w:tc>
          <w:tcPr>
            <w:tcW w:w="587" w:type="dxa"/>
            <w:shd w:val="clear" w:color="auto" w:fill="EEEEEE"/>
          </w:tcPr>
          <w:p w14:paraId="056075DE"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9</w:t>
            </w:r>
          </w:p>
        </w:tc>
        <w:tc>
          <w:tcPr>
            <w:tcW w:w="1822" w:type="dxa"/>
            <w:shd w:val="clear" w:color="auto" w:fill="EEEEEE"/>
          </w:tcPr>
          <w:p w14:paraId="6096809E"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Software and pre-registration</w:t>
            </w:r>
          </w:p>
        </w:tc>
        <w:tc>
          <w:tcPr>
            <w:tcW w:w="7041" w:type="dxa"/>
            <w:shd w:val="clear" w:color="auto" w:fill="EEEEEE"/>
          </w:tcPr>
          <w:p w14:paraId="08D1055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721E714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495710C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EA9EBD1" w14:textId="4D05FA5B" w:rsidTr="003D447D">
        <w:tc>
          <w:tcPr>
            <w:tcW w:w="587" w:type="dxa"/>
            <w:shd w:val="clear" w:color="auto" w:fill="auto"/>
          </w:tcPr>
          <w:p w14:paraId="66EDED80"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BD32B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054FBA47"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Name statistical software and package(s), including version and settings used </w:t>
            </w:r>
          </w:p>
        </w:tc>
        <w:tc>
          <w:tcPr>
            <w:tcW w:w="720" w:type="dxa"/>
          </w:tcPr>
          <w:p>
            <w:r>
              <w:rPr>
                <w:sz w:val="18"/>
              </w:rPr>
              <w:t>3</w:t>
            </w:r>
          </w:p>
        </w:tc>
        <w:tc>
          <w:tcPr>
            <w:tcW w:w="4320" w:type="dxa"/>
          </w:tcPr>
          <w:p>
            <w:r>
              <w:rPr>
                <w:sz w:val="18"/>
              </w:rPr>
              <w:t>Names Python 3.14.3 and package versions, and states the permutation seed.</w:t>
            </w:r>
          </w:p>
        </w:tc>
      </w:tr>
      <w:tr w:rsidR="00D8098C" w:rsidRPr="00B853C6" w14:paraId="6A631D93" w14:textId="2BD5AA8E" w:rsidTr="003D447D">
        <w:tc>
          <w:tcPr>
            <w:tcW w:w="587" w:type="dxa"/>
            <w:tcBorders>
              <w:bottom w:val="single" w:sz="6" w:space="0" w:color="7F7F7F"/>
            </w:tcBorders>
            <w:shd w:val="clear" w:color="auto" w:fill="EEEEEE"/>
          </w:tcPr>
          <w:p w14:paraId="37C8895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349B55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tcBorders>
              <w:bottom w:val="single" w:sz="6" w:space="0" w:color="7F7F7F"/>
            </w:tcBorders>
            <w:shd w:val="clear" w:color="auto" w:fill="EEEEEE"/>
          </w:tcPr>
          <w:p w14:paraId="5DBE58D7"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State whether the study protocol and details were pre-registered (as well as when and where)</w:t>
            </w:r>
          </w:p>
        </w:tc>
        <w:tc>
          <w:tcPr>
            <w:tcW w:w="720" w:type="dxa"/>
            <w:tcBorders>
              <w:bottom w:val="single" w:sz="6" w:space="0" w:color="7F7F7F"/>
            </w:tcBorders>
            <w:shd w:val="clear" w:color="auto" w:fill="EEEEEE"/>
          </w:tcPr>
          <w:p>
            <w:r>
              <w:rPr>
                <w:sz w:val="18"/>
              </w:rPr>
              <w:t>3</w:t>
            </w:r>
          </w:p>
        </w:tc>
        <w:tc>
          <w:tcPr>
            <w:tcW w:w="4320" w:type="dxa"/>
            <w:tcBorders>
              <w:bottom w:val="single" w:sz="6" w:space="0" w:color="7F7F7F"/>
            </w:tcBorders>
            <w:shd w:val="clear" w:color="auto" w:fill="EEEEEE"/>
          </w:tcPr>
          <w:p>
            <w:r>
              <w:rPr>
                <w:sz w:val="18"/>
              </w:rPr>
              <w:t>States the protocol was not pre-registered and that two predictions were specified before the analysis was run.</w:t>
            </w:r>
          </w:p>
        </w:tc>
      </w:tr>
      <w:tr w:rsidR="00D8098C" w:rsidRPr="00B853C6" w14:paraId="040F15E5" w14:textId="3B11C618" w:rsidTr="003D447D">
        <w:tc>
          <w:tcPr>
            <w:tcW w:w="587" w:type="dxa"/>
            <w:tcBorders>
              <w:top w:val="single" w:sz="6" w:space="0" w:color="7F7F7F"/>
            </w:tcBorders>
            <w:shd w:val="clear" w:color="auto" w:fill="auto"/>
          </w:tcPr>
          <w:p w14:paraId="777278B3"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7D8D653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RESULTS</w:t>
            </w:r>
          </w:p>
        </w:tc>
        <w:tc>
          <w:tcPr>
            <w:tcW w:w="7041" w:type="dxa"/>
            <w:tcBorders>
              <w:top w:val="single" w:sz="6" w:space="0" w:color="7F7F7F"/>
            </w:tcBorders>
            <w:shd w:val="clear" w:color="auto" w:fill="auto"/>
          </w:tcPr>
          <w:p w14:paraId="3471928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E355A6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3E956D1"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7F47EED" w14:textId="4A481C08" w:rsidTr="003D447D">
        <w:tc>
          <w:tcPr>
            <w:tcW w:w="587" w:type="dxa"/>
            <w:shd w:val="clear" w:color="auto" w:fill="EEEEEE"/>
          </w:tcPr>
          <w:p w14:paraId="51C7A54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10</w:t>
            </w:r>
          </w:p>
        </w:tc>
        <w:tc>
          <w:tcPr>
            <w:tcW w:w="1822" w:type="dxa"/>
            <w:shd w:val="clear" w:color="auto" w:fill="EEEEEE"/>
          </w:tcPr>
          <w:p w14:paraId="731D0370"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Descriptive data</w:t>
            </w:r>
          </w:p>
        </w:tc>
        <w:tc>
          <w:tcPr>
            <w:tcW w:w="7041" w:type="dxa"/>
            <w:shd w:val="clear" w:color="auto" w:fill="EEEEEE"/>
          </w:tcPr>
          <w:p w14:paraId="3B19CDA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1091FF5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4B684E79"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CA228D1" w14:textId="316B6A36" w:rsidTr="003D447D">
        <w:tc>
          <w:tcPr>
            <w:tcW w:w="587" w:type="dxa"/>
            <w:shd w:val="clear" w:color="auto" w:fill="auto"/>
          </w:tcPr>
          <w:p w14:paraId="29B6277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C1499C8"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4D5C652C" w14:textId="6B5065AC"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numbers of individuals at each stage of included studies and reasons for ex</w:t>
            </w:r>
            <w:r w:rsidR="000A4CE8">
              <w:rPr>
                <w:rFonts w:eastAsia="Times New Roman"/>
                <w:sz w:val="18"/>
                <w:szCs w:val="18"/>
                <w:lang w:val="en-GB" w:eastAsia="en-GB"/>
              </w:rPr>
              <w:t xml:space="preserve">clusion. Consider use of a flow </w:t>
            </w:r>
            <w:r w:rsidRPr="00A1236D">
              <w:rPr>
                <w:rFonts w:eastAsia="Times New Roman"/>
                <w:sz w:val="18"/>
                <w:szCs w:val="18"/>
                <w:lang w:val="en-GB" w:eastAsia="en-GB"/>
              </w:rPr>
              <w:t>diagram</w:t>
            </w:r>
          </w:p>
        </w:tc>
        <w:tc>
          <w:tcPr>
            <w:tcW w:w="720" w:type="dxa"/>
          </w:tcPr>
          <w:p>
            <w:r>
              <w:rPr>
                <w:sz w:val="18"/>
              </w:rPr>
              <w:t>12</w:t>
            </w:r>
          </w:p>
        </w:tc>
        <w:tc>
          <w:tcPr>
            <w:tcW w:w="4320" w:type="dxa"/>
          </w:tcPr>
          <w:p>
            <w:r>
              <w:rPr>
                <w:sz w:val="18"/>
              </w:rPr>
              <w:t>Reports the number of proteins with and without a usable cis instrument, with a flow figure.</w:t>
            </w:r>
          </w:p>
        </w:tc>
      </w:tr>
      <w:tr w:rsidR="00D8098C" w:rsidRPr="00B853C6" w14:paraId="0765C344" w14:textId="3B2EDCCF" w:rsidTr="003D447D">
        <w:tc>
          <w:tcPr>
            <w:tcW w:w="587" w:type="dxa"/>
            <w:shd w:val="clear" w:color="auto" w:fill="EEEEEE"/>
          </w:tcPr>
          <w:p w14:paraId="2404BFF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545C2F1"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05491AF" w14:textId="3F437E24" w:rsidR="00D8098C" w:rsidRPr="00A1236D" w:rsidRDefault="00D8098C" w:rsidP="009E033F">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summary statistics for phenotypic exposure(s), outcome(s)</w:t>
            </w:r>
            <w:r w:rsidR="000A4CE8">
              <w:rPr>
                <w:rFonts w:eastAsia="Times New Roman"/>
                <w:sz w:val="18"/>
                <w:szCs w:val="18"/>
                <w:lang w:val="en-GB" w:eastAsia="en-GB"/>
              </w:rPr>
              <w:t>,</w:t>
            </w:r>
            <w:r w:rsidRPr="00A1236D">
              <w:rPr>
                <w:rFonts w:eastAsia="Times New Roman"/>
                <w:sz w:val="18"/>
                <w:szCs w:val="18"/>
                <w:lang w:val="en-GB" w:eastAsia="en-GB"/>
              </w:rPr>
              <w:t xml:space="preserve"> and other relevant variables (e.g. means, </w:t>
            </w:r>
            <w:r w:rsidR="009E033F">
              <w:rPr>
                <w:rFonts w:eastAsia="Times New Roman"/>
                <w:sz w:val="18"/>
                <w:szCs w:val="18"/>
                <w:lang w:val="en-GB" w:eastAsia="en-GB"/>
              </w:rPr>
              <w:t>SDs</w:t>
            </w:r>
            <w:r w:rsidRPr="00A1236D">
              <w:rPr>
                <w:rFonts w:eastAsia="Times New Roman"/>
                <w:sz w:val="18"/>
                <w:szCs w:val="18"/>
                <w:lang w:val="en-GB" w:eastAsia="en-GB"/>
              </w:rPr>
              <w:t>, proportions)</w:t>
            </w:r>
          </w:p>
        </w:tc>
        <w:tc>
          <w:tcPr>
            <w:tcW w:w="720" w:type="dxa"/>
            <w:shd w:val="clear" w:color="auto" w:fill="EEEEEE"/>
          </w:tcPr>
          <w:p>
            <w:r>
              <w:rPr>
                <w:sz w:val="18"/>
              </w:rPr>
              <w:t>7</w:t>
            </w:r>
          </w:p>
        </w:tc>
        <w:tc>
          <w:tcPr>
            <w:tcW w:w="4320" w:type="dxa"/>
            <w:shd w:val="clear" w:color="auto" w:fill="EEEEEE"/>
          </w:tcPr>
          <w:p>
            <w:r>
              <w:rPr>
                <w:sz w:val="18"/>
              </w:rPr>
              <w:t>Reports case counts for each outcome GWAS and sample sizes for the exposure proteomics study.</w:t>
            </w:r>
          </w:p>
        </w:tc>
      </w:tr>
      <w:tr w:rsidR="00D8098C" w:rsidRPr="00B853C6" w14:paraId="48F10342" w14:textId="398F2C24" w:rsidTr="003D447D">
        <w:tc>
          <w:tcPr>
            <w:tcW w:w="587" w:type="dxa"/>
            <w:shd w:val="clear" w:color="auto" w:fill="auto"/>
          </w:tcPr>
          <w:p w14:paraId="6600AF4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435099F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062EB56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the data sources include meta-analyses of previous studies, provide the assessments of heterogeneity across these studies</w:t>
            </w:r>
          </w:p>
        </w:tc>
        <w:tc>
          <w:tcPr>
            <w:tcW w:w="720" w:type="dxa"/>
          </w:tcPr>
          <w:p>
            <w:r>
              <w:rPr>
                <w:sz w:val="18"/>
              </w:rPr>
              <w:t>7</w:t>
            </w:r>
          </w:p>
        </w:tc>
        <w:tc>
          <w:tcPr>
            <w:tcW w:w="4320" w:type="dxa"/>
          </w:tcPr>
          <w:p>
            <w:r>
              <w:rPr>
                <w:sz w:val="18"/>
              </w:rPr>
              <w:t>States heterogeneity across cohorts meta-analyzed within each outcome GWAS was not assessed.</w:t>
            </w:r>
          </w:p>
        </w:tc>
      </w:tr>
      <w:tr w:rsidR="00D8098C" w:rsidRPr="00B853C6" w14:paraId="51930A8C" w14:textId="221D5A9E" w:rsidTr="003D447D">
        <w:tc>
          <w:tcPr>
            <w:tcW w:w="587" w:type="dxa"/>
            <w:shd w:val="clear" w:color="auto" w:fill="EEEEEE"/>
          </w:tcPr>
          <w:p w14:paraId="6116DD9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53F787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EEEEEE"/>
          </w:tcPr>
          <w:p w14:paraId="2EFD572E" w14:textId="5230C0F8" w:rsidR="00D8098C" w:rsidRPr="00A1236D" w:rsidRDefault="00D8098C" w:rsidP="00426603">
            <w:pPr>
              <w:spacing w:beforeLines="40" w:before="96" w:afterLines="40" w:after="96" w:line="24" w:lineRule="atLeast"/>
              <w:rPr>
                <w:rFonts w:eastAsia="Times New Roman"/>
                <w:sz w:val="18"/>
                <w:szCs w:val="18"/>
                <w:lang w:val="en-GB" w:eastAsia="en-GB"/>
              </w:rPr>
            </w:pPr>
            <w:r w:rsidRPr="009E033F">
              <w:rPr>
                <w:rFonts w:eastAsia="Times New Roman"/>
                <w:sz w:val="18"/>
                <w:szCs w:val="18"/>
                <w:lang w:val="en-GB" w:eastAsia="en-GB"/>
              </w:rPr>
              <w:t xml:space="preserve">For </w:t>
            </w:r>
            <w:r w:rsidRPr="009E033F">
              <w:rPr>
                <w:rFonts w:eastAsia="Times New Roman"/>
                <w:iCs/>
                <w:sz w:val="18"/>
                <w:szCs w:val="18"/>
                <w:lang w:val="en-GB" w:eastAsia="en-GB"/>
              </w:rPr>
              <w:t>two-sample</w:t>
            </w:r>
            <w:r w:rsidRPr="00A1236D">
              <w:rPr>
                <w:rFonts w:eastAsia="Times New Roman"/>
                <w:sz w:val="18"/>
                <w:szCs w:val="18"/>
                <w:lang w:val="en-GB" w:eastAsia="en-GB"/>
              </w:rPr>
              <w:t xml:space="preserve"> </w:t>
            </w:r>
            <w:r w:rsidR="009E033F">
              <w:rPr>
                <w:rFonts w:eastAsia="Times New Roman"/>
                <w:sz w:val="18"/>
                <w:szCs w:val="18"/>
                <w:lang w:val="en-GB" w:eastAsia="en-GB"/>
              </w:rPr>
              <w:t>MR</w:t>
            </w:r>
            <w:r w:rsidRPr="00A1236D">
              <w:rPr>
                <w:rFonts w:eastAsia="Times New Roman"/>
                <w:sz w:val="18"/>
                <w:szCs w:val="18"/>
                <w:lang w:val="en-GB" w:eastAsia="en-GB"/>
              </w:rPr>
              <w:t>:</w:t>
            </w:r>
          </w:p>
          <w:p w14:paraId="48065368"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   i.  Provide justification of the similarity of the genetic variant-exposure associations between the exposure and outcome samples</w:t>
            </w:r>
          </w:p>
          <w:p w14:paraId="35BA928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lastRenderedPageBreak/>
              <w:t xml:space="preserve">   ii.  Provide information on the number of individuals who overlap between the exposure and outcome studies</w:t>
            </w:r>
          </w:p>
        </w:tc>
        <w:tc>
          <w:tcPr>
            <w:tcW w:w="720" w:type="dxa"/>
            <w:shd w:val="clear" w:color="auto" w:fill="EEEEEE"/>
          </w:tcPr>
          <w:p>
            <w:r>
              <w:rPr>
                <w:sz w:val="18"/>
              </w:rPr>
              <w:t>7</w:t>
            </w:r>
          </w:p>
        </w:tc>
        <w:tc>
          <w:tcPr>
            <w:tcW w:w="4320" w:type="dxa"/>
            <w:shd w:val="clear" w:color="auto" w:fill="EEEEEE"/>
          </w:tcPr>
          <w:p>
            <w:r>
              <w:rPr>
                <w:sz w:val="18"/>
              </w:rPr>
              <w:t>Reports the sample overlap fraction between exposure and outcome studies and bounds the resulting bias.</w:t>
            </w:r>
          </w:p>
        </w:tc>
      </w:tr>
      <w:tr w:rsidR="00D8098C" w:rsidRPr="00B853C6" w14:paraId="52CFCA59" w14:textId="5AC9CE3E" w:rsidTr="003D447D">
        <w:tc>
          <w:tcPr>
            <w:tcW w:w="587" w:type="dxa"/>
            <w:shd w:val="clear" w:color="auto" w:fill="auto"/>
          </w:tcPr>
          <w:p w14:paraId="110872BB"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11</w:t>
            </w:r>
          </w:p>
        </w:tc>
        <w:tc>
          <w:tcPr>
            <w:tcW w:w="1822" w:type="dxa"/>
            <w:shd w:val="clear" w:color="auto" w:fill="auto"/>
          </w:tcPr>
          <w:p w14:paraId="0C26298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Main results</w:t>
            </w:r>
          </w:p>
        </w:tc>
        <w:tc>
          <w:tcPr>
            <w:tcW w:w="7041" w:type="dxa"/>
            <w:shd w:val="clear" w:color="auto" w:fill="auto"/>
          </w:tcPr>
          <w:p w14:paraId="2F14FA3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035B3367"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Pr>
          <w:p w14:paraId="0AFA0083"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56845A2A" w14:textId="1DC0780C" w:rsidTr="003D447D">
        <w:tc>
          <w:tcPr>
            <w:tcW w:w="587" w:type="dxa"/>
            <w:shd w:val="clear" w:color="auto" w:fill="EEEEEE"/>
          </w:tcPr>
          <w:p w14:paraId="0892A5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CDB72A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09CB478B"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r>
              <w:rPr>
                <w:sz w:val="18"/>
              </w:rPr>
              <w:t>7</w:t>
            </w:r>
          </w:p>
        </w:tc>
        <w:tc>
          <w:tcPr>
            <w:tcW w:w="4320" w:type="dxa"/>
            <w:shd w:val="clear" w:color="auto" w:fill="EEEEEE"/>
          </w:tcPr>
          <w:p>
            <w:r>
              <w:rPr>
                <w:sz w:val="18"/>
              </w:rPr>
              <w:t>Additional file 2 tabulates the instrument for each of the 552 proteins with its association with the protein and with coronary artery disease.</w:t>
            </w:r>
          </w:p>
        </w:tc>
      </w:tr>
      <w:tr w:rsidR="00D8098C" w:rsidRPr="00B853C6" w14:paraId="2FAEFE68" w14:textId="09D82DE1" w:rsidTr="003D447D">
        <w:tc>
          <w:tcPr>
            <w:tcW w:w="587" w:type="dxa"/>
            <w:shd w:val="clear" w:color="auto" w:fill="auto"/>
          </w:tcPr>
          <w:p w14:paraId="2E83DFB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42A3CE2"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336E75EE" w14:textId="144F95EC" w:rsidR="00D8098C" w:rsidRPr="00A1236D" w:rsidRDefault="00D8098C" w:rsidP="009E033F">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MR estimates of the relationship between exposure and outcome, and the measures of uncertainty from the MR analysis, on an interpretable scale, such as odds ratio or relative risk per </w:t>
            </w:r>
            <w:r w:rsidR="009E033F">
              <w:rPr>
                <w:rFonts w:eastAsia="Times New Roman"/>
                <w:sz w:val="18"/>
                <w:szCs w:val="18"/>
                <w:lang w:val="en-GB" w:eastAsia="en-GB"/>
              </w:rPr>
              <w:t>SD</w:t>
            </w:r>
            <w:r w:rsidRPr="00A1236D">
              <w:rPr>
                <w:rFonts w:eastAsia="Times New Roman"/>
                <w:sz w:val="18"/>
                <w:szCs w:val="18"/>
                <w:lang w:val="en-GB" w:eastAsia="en-GB"/>
              </w:rPr>
              <w:t xml:space="preserve"> difference</w:t>
            </w:r>
          </w:p>
        </w:tc>
        <w:tc>
          <w:tcPr>
            <w:tcW w:w="720" w:type="dxa"/>
          </w:tcPr>
          <w:p>
            <w:r>
              <w:rPr>
                <w:sz w:val="18"/>
              </w:rPr>
              <w:t>25</w:t>
            </w:r>
          </w:p>
        </w:tc>
        <w:tc>
          <w:tcPr>
            <w:tcW w:w="4320" w:type="dxa"/>
          </w:tcPr>
          <w:p>
            <w:r>
              <w:rPr>
                <w:sz w:val="18"/>
              </w:rPr>
              <w:t>Table 1 reports MR odds ratios with 95% confidence intervals and Bonferroni-adjusted p-values, per standard deviation of protein level.</w:t>
            </w:r>
          </w:p>
        </w:tc>
      </w:tr>
      <w:tr w:rsidR="00D8098C" w:rsidRPr="00B853C6" w14:paraId="1FAC379E" w14:textId="0C198578" w:rsidTr="003D447D">
        <w:tc>
          <w:tcPr>
            <w:tcW w:w="587" w:type="dxa"/>
            <w:shd w:val="clear" w:color="auto" w:fill="EEEEEE"/>
          </w:tcPr>
          <w:p w14:paraId="6762B88A"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14E8164"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4BC6AB7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r>
              <w:rPr>
                <w:sz w:val="18"/>
              </w:rPr>
              <w:t>N/A</w:t>
            </w:r>
          </w:p>
        </w:tc>
        <w:tc>
          <w:tcPr>
            <w:tcW w:w="4320" w:type="dxa"/>
            <w:shd w:val="clear" w:color="auto" w:fill="EEEEEE"/>
          </w:tcPr>
          <w:p>
            <w:r>
              <w:rPr>
                <w:sz w:val="18"/>
              </w:rPr>
              <w:t>Not applicable. Only relative effects, odds ratios, are reported, no absolute-risk translation was performed.</w:t>
            </w:r>
          </w:p>
        </w:tc>
      </w:tr>
      <w:tr w:rsidR="00D8098C" w:rsidRPr="00B853C6" w14:paraId="00F87C74" w14:textId="30F32A00" w:rsidTr="003D447D">
        <w:tc>
          <w:tcPr>
            <w:tcW w:w="587" w:type="dxa"/>
            <w:shd w:val="clear" w:color="auto" w:fill="auto"/>
          </w:tcPr>
          <w:p w14:paraId="2CDE5DE6"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9C50E8E"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47CC3ACC"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r>
              <w:rPr>
                <w:sz w:val="18"/>
              </w:rPr>
              <w:t>30</w:t>
            </w:r>
          </w:p>
        </w:tc>
        <w:tc>
          <w:tcPr>
            <w:tcW w:w="4320" w:type="dxa"/>
          </w:tcPr>
          <w:p>
            <w:r>
              <w:rPr>
                <w:sz w:val="18"/>
              </w:rPr>
              <w:t>Figure 3 plots each observed discordance statistic against its permutation null distribution.</w:t>
            </w:r>
          </w:p>
        </w:tc>
      </w:tr>
      <w:tr w:rsidR="00D8098C" w:rsidRPr="00B853C6" w14:paraId="62E6DFEA" w14:textId="107C6F5B" w:rsidTr="003D447D">
        <w:tc>
          <w:tcPr>
            <w:tcW w:w="587" w:type="dxa"/>
            <w:shd w:val="clear" w:color="auto" w:fill="EEEEEE"/>
          </w:tcPr>
          <w:p w14:paraId="57CB2789"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12</w:t>
            </w:r>
          </w:p>
        </w:tc>
        <w:tc>
          <w:tcPr>
            <w:tcW w:w="1822" w:type="dxa"/>
            <w:shd w:val="clear" w:color="auto" w:fill="EEEEEE"/>
          </w:tcPr>
          <w:p w14:paraId="27B891DB"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Assessment of assumptions</w:t>
            </w:r>
          </w:p>
        </w:tc>
        <w:tc>
          <w:tcPr>
            <w:tcW w:w="7041" w:type="dxa"/>
            <w:shd w:val="clear" w:color="auto" w:fill="EEEEEE"/>
          </w:tcPr>
          <w:p w14:paraId="6EC050C1"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3871A38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10C8ADE2"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48EE0AFA" w14:textId="55C0BF1C" w:rsidTr="003D447D">
        <w:tc>
          <w:tcPr>
            <w:tcW w:w="587" w:type="dxa"/>
            <w:shd w:val="clear" w:color="auto" w:fill="auto"/>
          </w:tcPr>
          <w:p w14:paraId="4E29121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18A8B0E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1A97B456"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the assessment of the validity of the assumptions</w:t>
            </w:r>
          </w:p>
        </w:tc>
        <w:tc>
          <w:tcPr>
            <w:tcW w:w="720" w:type="dxa"/>
          </w:tcPr>
          <w:p>
            <w:r>
              <w:rPr>
                <w:sz w:val="18"/>
              </w:rPr>
              <w:t>14</w:t>
            </w:r>
          </w:p>
        </w:tc>
        <w:tc>
          <w:tcPr>
            <w:tcW w:w="4320" w:type="dxa"/>
          </w:tcPr>
          <w:p>
            <w:r>
              <w:rPr>
                <w:sz w:val="18"/>
              </w:rPr>
              <w:t>Reports that ligand and receptor instrument strength does not differ, ruling out one asymmetry concern.</w:t>
            </w:r>
          </w:p>
        </w:tc>
      </w:tr>
      <w:tr w:rsidR="00D8098C" w:rsidRPr="00B853C6" w14:paraId="7BDA55CD" w14:textId="6465618D" w:rsidTr="003D447D">
        <w:tc>
          <w:tcPr>
            <w:tcW w:w="587" w:type="dxa"/>
            <w:shd w:val="clear" w:color="auto" w:fill="EEEEEE"/>
          </w:tcPr>
          <w:p w14:paraId="6F27FA73"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BC0019D"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00ADD58"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Report any additional statistics (e.g., assessments of heterogeneity </w:t>
            </w:r>
            <w:r w:rsidRPr="00A1236D">
              <w:rPr>
                <w:rFonts w:eastAsia="Times New Roman"/>
                <w:sz w:val="18"/>
                <w:szCs w:val="18"/>
                <w:lang w:eastAsia="en-GB"/>
              </w:rPr>
              <w:t>across genetic variants</w:t>
            </w:r>
            <w:r w:rsidRPr="00A1236D">
              <w:rPr>
                <w:rFonts w:eastAsia="Times New Roman"/>
                <w:sz w:val="18"/>
                <w:szCs w:val="18"/>
                <w:lang w:val="en-GB" w:eastAsia="en-GB"/>
              </w:rPr>
              <w:t xml:space="preserve">, such as </w:t>
            </w:r>
            <w:r w:rsidRPr="005A0D0D">
              <w:rPr>
                <w:rFonts w:eastAsia="Times New Roman"/>
                <w:i/>
                <w:sz w:val="18"/>
                <w:szCs w:val="18"/>
                <w:lang w:val="en-GB" w:eastAsia="en-GB"/>
              </w:rPr>
              <w:t>I</w:t>
            </w:r>
            <w:r w:rsidRPr="005A0D0D">
              <w:rPr>
                <w:rFonts w:eastAsia="Times New Roman"/>
                <w:i/>
                <w:sz w:val="18"/>
                <w:szCs w:val="18"/>
                <w:vertAlign w:val="superscript"/>
                <w:lang w:val="en-GB" w:eastAsia="en-GB"/>
              </w:rPr>
              <w:t>2</w:t>
            </w:r>
            <w:r w:rsidRPr="00A1236D">
              <w:rPr>
                <w:rFonts w:eastAsia="Times New Roman"/>
                <w:sz w:val="18"/>
                <w:szCs w:val="18"/>
                <w:lang w:val="en-GB" w:eastAsia="en-GB"/>
              </w:rPr>
              <w:t>, Q statistic or E-value)</w:t>
            </w:r>
          </w:p>
        </w:tc>
        <w:tc>
          <w:tcPr>
            <w:tcW w:w="720" w:type="dxa"/>
            <w:shd w:val="clear" w:color="auto" w:fill="EEEEEE"/>
          </w:tcPr>
          <w:p>
            <w:r>
              <w:rPr>
                <w:sz w:val="18"/>
              </w:rPr>
              <w:t>8</w:t>
            </w:r>
          </w:p>
        </w:tc>
        <w:tc>
          <w:tcPr>
            <w:tcW w:w="4320" w:type="dxa"/>
            <w:shd w:val="clear" w:color="auto" w:fill="EEEEEE"/>
          </w:tcPr>
          <w:p>
            <w:r>
              <w:rPr>
                <w:sz w:val="18"/>
              </w:rPr>
              <w:t>States Cochran's Q, I-squared, MR-Egger, and the weighted median do not apply to the single-instrument main analysis.</w:t>
            </w:r>
          </w:p>
        </w:tc>
      </w:tr>
      <w:tr w:rsidR="00D8098C" w:rsidRPr="00B853C6" w14:paraId="23F1C43D" w14:textId="6396118D" w:rsidTr="003D447D">
        <w:tc>
          <w:tcPr>
            <w:tcW w:w="587" w:type="dxa"/>
            <w:shd w:val="clear" w:color="auto" w:fill="auto"/>
          </w:tcPr>
          <w:p w14:paraId="021A9BB4"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13</w:t>
            </w:r>
          </w:p>
        </w:tc>
        <w:tc>
          <w:tcPr>
            <w:tcW w:w="1822" w:type="dxa"/>
            <w:shd w:val="clear" w:color="auto" w:fill="auto"/>
          </w:tcPr>
          <w:p w14:paraId="51D3F02D"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Sensitivity analyses and additional analyses</w:t>
            </w:r>
          </w:p>
        </w:tc>
        <w:tc>
          <w:tcPr>
            <w:tcW w:w="7041" w:type="dxa"/>
            <w:shd w:val="clear" w:color="auto" w:fill="auto"/>
          </w:tcPr>
          <w:p w14:paraId="4AB1D97F"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Pr>
          <w:p w14:paraId="50481D1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Pr>
          <w:p w14:paraId="0F2C43F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1ABE2F1D" w14:textId="316B0F58" w:rsidTr="003D447D">
        <w:tc>
          <w:tcPr>
            <w:tcW w:w="587" w:type="dxa"/>
            <w:shd w:val="clear" w:color="auto" w:fill="EEEEEE"/>
          </w:tcPr>
          <w:p w14:paraId="0D022F9B"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7E8FFD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EEEEEE"/>
          </w:tcPr>
          <w:p w14:paraId="30AA9260"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r>
              <w:rPr>
                <w:sz w:val="18"/>
              </w:rPr>
              <w:t>15</w:t>
            </w:r>
          </w:p>
        </w:tc>
        <w:tc>
          <w:tcPr>
            <w:tcW w:w="4320" w:type="dxa"/>
            <w:shd w:val="clear" w:color="auto" w:fill="EEEEEE"/>
          </w:tcPr>
          <w:p>
            <w:r>
              <w:rPr>
                <w:sz w:val="18"/>
              </w:rPr>
              <w:t>Reports the protein-altering instrument flag is not enriched among causal proteins, so it does not reliably identify artifacts.</w:t>
            </w:r>
          </w:p>
        </w:tc>
      </w:tr>
      <w:tr w:rsidR="00D8098C" w:rsidRPr="00B853C6" w14:paraId="3696A9F1" w14:textId="63B96DDA" w:rsidTr="003D447D">
        <w:tc>
          <w:tcPr>
            <w:tcW w:w="587" w:type="dxa"/>
            <w:shd w:val="clear" w:color="auto" w:fill="auto"/>
          </w:tcPr>
          <w:p w14:paraId="0D2234E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7453E1FF"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auto"/>
          </w:tcPr>
          <w:p w14:paraId="5111E54D"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Report results from other sensitivity analyses or additional analyses</w:t>
            </w:r>
          </w:p>
        </w:tc>
        <w:tc>
          <w:tcPr>
            <w:tcW w:w="720" w:type="dxa"/>
          </w:tcPr>
          <w:p>
            <w:r>
              <w:rPr>
                <w:sz w:val="18"/>
              </w:rPr>
              <w:t>17</w:t>
            </w:r>
          </w:p>
        </w:tc>
        <w:tc>
          <w:tcPr>
            <w:tcW w:w="4320" w:type="dxa"/>
          </w:tcPr>
          <w:p>
            <w:r>
              <w:rPr>
                <w:sz w:val="18"/>
              </w:rPr>
              <w:t>Reports cross-platform, Olink versus SomaScan, colocalization agreement for 16 of 22 proteins and disagreement for 6.</w:t>
            </w:r>
          </w:p>
        </w:tc>
      </w:tr>
      <w:tr w:rsidR="00D8098C" w:rsidRPr="00B853C6" w14:paraId="1650BAB8" w14:textId="79D11DE7" w:rsidTr="003D447D">
        <w:tc>
          <w:tcPr>
            <w:tcW w:w="587" w:type="dxa"/>
            <w:shd w:val="clear" w:color="auto" w:fill="EEEEEE"/>
          </w:tcPr>
          <w:p w14:paraId="4D025CC4"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EAD995A"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EEEEEE"/>
          </w:tcPr>
          <w:p w14:paraId="14E0FCD9"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Report any assessment of direction of causal relationship (e.g., bidirectional MR)</w:t>
            </w:r>
          </w:p>
        </w:tc>
        <w:tc>
          <w:tcPr>
            <w:tcW w:w="720" w:type="dxa"/>
            <w:shd w:val="clear" w:color="auto" w:fill="EEEEEE"/>
          </w:tcPr>
          <w:p>
            <w:r>
              <w:rPr>
                <w:sz w:val="18"/>
              </w:rPr>
              <w:t>19</w:t>
            </w:r>
          </w:p>
        </w:tc>
        <w:tc>
          <w:tcPr>
            <w:tcW w:w="4320" w:type="dxa"/>
            <w:shd w:val="clear" w:color="auto" w:fill="EEEEEE"/>
          </w:tcPr>
          <w:p>
            <w:r>
              <w:rPr>
                <w:sz w:val="18"/>
              </w:rPr>
              <w:t>States direction of causation was not formally tested, and no bidirectional MR or Steiger filtering was run.</w:t>
            </w:r>
          </w:p>
        </w:tc>
      </w:tr>
      <w:tr w:rsidR="00D8098C" w:rsidRPr="00B853C6" w14:paraId="2034ACF7" w14:textId="19A8CB33" w:rsidTr="003D447D">
        <w:tc>
          <w:tcPr>
            <w:tcW w:w="587" w:type="dxa"/>
            <w:shd w:val="clear" w:color="auto" w:fill="auto"/>
          </w:tcPr>
          <w:p w14:paraId="3217ECED"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AE90FE5"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d)</w:t>
            </w:r>
          </w:p>
        </w:tc>
        <w:tc>
          <w:tcPr>
            <w:tcW w:w="7041" w:type="dxa"/>
            <w:shd w:val="clear" w:color="auto" w:fill="auto"/>
          </w:tcPr>
          <w:p w14:paraId="3A13AF31"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When relevant, report and compare with estimates from non-MR analyses</w:t>
            </w:r>
          </w:p>
        </w:tc>
        <w:tc>
          <w:tcPr>
            <w:tcW w:w="720" w:type="dxa"/>
          </w:tcPr>
          <w:p>
            <w:r>
              <w:rPr>
                <w:sz w:val="18"/>
              </w:rPr>
              <w:t>N/A</w:t>
            </w:r>
          </w:p>
        </w:tc>
        <w:tc>
          <w:tcPr>
            <w:tcW w:w="4320" w:type="dxa"/>
          </w:tcPr>
          <w:p>
            <w:r>
              <w:rPr>
                <w:sz w:val="18"/>
              </w:rPr>
              <w:t>Not applicable. No non-MR comparator estimates were computed in this study.</w:t>
            </w:r>
          </w:p>
        </w:tc>
      </w:tr>
      <w:tr w:rsidR="00D8098C" w:rsidRPr="00B853C6" w14:paraId="3E7CFBFC" w14:textId="3F99A047" w:rsidTr="003D447D">
        <w:tc>
          <w:tcPr>
            <w:tcW w:w="587" w:type="dxa"/>
            <w:tcBorders>
              <w:bottom w:val="single" w:sz="6" w:space="0" w:color="7F7F7F"/>
            </w:tcBorders>
            <w:shd w:val="clear" w:color="auto" w:fill="EEEEEE"/>
          </w:tcPr>
          <w:p w14:paraId="1FDC421F"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5FE15030"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e)</w:t>
            </w:r>
          </w:p>
        </w:tc>
        <w:tc>
          <w:tcPr>
            <w:tcW w:w="7041" w:type="dxa"/>
            <w:tcBorders>
              <w:bottom w:val="single" w:sz="6" w:space="0" w:color="7F7F7F"/>
            </w:tcBorders>
            <w:shd w:val="clear" w:color="auto" w:fill="EEEEEE"/>
          </w:tcPr>
          <w:p w14:paraId="61CE32BA"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r>
              <w:rPr>
                <w:sz w:val="18"/>
              </w:rPr>
              <w:t>31–33</w:t>
            </w:r>
          </w:p>
        </w:tc>
        <w:tc>
          <w:tcPr>
            <w:tcW w:w="4320" w:type="dxa"/>
            <w:tcBorders>
              <w:bottom w:val="single" w:sz="6" w:space="0" w:color="7F7F7F"/>
            </w:tcBorders>
            <w:shd w:val="clear" w:color="auto" w:fill="EEEEEE"/>
          </w:tcPr>
          <w:p>
            <w:r>
              <w:rPr>
                <w:sz w:val="18"/>
              </w:rPr>
              <w:t>Figures 4 and 5 visualize the colocalization posteriors and the cross-platform agreement.</w:t>
            </w:r>
          </w:p>
        </w:tc>
      </w:tr>
      <w:tr w:rsidR="00D8098C" w:rsidRPr="00B853C6" w14:paraId="5B7D2773" w14:textId="7D8D257A" w:rsidTr="003D447D">
        <w:tc>
          <w:tcPr>
            <w:tcW w:w="587" w:type="dxa"/>
            <w:tcBorders>
              <w:top w:val="single" w:sz="6" w:space="0" w:color="7F7F7F"/>
            </w:tcBorders>
            <w:shd w:val="clear" w:color="auto" w:fill="auto"/>
          </w:tcPr>
          <w:p w14:paraId="5BDBDA6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1C564B75"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DISCUSSION</w:t>
            </w:r>
          </w:p>
        </w:tc>
        <w:tc>
          <w:tcPr>
            <w:tcW w:w="7041" w:type="dxa"/>
            <w:tcBorders>
              <w:top w:val="single" w:sz="6" w:space="0" w:color="7F7F7F"/>
            </w:tcBorders>
            <w:shd w:val="clear" w:color="auto" w:fill="auto"/>
          </w:tcPr>
          <w:p w14:paraId="35997729"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1AAD7FFB"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2AE3A897"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1800AF05" w14:textId="4BEA2748" w:rsidTr="003D447D">
        <w:tc>
          <w:tcPr>
            <w:tcW w:w="587" w:type="dxa"/>
            <w:shd w:val="clear" w:color="auto" w:fill="EEEEEE"/>
          </w:tcPr>
          <w:p w14:paraId="6B5F5286"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14</w:t>
            </w:r>
          </w:p>
        </w:tc>
        <w:tc>
          <w:tcPr>
            <w:tcW w:w="1822" w:type="dxa"/>
            <w:shd w:val="clear" w:color="auto" w:fill="EEEEEE"/>
          </w:tcPr>
          <w:p w14:paraId="42EDC029"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Key results </w:t>
            </w:r>
          </w:p>
        </w:tc>
        <w:tc>
          <w:tcPr>
            <w:tcW w:w="7041" w:type="dxa"/>
            <w:shd w:val="clear" w:color="auto" w:fill="EEEEEE"/>
          </w:tcPr>
          <w:p w14:paraId="35F1CADF"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Summarize key results with reference to study objectives</w:t>
            </w:r>
          </w:p>
        </w:tc>
        <w:tc>
          <w:tcPr>
            <w:tcW w:w="720" w:type="dxa"/>
            <w:shd w:val="clear" w:color="auto" w:fill="EEEEEE"/>
          </w:tcPr>
          <w:p>
            <w:r>
              <w:rPr>
                <w:sz w:val="18"/>
              </w:rPr>
              <w:t>18</w:t>
            </w:r>
          </w:p>
        </w:tc>
        <w:tc>
          <w:tcPr>
            <w:tcW w:w="4320" w:type="dxa"/>
            <w:shd w:val="clear" w:color="auto" w:fill="EEEEEE"/>
          </w:tcPr>
          <w:p>
            <w:r>
              <w:rPr>
                <w:sz w:val="18"/>
              </w:rPr>
              <w:t>Summarizes that ligand and receptor MR estimates agree no more than randomly paired proteins across two outcome GWAS.</w:t>
            </w:r>
          </w:p>
        </w:tc>
      </w:tr>
      <w:tr w:rsidR="00D8098C" w:rsidRPr="00B853C6" w14:paraId="06BFAFA4" w14:textId="151FB6CE" w:rsidTr="003D447D">
        <w:tc>
          <w:tcPr>
            <w:tcW w:w="587" w:type="dxa"/>
            <w:shd w:val="clear" w:color="auto" w:fill="auto"/>
          </w:tcPr>
          <w:p w14:paraId="6D471CC5"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15</w:t>
            </w:r>
          </w:p>
        </w:tc>
        <w:tc>
          <w:tcPr>
            <w:tcW w:w="1822" w:type="dxa"/>
            <w:shd w:val="clear" w:color="auto" w:fill="auto"/>
          </w:tcPr>
          <w:p w14:paraId="5C27961E"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Limitations</w:t>
            </w:r>
          </w:p>
        </w:tc>
        <w:tc>
          <w:tcPr>
            <w:tcW w:w="7041" w:type="dxa"/>
            <w:shd w:val="clear" w:color="auto" w:fill="auto"/>
          </w:tcPr>
          <w:p w14:paraId="75B6F41B" w14:textId="77777777"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sidRPr="00A1236D">
              <w:rPr>
                <w:rFonts w:eastAsia="Times New Roman"/>
                <w:sz w:val="18"/>
                <w:szCs w:val="18"/>
                <w:shd w:val="clear" w:color="auto" w:fill="FFFFFF"/>
                <w:lang w:val="en-GB" w:eastAsia="en-GB"/>
              </w:rPr>
              <w:t> </w:t>
            </w:r>
          </w:p>
        </w:tc>
        <w:tc>
          <w:tcPr>
            <w:tcW w:w="720" w:type="dxa"/>
          </w:tcPr>
          <w:p>
            <w:r>
              <w:rPr>
                <w:sz w:val="18"/>
              </w:rPr>
              <w:t>19</w:t>
            </w:r>
          </w:p>
        </w:tc>
        <w:tc>
          <w:tcPr>
            <w:tcW w:w="4320" w:type="dxa"/>
          </w:tcPr>
          <w:p>
            <w:r>
              <w:rPr>
                <w:sz w:val="18"/>
              </w:rPr>
              <w:t>Discusses the single-causal-variant colocalization assumption, cross-platform sample size, ancestry, and other sources of imprecision and bias.</w:t>
            </w:r>
          </w:p>
        </w:tc>
      </w:tr>
      <w:tr w:rsidR="00D8098C" w:rsidRPr="00B853C6" w14:paraId="71F8B8B5" w14:textId="34C247AC" w:rsidTr="003D447D">
        <w:tc>
          <w:tcPr>
            <w:tcW w:w="587" w:type="dxa"/>
            <w:shd w:val="clear" w:color="auto" w:fill="EEEEEE"/>
          </w:tcPr>
          <w:p w14:paraId="02C1D590"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lastRenderedPageBreak/>
              <w:t>16</w:t>
            </w:r>
          </w:p>
        </w:tc>
        <w:tc>
          <w:tcPr>
            <w:tcW w:w="1822" w:type="dxa"/>
            <w:shd w:val="clear" w:color="auto" w:fill="EEEEEE"/>
          </w:tcPr>
          <w:p w14:paraId="612AA484"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Interpretation</w:t>
            </w:r>
          </w:p>
        </w:tc>
        <w:tc>
          <w:tcPr>
            <w:tcW w:w="7041" w:type="dxa"/>
            <w:shd w:val="clear" w:color="auto" w:fill="EEEEEE"/>
          </w:tcPr>
          <w:p w14:paraId="3BF6466E"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720" w:type="dxa"/>
            <w:shd w:val="clear" w:color="auto" w:fill="EEEEEE"/>
          </w:tcPr>
          <w:p w14:paraId="4B5179B2" w14:textId="77777777" w:rsidR="00D8098C" w:rsidRPr="00A1236D" w:rsidRDefault="00D8098C" w:rsidP="00426603">
            <w:pPr>
              <w:spacing w:beforeLines="40" w:before="96" w:afterLines="40" w:after="96" w:line="24" w:lineRule="atLeast"/>
              <w:rPr>
                <w:rFonts w:eastAsia="Cambria"/>
                <w:sz w:val="18"/>
                <w:szCs w:val="18"/>
                <w:lang w:val="en-GB" w:eastAsia="en-US"/>
              </w:rPr>
            </w:pPr>
          </w:p>
        </w:tc>
        <w:tc>
          <w:tcPr>
            <w:tcW w:w="4320" w:type="dxa"/>
            <w:shd w:val="clear" w:color="auto" w:fill="EEEEEE"/>
          </w:tcPr>
          <w:p w14:paraId="1C445080"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62E6D51A" w14:textId="140D03A2" w:rsidTr="003D447D">
        <w:tc>
          <w:tcPr>
            <w:tcW w:w="587" w:type="dxa"/>
            <w:shd w:val="clear" w:color="auto" w:fill="auto"/>
          </w:tcPr>
          <w:p w14:paraId="6DD2F448"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50F26A29"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a)</w:t>
            </w:r>
          </w:p>
        </w:tc>
        <w:tc>
          <w:tcPr>
            <w:tcW w:w="7041" w:type="dxa"/>
            <w:shd w:val="clear" w:color="auto" w:fill="auto"/>
          </w:tcPr>
          <w:p w14:paraId="7EDF9868" w14:textId="096ED659" w:rsidR="00D8098C" w:rsidRPr="00A1236D" w:rsidRDefault="00D8098C" w:rsidP="00685D31">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Meaning: Give a cautious overall interpretation of results in the context of their limitations and in comparison </w:t>
            </w:r>
            <w:r w:rsidR="00685D31">
              <w:rPr>
                <w:rFonts w:eastAsia="Times New Roman"/>
                <w:sz w:val="18"/>
                <w:szCs w:val="18"/>
                <w:lang w:val="en-GB" w:eastAsia="en-GB"/>
              </w:rPr>
              <w:t>with</w:t>
            </w:r>
            <w:r w:rsidRPr="00A1236D">
              <w:rPr>
                <w:rFonts w:eastAsia="Times New Roman"/>
                <w:sz w:val="18"/>
                <w:szCs w:val="18"/>
                <w:lang w:val="en-GB" w:eastAsia="en-GB"/>
              </w:rPr>
              <w:t xml:space="preserve"> other studies</w:t>
            </w:r>
          </w:p>
        </w:tc>
        <w:tc>
          <w:tcPr>
            <w:tcW w:w="720" w:type="dxa"/>
          </w:tcPr>
          <w:p>
            <w:r>
              <w:rPr>
                <w:sz w:val="18"/>
              </w:rPr>
              <w:t>20</w:t>
            </w:r>
          </w:p>
        </w:tc>
        <w:tc>
          <w:tcPr>
            <w:tcW w:w="4320" w:type="dxa"/>
          </w:tcPr>
          <w:p>
            <w:r>
              <w:rPr>
                <w:sz w:val="18"/>
              </w:rPr>
              <w:t>Gives a cautious interpretation, stating the study does not claim colocalization-refuted proteins are non-causal or that MR is unreliable.</w:t>
            </w:r>
          </w:p>
        </w:tc>
      </w:tr>
      <w:tr w:rsidR="00D8098C" w:rsidRPr="00B853C6" w14:paraId="156B69E5" w14:textId="453FC5BE" w:rsidTr="003D447D">
        <w:tc>
          <w:tcPr>
            <w:tcW w:w="587" w:type="dxa"/>
            <w:shd w:val="clear" w:color="auto" w:fill="EEEEEE"/>
          </w:tcPr>
          <w:p w14:paraId="4C8A2215"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A4A5F16"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b)</w:t>
            </w:r>
          </w:p>
        </w:tc>
        <w:tc>
          <w:tcPr>
            <w:tcW w:w="7041" w:type="dxa"/>
            <w:shd w:val="clear" w:color="auto" w:fill="EEEEEE"/>
          </w:tcPr>
          <w:p w14:paraId="422EB891" w14:textId="35DEA636" w:rsidR="00D8098C" w:rsidRPr="00A1236D" w:rsidRDefault="00D8098C" w:rsidP="00426603">
            <w:pPr>
              <w:spacing w:beforeLines="40" w:before="96" w:afterLines="40" w:after="96" w:line="24" w:lineRule="atLeast"/>
              <w:rPr>
                <w:rFonts w:eastAsia="Times New Roman"/>
                <w:sz w:val="18"/>
                <w:szCs w:val="18"/>
                <w:lang w:val="en-GB" w:eastAsia="en-GB"/>
              </w:rPr>
            </w:pPr>
            <w:r w:rsidRPr="00A1236D">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w:t>
            </w:r>
            <w:r w:rsidR="00ED48A3">
              <w:rPr>
                <w:rFonts w:eastAsia="Times New Roman"/>
                <w:sz w:val="18"/>
                <w:szCs w:val="18"/>
                <w:lang w:val="en-GB" w:eastAsia="en-GB"/>
              </w:rPr>
              <w:t xml:space="preserve">only </w:t>
            </w:r>
            <w:r w:rsidRPr="00A1236D">
              <w:rPr>
                <w:rFonts w:eastAsia="Times New Roman"/>
                <w:sz w:val="18"/>
                <w:szCs w:val="18"/>
                <w:lang w:val="en-GB" w:eastAsia="en-GB"/>
              </w:rPr>
              <w:t xml:space="preserve">under certain assumptions </w:t>
            </w:r>
          </w:p>
        </w:tc>
        <w:tc>
          <w:tcPr>
            <w:tcW w:w="720" w:type="dxa"/>
            <w:shd w:val="clear" w:color="auto" w:fill="EEEEEE"/>
          </w:tcPr>
          <w:p>
            <w:r>
              <w:rPr>
                <w:sz w:val="18"/>
              </w:rPr>
              <w:t>13</w:t>
            </w:r>
          </w:p>
        </w:tc>
        <w:tc>
          <w:tcPr>
            <w:tcW w:w="4320" w:type="dxa"/>
            <w:shd w:val="clear" w:color="auto" w:fill="EEEEEE"/>
          </w:tcPr>
          <w:p>
            <w:r>
              <w:rPr>
                <w:sz w:val="18"/>
              </w:rPr>
              <w:t>Discusses the pre-specified clearance-signature mechanism test for ligand-receptor divergence, though it found no supporting biological signal.</w:t>
            </w:r>
          </w:p>
        </w:tc>
      </w:tr>
      <w:tr w:rsidR="00D8098C" w:rsidRPr="00B853C6" w14:paraId="203390A0" w14:textId="367D17C4" w:rsidTr="003D447D">
        <w:tc>
          <w:tcPr>
            <w:tcW w:w="587" w:type="dxa"/>
            <w:shd w:val="clear" w:color="auto" w:fill="auto"/>
          </w:tcPr>
          <w:p w14:paraId="54CA3A27" w14:textId="77777777" w:rsidR="00D8098C" w:rsidRPr="00F0337F" w:rsidRDefault="00D8098C" w:rsidP="00426603">
            <w:pPr>
              <w:spacing w:beforeLines="40" w:before="96" w:afterLines="40" w:after="96" w:line="24" w:lineRule="atLeast"/>
              <w:jc w:val="right"/>
              <w:rPr>
                <w:rFonts w:eastAsia="Cambria"/>
                <w:b/>
                <w:bCs/>
                <w:sz w:val="18"/>
                <w:szCs w:val="18"/>
                <w:lang w:val="en-GB" w:eastAsia="en-US"/>
              </w:rPr>
            </w:pPr>
          </w:p>
        </w:tc>
        <w:tc>
          <w:tcPr>
            <w:tcW w:w="1822" w:type="dxa"/>
            <w:shd w:val="clear" w:color="auto" w:fill="auto"/>
          </w:tcPr>
          <w:p w14:paraId="6D25BA57" w14:textId="77777777" w:rsidR="00D8098C" w:rsidRPr="00F0337F" w:rsidRDefault="00D8098C" w:rsidP="00426603">
            <w:pPr>
              <w:spacing w:beforeLines="40" w:before="96" w:afterLines="40" w:after="96" w:line="24" w:lineRule="atLeast"/>
              <w:jc w:val="right"/>
              <w:rPr>
                <w:rFonts w:eastAsia="Cambria"/>
                <w:sz w:val="18"/>
                <w:szCs w:val="18"/>
                <w:lang w:val="en-GB" w:eastAsia="en-US"/>
              </w:rPr>
            </w:pPr>
            <w:r w:rsidRPr="00F0337F">
              <w:rPr>
                <w:rFonts w:eastAsia="Cambria"/>
                <w:sz w:val="18"/>
                <w:szCs w:val="18"/>
                <w:lang w:val="en-GB" w:eastAsia="en-US"/>
              </w:rPr>
              <w:t>c)</w:t>
            </w:r>
          </w:p>
        </w:tc>
        <w:tc>
          <w:tcPr>
            <w:tcW w:w="7041" w:type="dxa"/>
            <w:shd w:val="clear" w:color="auto" w:fill="auto"/>
          </w:tcPr>
          <w:p w14:paraId="5B6A8315" w14:textId="77777777" w:rsidR="00D8098C" w:rsidRPr="00A1236D" w:rsidRDefault="00D8098C" w:rsidP="00426603">
            <w:pPr>
              <w:tabs>
                <w:tab w:val="left" w:pos="1350"/>
              </w:tabs>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 xml:space="preserve">Clinical relevance: Discuss whether the results have clinical or public policy relevance, and </w:t>
            </w:r>
            <w:r w:rsidRPr="00A1236D">
              <w:rPr>
                <w:rFonts w:eastAsia="Times New Roman"/>
                <w:color w:val="000000"/>
                <w:sz w:val="18"/>
                <w:szCs w:val="18"/>
                <w:lang w:eastAsia="en-GB"/>
              </w:rPr>
              <w:t>to what extent they inform effect sizes of possible interventions</w:t>
            </w:r>
          </w:p>
        </w:tc>
        <w:tc>
          <w:tcPr>
            <w:tcW w:w="720" w:type="dxa"/>
          </w:tcPr>
          <w:p>
            <w:r>
              <w:rPr>
                <w:sz w:val="18"/>
              </w:rPr>
              <w:t>2</w:t>
            </w:r>
          </w:p>
        </w:tc>
        <w:tc>
          <w:tcPr>
            <w:tcW w:w="4320" w:type="dxa"/>
          </w:tcPr>
          <w:p>
            <w:r>
              <w:rPr>
                <w:sz w:val="18"/>
              </w:rPr>
              <w:t>Background frames the work against the routine practice of nominating drug targets from plasma protein MR.</w:t>
            </w:r>
          </w:p>
        </w:tc>
      </w:tr>
      <w:tr w:rsidR="00D8098C" w:rsidRPr="00B853C6" w14:paraId="71FDAFC1" w14:textId="00A47F15" w:rsidTr="003D447D">
        <w:tc>
          <w:tcPr>
            <w:tcW w:w="587" w:type="dxa"/>
            <w:tcBorders>
              <w:bottom w:val="single" w:sz="6" w:space="0" w:color="7F7F7F"/>
            </w:tcBorders>
            <w:shd w:val="clear" w:color="auto" w:fill="EEEEEE"/>
          </w:tcPr>
          <w:p w14:paraId="7540155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17</w:t>
            </w:r>
          </w:p>
        </w:tc>
        <w:tc>
          <w:tcPr>
            <w:tcW w:w="1822" w:type="dxa"/>
            <w:tcBorders>
              <w:bottom w:val="single" w:sz="6" w:space="0" w:color="7F7F7F"/>
            </w:tcBorders>
            <w:shd w:val="clear" w:color="auto" w:fill="EEEEEE"/>
          </w:tcPr>
          <w:p w14:paraId="3680059F"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 xml:space="preserve">Generalizability  </w:t>
            </w:r>
            <w:r w:rsidRPr="00F0337F">
              <w:rPr>
                <w:rFonts w:eastAsia="Times New Roman"/>
                <w:sz w:val="18"/>
                <w:szCs w:val="18"/>
                <w:lang w:val="en-GB" w:eastAsia="en-GB"/>
              </w:rPr>
              <w:t> </w:t>
            </w:r>
          </w:p>
        </w:tc>
        <w:tc>
          <w:tcPr>
            <w:tcW w:w="7041" w:type="dxa"/>
            <w:tcBorders>
              <w:bottom w:val="single" w:sz="6" w:space="0" w:color="7F7F7F"/>
            </w:tcBorders>
            <w:shd w:val="clear" w:color="auto" w:fill="EEEEEE"/>
          </w:tcPr>
          <w:p w14:paraId="68647C33" w14:textId="77777777" w:rsidR="00D8098C" w:rsidRPr="00A1236D" w:rsidRDefault="00D8098C" w:rsidP="00426603">
            <w:pPr>
              <w:spacing w:beforeLines="40" w:before="96" w:afterLines="40" w:after="96" w:line="24" w:lineRule="atLeast"/>
              <w:rPr>
                <w:rFonts w:eastAsia="Cambria"/>
                <w:sz w:val="18"/>
                <w:szCs w:val="18"/>
                <w:lang w:val="en-GB" w:eastAsia="en-US"/>
              </w:rPr>
            </w:pPr>
            <w:r w:rsidRPr="00A1236D">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r>
              <w:rPr>
                <w:sz w:val="18"/>
              </w:rPr>
              <w:t>19</w:t>
            </w:r>
          </w:p>
        </w:tc>
        <w:tc>
          <w:tcPr>
            <w:tcW w:w="4320" w:type="dxa"/>
            <w:tcBorders>
              <w:bottom w:val="single" w:sz="6" w:space="0" w:color="7F7F7F"/>
            </w:tcBorders>
            <w:shd w:val="clear" w:color="auto" w:fill="EEEEEE"/>
          </w:tcPr>
          <w:p>
            <w:r>
              <w:rPr>
                <w:sz w:val="18"/>
              </w:rPr>
              <w:t>States the ancestry of each outcome GWAS, Nikpay 2015 77% European and Aragam 2022 predominantly European. Exposure timing and exposure level are not discussed.</w:t>
            </w:r>
          </w:p>
        </w:tc>
      </w:tr>
      <w:tr w:rsidR="00D8098C" w:rsidRPr="00B853C6" w14:paraId="57884E75" w14:textId="6FD41AE6" w:rsidTr="003D447D">
        <w:tc>
          <w:tcPr>
            <w:tcW w:w="587" w:type="dxa"/>
            <w:tcBorders>
              <w:top w:val="single" w:sz="6" w:space="0" w:color="7F7F7F"/>
            </w:tcBorders>
            <w:shd w:val="clear" w:color="auto" w:fill="auto"/>
          </w:tcPr>
          <w:p w14:paraId="2C4C694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auto"/>
          </w:tcPr>
          <w:p w14:paraId="0A6FFE33"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OTHER INFORMATION</w:t>
            </w:r>
          </w:p>
        </w:tc>
        <w:tc>
          <w:tcPr>
            <w:tcW w:w="7041" w:type="dxa"/>
            <w:tcBorders>
              <w:top w:val="single" w:sz="6" w:space="0" w:color="7F7F7F"/>
            </w:tcBorders>
            <w:shd w:val="clear" w:color="auto" w:fill="auto"/>
          </w:tcPr>
          <w:p w14:paraId="0577947E"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7561574C" w14:textId="77777777" w:rsidR="00D8098C" w:rsidRPr="00F0337F" w:rsidRDefault="00D8098C" w:rsidP="00426603">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3718ED5B" w14:textId="77777777" w:rsidR="00D8098C" w:rsidRDefault="00D8098C" w:rsidP="00426603">
            <w:pPr>
              <w:spacing w:beforeLines="40" w:before="96" w:afterLines="40" w:after="96" w:line="24" w:lineRule="atLeast"/>
              <w:rPr>
                <w:rFonts w:eastAsia="Cambria"/>
                <w:sz w:val="18"/>
                <w:szCs w:val="18"/>
                <w:lang w:val="en-GB" w:eastAsia="en-US"/>
              </w:rPr>
            </w:pPr>
          </w:p>
        </w:tc>
      </w:tr>
      <w:tr w:rsidR="00D8098C" w:rsidRPr="00B853C6" w14:paraId="0014C6D1" w14:textId="2FC4D004" w:rsidTr="003D447D">
        <w:tc>
          <w:tcPr>
            <w:tcW w:w="587" w:type="dxa"/>
            <w:shd w:val="clear" w:color="auto" w:fill="EEEEEE"/>
          </w:tcPr>
          <w:p w14:paraId="2336D08C"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18</w:t>
            </w:r>
          </w:p>
        </w:tc>
        <w:tc>
          <w:tcPr>
            <w:tcW w:w="1822" w:type="dxa"/>
            <w:shd w:val="clear" w:color="auto" w:fill="EEEEEE"/>
          </w:tcPr>
          <w:p w14:paraId="08EB4FDF" w14:textId="77777777" w:rsidR="00D8098C" w:rsidRPr="00F0337F" w:rsidRDefault="00D8098C" w:rsidP="00426603">
            <w:pPr>
              <w:spacing w:beforeLines="40" w:before="96" w:afterLines="40" w:after="96" w:line="24" w:lineRule="atLeast"/>
              <w:rPr>
                <w:rFonts w:eastAsia="Cambria"/>
                <w:sz w:val="18"/>
                <w:szCs w:val="18"/>
                <w:lang w:val="en-GB" w:eastAsia="en-US"/>
              </w:rPr>
            </w:pPr>
            <w:r w:rsidRPr="00F0337F">
              <w:rPr>
                <w:rFonts w:eastAsia="Times New Roman"/>
                <w:b/>
                <w:bCs/>
                <w:sz w:val="18"/>
                <w:szCs w:val="18"/>
                <w:lang w:val="en-GB" w:eastAsia="en-GB"/>
              </w:rPr>
              <w:t>Funding</w:t>
            </w:r>
          </w:p>
        </w:tc>
        <w:tc>
          <w:tcPr>
            <w:tcW w:w="7041" w:type="dxa"/>
            <w:shd w:val="clear" w:color="auto" w:fill="EEEEEE"/>
          </w:tcPr>
          <w:p w14:paraId="4663DCA7"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r>
              <w:rPr>
                <w:sz w:val="18"/>
              </w:rPr>
              <w:t>21</w:t>
            </w:r>
          </w:p>
        </w:tc>
        <w:tc>
          <w:tcPr>
            <w:tcW w:w="4320" w:type="dxa"/>
            <w:shd w:val="clear" w:color="auto" w:fill="EEEEEE"/>
          </w:tcPr>
          <w:p>
            <w:r>
              <w:rPr>
                <w:sz w:val="18"/>
              </w:rPr>
              <w:t>States funding is none.</w:t>
            </w:r>
          </w:p>
        </w:tc>
      </w:tr>
      <w:tr w:rsidR="00D8098C" w:rsidRPr="00B853C6" w14:paraId="1B22CB41" w14:textId="102364C9" w:rsidTr="003D447D">
        <w:tc>
          <w:tcPr>
            <w:tcW w:w="587" w:type="dxa"/>
            <w:shd w:val="clear" w:color="auto" w:fill="auto"/>
          </w:tcPr>
          <w:p w14:paraId="381BF2BA"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19</w:t>
            </w:r>
          </w:p>
        </w:tc>
        <w:tc>
          <w:tcPr>
            <w:tcW w:w="1822" w:type="dxa"/>
            <w:shd w:val="clear" w:color="auto" w:fill="auto"/>
          </w:tcPr>
          <w:p w14:paraId="233BA94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Data and data sharing </w:t>
            </w:r>
          </w:p>
        </w:tc>
        <w:tc>
          <w:tcPr>
            <w:tcW w:w="7041" w:type="dxa"/>
            <w:shd w:val="clear" w:color="auto" w:fill="auto"/>
          </w:tcPr>
          <w:p w14:paraId="42D9085E"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 xml:space="preserve">Provide the data used to perform all analyses or report where and how the data can be accessed, and reference these sources in the </w:t>
            </w:r>
            <w:r>
              <w:rPr>
                <w:rFonts w:eastAsia="Times New Roman"/>
                <w:sz w:val="18"/>
                <w:szCs w:val="18"/>
                <w:lang w:val="en-GB" w:eastAsia="en-GB"/>
              </w:rPr>
              <w:t>article</w:t>
            </w:r>
            <w:r w:rsidRPr="00F0337F">
              <w:rPr>
                <w:rFonts w:eastAsia="Times New Roman"/>
                <w:sz w:val="18"/>
                <w:szCs w:val="18"/>
                <w:lang w:val="en-GB" w:eastAsia="en-GB"/>
              </w:rPr>
              <w:t xml:space="preserve">. Provide the statistical code needed to </w:t>
            </w:r>
            <w:r>
              <w:rPr>
                <w:rFonts w:eastAsia="Times New Roman"/>
                <w:sz w:val="18"/>
                <w:szCs w:val="18"/>
                <w:lang w:val="en-GB" w:eastAsia="en-GB"/>
              </w:rPr>
              <w:t>reproduce the results</w:t>
            </w:r>
            <w:r w:rsidRPr="00F0337F">
              <w:rPr>
                <w:rFonts w:eastAsia="Times New Roman"/>
                <w:sz w:val="18"/>
                <w:szCs w:val="18"/>
                <w:lang w:val="en-GB" w:eastAsia="en-GB"/>
              </w:rPr>
              <w:t xml:space="preserve"> in the </w:t>
            </w:r>
            <w:r>
              <w:rPr>
                <w:rFonts w:eastAsia="Times New Roman"/>
                <w:sz w:val="18"/>
                <w:szCs w:val="18"/>
                <w:lang w:val="en-GB" w:eastAsia="en-GB"/>
              </w:rPr>
              <w:t>article</w:t>
            </w:r>
            <w:r w:rsidRPr="00F0337F">
              <w:rPr>
                <w:rFonts w:eastAsia="Times New Roman"/>
                <w:sz w:val="18"/>
                <w:szCs w:val="18"/>
                <w:lang w:val="en-GB" w:eastAsia="en-GB"/>
              </w:rPr>
              <w:t>, or report whether the code is publicly accessible and if so, where</w:t>
            </w:r>
          </w:p>
        </w:tc>
        <w:tc>
          <w:tcPr>
            <w:tcW w:w="720" w:type="dxa"/>
          </w:tcPr>
          <w:p>
            <w:r>
              <w:rPr>
                <w:sz w:val="18"/>
              </w:rPr>
              <w:t>21</w:t>
            </w:r>
          </w:p>
        </w:tc>
        <w:tc>
          <w:tcPr>
            <w:tcW w:w="4320" w:type="dxa"/>
          </w:tcPr>
          <w:p>
            <w:r>
              <w:rPr>
                <w:sz w:val="18"/>
              </w:rPr>
              <w:t>Availability of data and materials lists the GWAS Catalog accessions and links for both outcome GWAS and the other resources.</w:t>
            </w:r>
          </w:p>
        </w:tc>
      </w:tr>
      <w:tr w:rsidR="00D8098C" w:rsidRPr="00B853C6" w14:paraId="1BFE6A86" w14:textId="26747AA0" w:rsidTr="003D447D">
        <w:tc>
          <w:tcPr>
            <w:tcW w:w="587" w:type="dxa"/>
            <w:tcBorders>
              <w:bottom w:val="single" w:sz="6" w:space="0" w:color="7F7F7F"/>
            </w:tcBorders>
            <w:shd w:val="clear" w:color="auto" w:fill="EEEEEE"/>
          </w:tcPr>
          <w:p w14:paraId="20DC2C92" w14:textId="77777777" w:rsidR="00D8098C" w:rsidRPr="00F0337F" w:rsidRDefault="00D8098C" w:rsidP="00426603">
            <w:pPr>
              <w:spacing w:beforeLines="40" w:before="96" w:afterLines="40" w:after="96" w:line="24" w:lineRule="atLeast"/>
              <w:rPr>
                <w:rFonts w:eastAsia="Times New Roman"/>
                <w:b/>
                <w:bCs/>
                <w:sz w:val="18"/>
                <w:szCs w:val="18"/>
                <w:lang w:val="en-GB" w:eastAsia="en-GB"/>
              </w:rPr>
            </w:pPr>
            <w:r w:rsidRPr="00F0337F">
              <w:rPr>
                <w:rFonts w:eastAsia="Times New Roman"/>
                <w:sz w:val="18"/>
                <w:szCs w:val="18"/>
                <w:lang w:val="en-GB" w:eastAsia="en-GB"/>
              </w:rPr>
              <w:t>20</w:t>
            </w:r>
          </w:p>
        </w:tc>
        <w:tc>
          <w:tcPr>
            <w:tcW w:w="1822" w:type="dxa"/>
            <w:tcBorders>
              <w:bottom w:val="single" w:sz="6" w:space="0" w:color="7F7F7F"/>
            </w:tcBorders>
            <w:shd w:val="clear" w:color="auto" w:fill="EEEEEE"/>
          </w:tcPr>
          <w:p w14:paraId="39A69A1B"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4772D912" w14:textId="77777777" w:rsidR="00D8098C" w:rsidRPr="00F0337F" w:rsidRDefault="00D8098C" w:rsidP="00426603">
            <w:pPr>
              <w:spacing w:beforeLines="40" w:before="96" w:afterLines="40" w:after="96" w:line="24" w:lineRule="atLeast"/>
              <w:rPr>
                <w:rFonts w:eastAsia="Times New Roman"/>
                <w:sz w:val="18"/>
                <w:szCs w:val="18"/>
                <w:lang w:val="en-GB" w:eastAsia="en-GB"/>
              </w:rPr>
            </w:pPr>
            <w:r w:rsidRPr="00F0337F">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r>
              <w:rPr>
                <w:sz w:val="18"/>
              </w:rPr>
              <w:t>21</w:t>
            </w:r>
          </w:p>
        </w:tc>
        <w:tc>
          <w:tcPr>
            <w:tcW w:w="4320" w:type="dxa"/>
            <w:tcBorders>
              <w:bottom w:val="single" w:sz="6" w:space="0" w:color="7F7F7F"/>
            </w:tcBorders>
            <w:shd w:val="clear" w:color="auto" w:fill="EEEEEE"/>
          </w:tcPr>
          <w:p>
            <w:r>
              <w:rPr>
                <w:sz w:val="18"/>
              </w:rPr>
              <w:t>States the author declares no competing interests.</w:t>
            </w:r>
          </w:p>
        </w:tc>
      </w:tr>
    </w:tbl>
    <w:p w14:paraId="386115B2" w14:textId="17D6D8D3" w:rsidR="00800ED7" w:rsidRPr="009854A9" w:rsidRDefault="00D65199" w:rsidP="005520ED">
      <w:pPr>
        <w:spacing w:before="240" w:after="240"/>
        <w:rPr>
          <w:sz w:val="19"/>
          <w:szCs w:val="19"/>
        </w:rPr>
      </w:pPr>
      <w:r w:rsidRPr="009854A9">
        <w:rPr>
          <w:sz w:val="19"/>
          <w:szCs w:val="19"/>
        </w:rPr>
        <w:t>This checklist is copyrighted by the Equator Network under the Creative Commons Attribution 3.0 Unported (CC BY 3.0) license.</w:t>
      </w:r>
    </w:p>
    <w:p w14:paraId="5DDF8A06" w14:textId="73FE4A93" w:rsidR="009854A9" w:rsidRPr="009854A9" w:rsidRDefault="00804498" w:rsidP="009854A9">
      <w:pPr>
        <w:widowControl w:val="0"/>
        <w:autoSpaceDE w:val="0"/>
        <w:autoSpaceDN w:val="0"/>
        <w:adjustRightInd w:val="0"/>
        <w:spacing w:before="240" w:after="240" w:line="240" w:lineRule="auto"/>
        <w:ind w:left="640" w:hanging="640"/>
        <w:rPr>
          <w:noProof/>
          <w:sz w:val="19"/>
          <w:szCs w:val="19"/>
        </w:rPr>
      </w:pPr>
      <w:r w:rsidRPr="009854A9">
        <w:rPr>
          <w:sz w:val="19"/>
          <w:szCs w:val="19"/>
        </w:rPr>
        <w:fldChar w:fldCharType="begin" w:fldLock="1"/>
      </w:r>
      <w:r w:rsidRPr="009854A9">
        <w:rPr>
          <w:sz w:val="19"/>
          <w:szCs w:val="19"/>
        </w:rPr>
        <w:instrText xml:space="preserve">ADDIN Mendeley Bibliography CSL_BIBLIOGRAPHY </w:instrText>
      </w:r>
      <w:r w:rsidRPr="009854A9">
        <w:rPr>
          <w:sz w:val="19"/>
          <w:szCs w:val="19"/>
        </w:rPr>
        <w:fldChar w:fldCharType="separate"/>
      </w:r>
      <w:r w:rsidR="009854A9" w:rsidRPr="009854A9">
        <w:rPr>
          <w:noProof/>
          <w:sz w:val="19"/>
          <w:szCs w:val="19"/>
        </w:rPr>
        <w:t xml:space="preserve">1. </w:t>
      </w:r>
      <w:r w:rsidR="009854A9" w:rsidRPr="009854A9">
        <w:rPr>
          <w:noProof/>
          <w:sz w:val="19"/>
          <w:szCs w:val="19"/>
        </w:rPr>
        <w:tab/>
        <w:t xml:space="preserve">Skrivankova VW, Richmond RC, Woolf BAR, Yarmolinsky J, Davies NM, Swanson SA, et al. Strengthening the Reporting of Observational Studies in Epidemiology using Mendelian Randomization (STROBE-MR) Statement. JAMA. 2021;326(16):1614-1621. </w:t>
      </w:r>
    </w:p>
    <w:p w14:paraId="63BF03A9" w14:textId="77777777" w:rsidR="009854A9" w:rsidRPr="009854A9" w:rsidRDefault="009854A9" w:rsidP="009854A9">
      <w:pPr>
        <w:widowControl w:val="0"/>
        <w:autoSpaceDE w:val="0"/>
        <w:autoSpaceDN w:val="0"/>
        <w:adjustRightInd w:val="0"/>
        <w:spacing w:before="240" w:after="240" w:line="240" w:lineRule="auto"/>
        <w:ind w:left="640" w:hanging="640"/>
        <w:rPr>
          <w:noProof/>
          <w:sz w:val="19"/>
          <w:szCs w:val="19"/>
        </w:rPr>
      </w:pPr>
      <w:r w:rsidRPr="009854A9">
        <w:rPr>
          <w:noProof/>
          <w:sz w:val="19"/>
          <w:szCs w:val="19"/>
        </w:rPr>
        <w:t xml:space="preserve">2. </w:t>
      </w:r>
      <w:r w:rsidRPr="009854A9">
        <w:rPr>
          <w:noProof/>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14:textId="164414FA" w:rsidR="00804498" w:rsidRDefault="00804498" w:rsidP="005520ED">
      <w:pPr>
        <w:spacing w:before="240" w:after="240"/>
      </w:pPr>
      <w:r w:rsidRPr="009854A9">
        <w:rPr>
          <w:sz w:val="19"/>
          <w:szCs w:val="19"/>
        </w:rPr>
        <w:fldChar w:fldCharType="end"/>
      </w:r>
    </w:p>
    <w:sectPr w:rsidR="00804498" w:rsidSect="003D447D">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21481" w14:textId="77777777" w:rsidR="004B5CBB" w:rsidRDefault="00ED48A3">
      <w:pPr>
        <w:spacing w:line="240" w:lineRule="auto"/>
      </w:pPr>
      <w:r>
        <w:separator/>
      </w:r>
    </w:p>
  </w:endnote>
  <w:endnote w:type="continuationSeparator" w:id="0">
    <w:p w14:paraId="5E6CBD73" w14:textId="77777777" w:rsidR="004B5CBB" w:rsidRDefault="00ED4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4A166" w14:textId="77777777" w:rsidR="00CB1B9F" w:rsidRDefault="00BB6328" w:rsidP="00A365E5">
    <w:pPr>
      <w:pStyle w:val="Footer"/>
      <w:framePr w:wrap="none" w:vAnchor="text" w:hAnchor="margin" w:xAlign="right" w:y="1"/>
      <w:rPr>
        <w:rStyle w:val="PageNumber"/>
      </w:rPr>
    </w:pPr>
  </w:p>
  <w:p w14:paraId="40A0897E" w14:textId="77777777" w:rsidR="00CB1B9F" w:rsidRDefault="00BB6328" w:rsidP="00C141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B7B5E" w14:textId="0AA16358" w:rsidR="00CB1B9F" w:rsidRDefault="003D447D">
    <w:pPr>
      <w:pStyle w:val="Footer"/>
      <w:jc w:val="right"/>
    </w:pPr>
    <w:r>
      <w:fldChar w:fldCharType="begin"/>
    </w:r>
    <w:r>
      <w:instrText xml:space="preserve"> PAGE   \* MERGEFORMAT </w:instrText>
    </w:r>
    <w:r>
      <w:fldChar w:fldCharType="separate"/>
    </w:r>
    <w:r w:rsidR="00BB6328">
      <w:rPr>
        <w:noProof/>
      </w:rPr>
      <w:t>1</w:t>
    </w:r>
    <w:r>
      <w:rPr>
        <w:noProof/>
      </w:rPr>
      <w:fldChar w:fldCharType="end"/>
    </w:r>
  </w:p>
  <w:p w14:paraId="41D89672" w14:textId="77777777" w:rsidR="00CB1B9F" w:rsidRDefault="00BB6328" w:rsidP="00C141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CD794" w14:textId="77777777" w:rsidR="004B5CBB" w:rsidRDefault="00ED48A3">
      <w:pPr>
        <w:spacing w:line="240" w:lineRule="auto"/>
      </w:pPr>
      <w:r>
        <w:separator/>
      </w:r>
    </w:p>
  </w:footnote>
  <w:footnote w:type="continuationSeparator" w:id="0">
    <w:p w14:paraId="4DC60C95" w14:textId="77777777" w:rsidR="004B5CBB" w:rsidRDefault="00ED48A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6E999F"/>
  <w15:chartTrackingRefBased/>
  <w15:docId w15:val="{3C23E9FF-C4EB-475A-AABF-DB561B80E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14C56"/>
    <w:pPr>
      <w:spacing w:after="0" w:line="276" w:lineRule="auto"/>
    </w:pPr>
    <w:rPr>
      <w:rFonts w:ascii="Arial" w:eastAsia="Arial" w:hAnsi="Arial" w:cs="Arial"/>
      <w:lang w:val="en" w:eastAsia="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14C56"/>
    <w:pPr>
      <w:tabs>
        <w:tab w:val="center" w:pos="4680"/>
        <w:tab w:val="right" w:pos="9360"/>
      </w:tabs>
      <w:spacing w:line="240" w:lineRule="auto"/>
    </w:pPr>
  </w:style>
  <w:style w:type="character" w:customStyle="1" w:styleId="FooterChar">
    <w:name w:val="Footer Char"/>
    <w:basedOn w:val="DefaultParagraphFont"/>
    <w:link w:val="Footer"/>
    <w:uiPriority w:val="99"/>
    <w:rsid w:val="00914C56"/>
    <w:rPr>
      <w:rFonts w:ascii="Arial" w:eastAsia="Arial" w:hAnsi="Arial" w:cs="Arial"/>
      <w:lang w:val="en" w:eastAsia="de-CH"/>
    </w:rPr>
  </w:style>
  <w:style w:type="character" w:styleId="PageNumber">
    <w:name w:val="page number"/>
    <w:basedOn w:val="DefaultParagraphFont"/>
    <w:uiPriority w:val="99"/>
    <w:semiHidden/>
    <w:unhideWhenUsed/>
    <w:rsid w:val="00914C56"/>
  </w:style>
  <w:style w:type="character" w:styleId="LineNumber">
    <w:name w:val="line number"/>
    <w:basedOn w:val="DefaultParagraphFont"/>
    <w:uiPriority w:val="99"/>
    <w:semiHidden/>
    <w:unhideWhenUsed/>
    <w:rsid w:val="00914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F20111-77FD-4F18-8E31-D737874646AB}">
  <ds:schemaRefs>
    <ds:schemaRef ds:uri="http://schemas.microsoft.com/sharepoint/v3/contenttype/forms"/>
  </ds:schemaRefs>
</ds:datastoreItem>
</file>

<file path=customXml/itemProps3.xml><?xml version="1.0" encoding="utf-8"?>
<ds:datastoreItem xmlns:ds="http://schemas.openxmlformats.org/officeDocument/2006/customXml" ds:itemID="{9FB0931C-FCE2-4CC4-80DE-15614B41F1F9}">
  <ds:schemaRef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892d8916-a04a-483c-b38c-baf9957a1c5f"/>
    <ds:schemaRef ds:uri="http://schemas.microsoft.com/office/2006/metadata/properties"/>
    <ds:schemaRef ds:uri="http://schemas.openxmlformats.org/package/2006/metadata/core-properties"/>
    <ds:schemaRef ds:uri="697eed72-5420-4f01-93c1-7c9f4310e871"/>
  </ds:schemaRefs>
</ds:datastoreItem>
</file>

<file path=customXml/itemProps4.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1713</Words>
  <Characters>11466</Characters>
  <Application>Microsoft Office Word</Application>
  <DocSecurity>0</DocSecurity>
  <Lines>286</Lines>
  <Paragraphs>146</Paragraphs>
  <ScaleCrop>false</ScaleCrop>
  <HeadingPairs>
    <vt:vector size="2" baseType="variant">
      <vt:variant>
        <vt:lpstr>Title</vt:lpstr>
      </vt:variant>
      <vt:variant>
        <vt:i4>1</vt:i4>
      </vt:variant>
    </vt:vector>
  </HeadingPairs>
  <TitlesOfParts>
    <vt:vector size="1" baseType="lpstr">
      <vt:lpstr/>
    </vt:vector>
  </TitlesOfParts>
  <Company>University of Bern</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Whitesell, Veronika (ISPM)</dc:creator>
  <cp:keywords/>
  <dc:description/>
  <cp:lastModifiedBy>Veronika W Skrivankova</cp:lastModifiedBy>
  <cp:revision>2</cp:revision>
  <cp:lastPrinted>2021-09-28T07:08:00Z</cp:lastPrinted>
  <dcterms:created xsi:type="dcterms:W3CDTF">2022-04-07T08:09:00Z</dcterms:created>
  <dcterms:modified xsi:type="dcterms:W3CDTF">2022-04-07T08:09:00Z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ies>
</file>